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刘慧姣</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71040712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新能源汽车在特殊时期下中国汽车产业经济发展的影响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sz w:val="24"/>
                <w:szCs w:val="24"/>
              </w:rPr>
            </w:pPr>
          </w:p>
          <w:p>
            <w:p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俄乌冲突</w:t>
            </w:r>
            <w:r>
              <w:rPr>
                <w:rFonts w:hint="eastAsia" w:ascii="宋体" w:hAnsi="宋体" w:eastAsia="宋体" w:cs="宋体"/>
                <w:sz w:val="24"/>
                <w:szCs w:val="24"/>
                <w:lang w:val="en-US" w:eastAsia="zh-CN"/>
              </w:rPr>
              <w:t>打破了2021年以来的经济复苏局面，在</w:t>
            </w:r>
            <w:r>
              <w:rPr>
                <w:rFonts w:ascii="宋体" w:hAnsi="宋体" w:eastAsia="宋体" w:cs="宋体"/>
                <w:sz w:val="24"/>
                <w:szCs w:val="24"/>
              </w:rPr>
              <w:t>世界百年未有之大变局</w:t>
            </w:r>
            <w:r>
              <w:rPr>
                <w:rFonts w:hint="eastAsia" w:ascii="宋体" w:hAnsi="宋体" w:eastAsia="宋体" w:cs="宋体"/>
                <w:sz w:val="24"/>
                <w:szCs w:val="24"/>
                <w:lang w:val="en-US" w:eastAsia="zh-CN"/>
              </w:rPr>
              <w:t>上添加了浓重的一笔，叠加新一轮疫情的肆虐、世界经济发展的进一步疲软的大背景，引发新一轮能源、粮食危机、大宗商品价格随之飙升，全球通胀压力进一步抬升，</w:t>
            </w:r>
            <w:r>
              <w:rPr>
                <w:rFonts w:ascii="宋体" w:hAnsi="宋体" w:eastAsia="宋体" w:cs="宋体"/>
                <w:sz w:val="24"/>
                <w:szCs w:val="24"/>
              </w:rPr>
              <w:t>给</w:t>
            </w:r>
            <w:r>
              <w:rPr>
                <w:rFonts w:hint="eastAsia" w:ascii="宋体" w:hAnsi="宋体" w:eastAsia="宋体" w:cs="宋体"/>
                <w:sz w:val="24"/>
                <w:szCs w:val="24"/>
                <w:lang w:val="en-US" w:eastAsia="zh-CN"/>
              </w:rPr>
              <w:t>全球</w:t>
            </w:r>
            <w:r>
              <w:rPr>
                <w:rFonts w:ascii="宋体" w:hAnsi="宋体" w:eastAsia="宋体" w:cs="宋体"/>
                <w:sz w:val="24"/>
                <w:szCs w:val="24"/>
              </w:rPr>
              <w:t>政治、经济、社会发展带来广泛深刻的影响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而地缘冲突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国际紧张局势带来的</w:t>
            </w:r>
            <w:r>
              <w:rPr>
                <w:rFonts w:ascii="宋体" w:hAnsi="宋体" w:eastAsia="宋体" w:cs="宋体"/>
                <w:sz w:val="24"/>
                <w:szCs w:val="24"/>
              </w:rPr>
              <w:t>油价飙升、 物价飞涨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已经从欧洲席卷全球，从供给端传递到消费端，能源价格的波动无疑将对全球经济恢复带来重击。</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种局势下，中国经济社会的和谐发展与能源供应需要重新审视。当前中国能源消耗以石油、天然气等化石能源为主，能源消费量大于能源生产量，依赖程度在80%以上，需要从海外进口能源。石油、天然气等化石能源将保持平稳发展，进口来源将发挥更多增量作用。非化石能源角度，核能发电虽然涨幅较多，但是总量较小，光伏太阳能发电、风能发电将是提升非化石能源占比的主要驱动力。</w:t>
            </w:r>
          </w:p>
          <w:p>
            <w:pP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期内，国内重要能源尚可自足。根据2021年数据，中国有56%的能源由煤炭供给，而我国煤炭自给率达到93%，2022年上半年累计产量21.9亿吨,同比增长11.0%，是中国能源基本盘的基本保证。今年上半年，可再生能源发电量实现稳步增长，全国可再生能源发电量达1.25万亿千瓦时，水电发电量同比增长17.5%，风电发电量同比增长5.6%，太阳能发电同比增长12.9%。与此同时，中国在新能源产业链上的优势也在出口中体现，2022年上半年组件出口量达78.6GW，同比增长74.3％；光伏产品出口总额约259亿美元，同比增长113.1％。</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新能源汽车的发展，既能降低在石油方面的部分依赖，保障民生物价提出替代方案，也是实现交通能源转型的必经之路，又能反哺、推动国家新能源产业的快速发展，同时还在特殊时期找到新的经济增长点，甚至是经济外交，撬动国内外各个国家汽车对石油的敏感神经，突破尴尬局面，解燃眉之急实现共赢的同时，甚至发展中国汽车产业的国际地位，实现弯道超车，</w:t>
            </w:r>
          </w:p>
          <w:p>
            <w:pPr>
              <w:rPr>
                <w:rFonts w:ascii="宋体" w:hAnsi="宋体" w:eastAsia="宋体"/>
                <w:sz w:val="24"/>
                <w:szCs w:val="24"/>
              </w:rPr>
            </w:pPr>
            <w:bookmarkStart w:id="1" w:name="_GoBack"/>
            <w:bookmarkEnd w:id="1"/>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俄乌冲突之后，国际局势进入新一轮紧张局面，能源资源的抢夺、储备、可再生能源（新能源）的建设、能源技术深度发展都在这个特殊时期显得尤为重要，能源供给与储备已经上升成为中国国际地位的重要因素，为一切可能发生的冲突做筹划。其次，我国当前的能源消耗对于煤、石油等石化类一次能源依赖较重，国民生产、民生保障所需的一次能源消耗量极大。为疫情后时期的经济复苏对能源的需求的激增，和民众生活的季节性能源消耗需求，整体能源消耗位列世界前茅。再有，在2021下半年轰轰烈烈双碳战略落实下，中国能源产业单位都在积极落实能源革命、新能源发展、数字化等重要建设，服务国家更好的进行能源资源统筹管理，为中国新能源经济发展打开了局面。最后，国际能源发展困境中，新能源经济为中国贸易找到了新的舞台，中国2021年，中国汽车出口市场销量213.8万台，同比增长102%。2022年1-6月，中国汽车出口市场销量133万台，同比增长40%。1-6月汽车出口均价1.55万美元，同比去年的1.53万美元，均价小幅提升</w:t>
            </w:r>
            <w:r>
              <w:rPr>
                <w:rFonts w:ascii="宋体" w:hAnsi="宋体" w:eastAsia="宋体" w:cs="宋体"/>
                <w:sz w:val="24"/>
                <w:szCs w:val="24"/>
              </w:rPr>
              <w:t>[1]</w:t>
            </w:r>
            <w:r>
              <w:rPr>
                <w:rFonts w:hint="eastAsia" w:ascii="宋体" w:hAnsi="宋体" w:eastAsia="宋体" w:cs="宋体"/>
                <w:sz w:val="24"/>
                <w:szCs w:val="24"/>
                <w:lang w:val="en-US" w:eastAsia="zh-CN"/>
              </w:rPr>
              <w:t>；同时，宁德时代投资超500亿欧洲建厂。</w:t>
            </w:r>
          </w:p>
          <w:p>
            <w:pPr>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Punzi 等(2019)研究发现，能源价格和不确定性波动都会导致商业周期中宏观经济的高度波动。[</w:t>
            </w: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杜秦川</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研究发现，从全球主要经济体过去几百年特别是二战以来的长期历史看，大幅的通胀多是短期的、难持续的，各国央行等最终都会通过采取相关干预措施加以遏制。现阶段正义点主要在于疫情结束后的的长期通胀前景。</w:t>
            </w:r>
            <w:r>
              <w:rPr>
                <w:rFonts w:ascii="宋体" w:hAnsi="宋体" w:eastAsia="宋体" w:cs="宋体"/>
                <w:sz w:val="24"/>
                <w:szCs w:val="24"/>
              </w:rPr>
              <w:t>黄季焜等(2009)认为，国际能源价 格、生物燃料能源、市场投机和各国的贸易限制措施等是造成商品价格剧烈波动的主要因素。 [</w:t>
            </w: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 xml:space="preserve">  </w:t>
            </w:r>
            <w:r>
              <w:rPr>
                <w:rFonts w:ascii="宋体" w:hAnsi="宋体" w:eastAsia="宋体" w:cs="宋体"/>
                <w:sz w:val="24"/>
                <w:szCs w:val="24"/>
              </w:rPr>
              <w:t>陈文玲</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预期，</w:t>
            </w:r>
            <w:r>
              <w:rPr>
                <w:rFonts w:ascii="宋体" w:hAnsi="宋体" w:eastAsia="宋体" w:cs="宋体"/>
                <w:sz w:val="24"/>
                <w:szCs w:val="24"/>
              </w:rPr>
              <w:t>世界经济复苏基础脆弱极可能再次陷入衰退; 高通胀会持续推高一 些国家生产生活成本; 金融风险加剧有可能爆发全球性金融危机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原本 2022 年世界经济已经进入复苏之势，尽管复苏基础还极其脆弱。</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全球单边主义、多边关系矛盾不断变化的背景下，疫情的不确定性让能源、粮食等大宗商品的稳定供应提出了考验。但各国都在不断探索经济发展的新增长点，而中国近两年新能源汽车产业链发展亮眼，从内需、供应链到国际方面，建功卓著。内部在刺激经济、稳定民生（油价）、节能环保（双碳）、新能源产业链的的拉动与反哺国家能源体系改革方面，都是一次很好的契机。尤其石化类能源的飘高，新能源汽车的发展需求拉动国家投入建设的同时（新基建），同时又产生现金流反哺国家发展新能源体系，助力国家能源改革，摆脱传统能源依赖（进口），进而可能对国际能源价格的稳定起到一定助益。</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展新能源汽车是必然之势。另外，根据产业生命周期分析，现阶段传统汽车产业处于发展的成熟期，而新能源汽车处于发展期。新能源汽车的出现只会改变汽车产业的结构，而传统汽车也会在很长一段时间内存在并不会消亡。是中国汽车制造业在国际的翻身之战，极大可能提升我国汽车产业的地位，拉近与发达国家的距离。</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时针对新能源产业链尤其是新能源汽车的出口，作为中国现阶段特殊时期的贸易突破口，是尝试和欧洲深入合作的一次有效尝试，也是中国汽车制造、贸易出口的一次翻盘机会，面对国际局势的多变性，经济稳步发展、国际局势有所突破，是中国和平外交的新突破，也是“一带一路”的拓展。同时以新能源产业的迅速突破、基础设施建设，以期对于中国传统能源体系结构的支撑，都对中国的能源储备、新能源开发、生产成本、汇率、通货膨胀等方面有所助益。</w:t>
            </w:r>
          </w:p>
          <w:p>
            <w:pP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阶段新能源经济的深刻发展，从近期发展和远期战略来看，以新能源产业的迅速突破、基础设施建设，以期对于中国传统能源体系结构的支撑对中国贸易产品的生产成本有一定助益，在拉动国内经济增长、就业方面也是不错的助力。在国际关系、贸易发展、汇率、能源消耗与替代、甚至是通胀压力的环节方面，新能源的潜在外溢效应可观，值得深入发展、研究，同时面对</w:t>
            </w:r>
            <w:r>
              <w:rPr>
                <w:rFonts w:ascii="宋体" w:hAnsi="宋体" w:eastAsia="宋体" w:cs="宋体"/>
                <w:sz w:val="24"/>
                <w:szCs w:val="24"/>
              </w:rPr>
              <w:t>当前全球局势，研判未来能源发展趋势，推动世界可持续发展具有重要意义</w:t>
            </w:r>
            <w:r>
              <w:rPr>
                <w:rFonts w:hint="eastAsia" w:ascii="宋体" w:hAnsi="宋体" w:eastAsia="宋体" w:cs="宋体"/>
                <w:sz w:val="24"/>
                <w:szCs w:val="24"/>
                <w:lang w:eastAsia="zh-CN"/>
              </w:rPr>
              <w:t>。</w:t>
            </w:r>
          </w:p>
          <w:p>
            <w:pPr>
              <w:ind w:firstLine="480" w:firstLineChars="20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r>
              <w:rPr>
                <w:sz w:val="21"/>
              </w:rPr>
              <mc:AlternateContent>
                <mc:Choice Requires="wps">
                  <w:drawing>
                    <wp:anchor distT="0" distB="0" distL="114300" distR="114300" simplePos="0" relativeHeight="251663360" behindDoc="0" locked="0" layoutInCell="1" allowOverlap="1">
                      <wp:simplePos x="0" y="0"/>
                      <wp:positionH relativeFrom="column">
                        <wp:posOffset>1008380</wp:posOffset>
                      </wp:positionH>
                      <wp:positionV relativeFrom="paragraph">
                        <wp:posOffset>1567815</wp:posOffset>
                      </wp:positionV>
                      <wp:extent cx="833755" cy="466725"/>
                      <wp:effectExtent l="6350" t="6350" r="10160" b="13970"/>
                      <wp:wrapNone/>
                      <wp:docPr id="6" name="圆角矩形 6"/>
                      <wp:cNvGraphicFramePr/>
                      <a:graphic xmlns:a="http://schemas.openxmlformats.org/drawingml/2006/main">
                        <a:graphicData uri="http://schemas.microsoft.com/office/word/2010/wordprocessingShape">
                          <wps:wsp>
                            <wps:cNvSpPr/>
                            <wps:spPr>
                              <a:xfrm>
                                <a:off x="0" y="0"/>
                                <a:ext cx="83375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贸易成本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9.4pt;margin-top:123.45pt;height:36.75pt;width:65.65pt;z-index:251663360;v-text-anchor:middle;mso-width-relative:page;mso-height-relative:page;" fillcolor="#FFFFFF [3201]" filled="t" stroked="t" coordsize="21600,21600" arcsize="0.166666666666667" o:gfxdata="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yiDSk2AAAAAsBAAAP&#10;AAAAAAAAAAEAIAAAACIAAABkcnMvZG93bnJldi54bWxQSwECFAAUAAAACACHTuJA0NOPP4oCAAAJ&#10;BQAADgAAAAAAAAABACAAAAAnAQAAZHJzL2Uyb0RvYy54bWxQSwUGAAAAAAYABgBZAQAAIwY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贸易成本</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3183890</wp:posOffset>
                      </wp:positionH>
                      <wp:positionV relativeFrom="paragraph">
                        <wp:posOffset>681355</wp:posOffset>
                      </wp:positionV>
                      <wp:extent cx="833755" cy="466725"/>
                      <wp:effectExtent l="6350" t="6350" r="10160" b="13970"/>
                      <wp:wrapNone/>
                      <wp:docPr id="4" name="圆角矩形 4"/>
                      <wp:cNvGraphicFramePr/>
                      <a:graphic xmlns:a="http://schemas.openxmlformats.org/drawingml/2006/main">
                        <a:graphicData uri="http://schemas.microsoft.com/office/word/2010/wordprocessingShape">
                          <wps:wsp>
                            <wps:cNvSpPr/>
                            <wps:spPr>
                              <a:xfrm>
                                <a:off x="0" y="0"/>
                                <a:ext cx="83375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中国新能源发展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0.7pt;margin-top:53.65pt;height:36.75pt;width:65.65pt;z-index:251661312;v-text-anchor:middle;mso-width-relative:page;mso-height-relative:page;" fillcolor="#FFFFFF [3201]" filled="t" stroked="t" coordsize="21600,21600" arcsize="0.166666666666667" o:gfxdata="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4c3kw2AAAAAsBAAAP&#10;AAAAAAAAAAEAIAAAACIAAABkcnMvZG93bnJldi54bWxQSwECFAAUAAAACACHTuJA+nd+w4oCAAAJ&#10;BQAADgAAAAAAAAABACAAAAAnAQAAZHJzL2Uyb0RvYy54bWxQSwUGAAAAAAYABgBZAQAAIwY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中国新能源发展</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2370455</wp:posOffset>
                      </wp:positionH>
                      <wp:positionV relativeFrom="paragraph">
                        <wp:posOffset>1561465</wp:posOffset>
                      </wp:positionV>
                      <wp:extent cx="833755" cy="466725"/>
                      <wp:effectExtent l="6350" t="6350" r="10160" b="13970"/>
                      <wp:wrapNone/>
                      <wp:docPr id="5" name="圆角矩形 5"/>
                      <wp:cNvGraphicFramePr/>
                      <a:graphic xmlns:a="http://schemas.openxmlformats.org/drawingml/2006/main">
                        <a:graphicData uri="http://schemas.microsoft.com/office/word/2010/wordprocessingShape">
                          <wps:wsp>
                            <wps:cNvSpPr/>
                            <wps:spPr>
                              <a:xfrm>
                                <a:off x="0" y="0"/>
                                <a:ext cx="83375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能源成本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6.65pt;margin-top:122.95pt;height:36.75pt;width:65.65pt;z-index:251662336;v-text-anchor:middle;mso-width-relative:page;mso-height-relative:page;" fillcolor="#FFFFFF [3201]" filled="t" stroked="t" coordsize="21600,21600" arcsize="0.166666666666667" o:gfxdata="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6ZPJdgAAAALAQAA&#10;DwAAAAAAAAABACAAAAAiAAAAZHJzL2Rvd25yZXYueG1sUEsBAhQAFAAAAAgAh07iQO+lBr2LAgAA&#10;CQUAAA4AAAAAAAAAAQAgAAAAJwEAAGRycy9lMm9Eb2MueG1sUEsFBgAAAAAGAAYAWQEAACQGAAAA&#10;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能源成本</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214630</wp:posOffset>
                      </wp:positionH>
                      <wp:positionV relativeFrom="paragraph">
                        <wp:posOffset>641350</wp:posOffset>
                      </wp:positionV>
                      <wp:extent cx="833755" cy="466725"/>
                      <wp:effectExtent l="6350" t="6350" r="10160" b="13970"/>
                      <wp:wrapNone/>
                      <wp:docPr id="2" name="圆角矩形 2"/>
                      <wp:cNvGraphicFramePr/>
                      <a:graphic xmlns:a="http://schemas.openxmlformats.org/drawingml/2006/main">
                        <a:graphicData uri="http://schemas.microsoft.com/office/word/2010/wordprocessingShape">
                          <wps:wsp>
                            <wps:cNvSpPr/>
                            <wps:spPr>
                              <a:xfrm>
                                <a:off x="0" y="0"/>
                                <a:ext cx="83375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汽车产业经济发展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9pt;margin-top:50.5pt;height:36.75pt;width:65.65pt;z-index:251660288;v-text-anchor:middle;mso-width-relative:page;mso-height-relative:page;" fillcolor="#FFFFFF [3201]" filled="t" stroked="t" coordsize="21600,21600" arcsize="0.166666666666667" o:gfxdata="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SNIzHXAAAACgEAAA8A&#10;AAAAAAAAAQAgAAAAIgAAAGRycy9kb3ducmV2LnhtbFBLAQIUABQAAAAIAIdO4kDFnR0digIAAAkF&#10;AAAOAAAAAAAAAAEAIAAAACYBAABkcnMvZTJvRG9jLnhtbFBLBQYAAAAABgAGAFkBAAAiBg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汽车产业经济发展</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1694180</wp:posOffset>
                      </wp:positionH>
                      <wp:positionV relativeFrom="paragraph">
                        <wp:posOffset>73660</wp:posOffset>
                      </wp:positionV>
                      <wp:extent cx="833755" cy="392430"/>
                      <wp:effectExtent l="6350" t="6350" r="10160" b="13970"/>
                      <wp:wrapNone/>
                      <wp:docPr id="3" name="圆角矩形 3"/>
                      <wp:cNvGraphicFramePr/>
                      <a:graphic xmlns:a="http://schemas.openxmlformats.org/drawingml/2006/main">
                        <a:graphicData uri="http://schemas.microsoft.com/office/word/2010/wordprocessingShape">
                          <wps:wsp>
                            <wps:cNvSpPr/>
                            <wps:spPr>
                              <a:xfrm>
                                <a:off x="0" y="0"/>
                                <a:ext cx="833755" cy="39243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新能源汽车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3.4pt;margin-top:5.8pt;height:30.9pt;width:65.65pt;z-index:251659264;v-text-anchor:middle;mso-width-relative:page;mso-height-relative:page;" fillcolor="#FFFFFF [3201]" filled="t" stroked="t" coordsize="21600,21600" arcsize="0.166666666666667" o:gfxdata="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9LWYK1wAAAAkBAAAP&#10;AAAAAAAAAAEAIAAAACIAAABkcnMvZG93bnJldi54bWxQSwECFAAUAAAACACHTuJAE3lvaIsCAAAJ&#10;BQAADgAAAAAAAAABACAAAAAmAQAAZHJzL2Uyb0RvYy54bWxQSwUGAAAAAAYABgBZAQAAIwY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Theme="minorEastAsia"/>
                                <w:sz w:val="18"/>
                                <w:szCs w:val="20"/>
                                <w:lang w:val="en-US" w:eastAsia="zh-CN"/>
                              </w:rPr>
                            </w:pPr>
                            <w:r>
                              <w:rPr>
                                <w:rFonts w:hint="eastAsia"/>
                                <w:sz w:val="18"/>
                                <w:szCs w:val="20"/>
                                <w:lang w:val="en-US" w:eastAsia="zh-CN"/>
                              </w:rPr>
                              <w:t>新能源汽车</w:t>
                            </w:r>
                          </w:p>
                        </w:txbxContent>
                      </v:textbox>
                    </v:roundrect>
                  </w:pict>
                </mc:Fallback>
              </mc:AlternateContent>
            </w:r>
            <w:r>
              <w:drawing>
                <wp:inline distT="0" distB="0" distL="114300" distR="114300">
                  <wp:extent cx="4195445" cy="2116455"/>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95445" cy="21164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图为研究因素的综合效应图</w:t>
            </w:r>
          </w:p>
          <w:p/>
          <w:p>
            <w:pPr>
              <w:rPr>
                <w:rFonts w:hint="eastAsia"/>
                <w:lang w:val="en-US" w:eastAsia="zh-CN"/>
              </w:rPr>
            </w:pPr>
            <w:r>
              <w:rPr>
                <w:rFonts w:hint="eastAsia"/>
                <w:lang w:val="en-US" w:eastAsia="zh-CN"/>
              </w:rPr>
              <w:t>本文以采用普通最小二乘法估计如下的线性回归模型，研究新能源汽车的发展对汽车产业经济的影响，实现从拉动内需、汽车产业经济的发展到中国新能源方面的发展，甚至在新基建、就业等方面的贡献。</w:t>
            </w:r>
          </w:p>
          <w:p>
            <w:pPr>
              <w:rPr>
                <w:rFonts w:hint="default"/>
                <w:lang w:val="en-US" w:eastAsia="zh-CN"/>
              </w:rPr>
            </w:pPr>
            <w:r>
              <w:rPr>
                <w:rFonts w:hint="eastAsia"/>
                <w:lang w:val="en-US" w:eastAsia="zh-CN"/>
              </w:rPr>
              <w:t>假定疫情恢复、国际关系稳步发展，不爆发系统性风险，新能源经济将有利于中国国际贸易与合作中找到新的突破口，对外带动政治关系、多边贸易关系的突破，对内有利于拉动就业、助力通胀压力的缓解，最终综合实现中国当前的经济与发展的正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rPr>
            </w:pPr>
          </w:p>
          <w:p>
            <w:pPr>
              <w:rPr>
                <w:rFonts w:hint="eastAsia" w:ascii="宋体" w:hAnsi="宋体" w:eastAsia="宋体"/>
                <w:color w:val="FF0000"/>
                <w:sz w:val="24"/>
                <w:szCs w:val="24"/>
              </w:rPr>
            </w:pPr>
            <w:r>
              <w:rPr>
                <w:rFonts w:hint="eastAsia"/>
                <w:lang w:val="en-US" w:eastAsia="zh-CN"/>
              </w:rPr>
              <w:t>首先，近期新能源汽车的不俗表现，是撬动经济发展的一个契机，面对俄乌冲突以来的能源、粮食等危机，而我国能源消耗需求的客观存在（生产、生活），新能源汽车的能源替代，在特殊时期有助于降低国家对能源价格飙升带来的压力。其次，新能源汽车--汽车产业--进出口贸易--新能源基建--就业--刺激经济，有可能形成很好地循环系统。其次新能源汽车产业链的电池等厂商的出口和出海建厂，对突破欧洲等国际的合作有所助益。最后，经济的发展离不开能源的消耗，生产、生活也需要消耗各种能源的支撑，但是传统的能源都是高污染、高能耗，且能源价格飙升的状态下，发展新能源经济将为实现经济可持续发展打下坚实的基础，新能源的开发运用技术得到快速提升，对于现代经济的发展起到了一定的助推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俄乌冲突带来的新一轮潜在能源危机，叠加疫情，都给地缘冲突下通货膨胀带来更多的不确定性，新能源汽车产业链在此时的内、外需求输出下，对国内经济、国内能源基建、国内就业、国内能源成本、就业等方面可能达成新的均衡，既发展经济、又降低成本，提升国内产品的综合成本竞争力，也是稳定国内生产、生活，保障人民根本利益的重要途径。其次，新能源汽车产业链的出海，是特殊时期国际关系的纽带，以经济促发展，解他人之所急，是、以和平共处、经济外交为手段，解他人之所难，寻求共赢点，突破单边主义下的发展压力，甚至突出重围壮大中国的新能源汽车，将从政治、经济、社会和自然环境保护的多角度，发掘危机下的机遇。</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numPr>
                <w:ilvl w:val="0"/>
                <w:numId w:val="1"/>
              </w:numPr>
              <w:rPr>
                <w:rFonts w:ascii="宋体" w:hAnsi="宋体" w:eastAsia="宋体" w:cs="宋体"/>
                <w:sz w:val="24"/>
                <w:szCs w:val="24"/>
              </w:rPr>
            </w:pPr>
            <w:r>
              <w:rPr>
                <w:rFonts w:hint="eastAsia" w:ascii="宋体" w:hAnsi="宋体" w:eastAsia="宋体" w:cs="宋体"/>
                <w:sz w:val="24"/>
                <w:szCs w:val="24"/>
              </w:rPr>
              <w:t>中商产业研究院2022年上半年中国汽车出口市场数据分析</w:t>
            </w:r>
            <w:r>
              <w:rPr>
                <w:rFonts w:hint="eastAsia" w:ascii="宋体" w:hAnsi="宋体" w:eastAsia="宋体" w:cs="宋体"/>
                <w:sz w:val="24"/>
                <w:szCs w:val="24"/>
                <w:lang w:val="en-US" w:eastAsia="zh-CN"/>
              </w:rPr>
              <w:t>-----网络新闻</w:t>
            </w:r>
          </w:p>
          <w:p>
            <w:pPr>
              <w:numPr>
                <w:ilvl w:val="0"/>
                <w:numId w:val="1"/>
              </w:numPr>
              <w:rPr>
                <w:rFonts w:ascii="宋体" w:hAnsi="宋体" w:eastAsia="宋体" w:cs="宋体"/>
                <w:sz w:val="24"/>
                <w:szCs w:val="24"/>
              </w:rPr>
            </w:pPr>
            <w:r>
              <w:rPr>
                <w:rFonts w:ascii="宋体" w:hAnsi="宋体" w:eastAsia="宋体" w:cs="宋体"/>
                <w:sz w:val="24"/>
                <w:szCs w:val="24"/>
              </w:rPr>
              <w:t xml:space="preserve">Punzi., Maria., Teresa. The impact of energy price uncertainty on macroeconomic variables[J]. Energy policy, 2019(6): 1306-1319. </w:t>
            </w:r>
          </w:p>
          <w:p>
            <w:pPr>
              <w:numPr>
                <w:ilvl w:val="0"/>
                <w:numId w:val="1"/>
              </w:numPr>
              <w:rPr>
                <w:rFonts w:ascii="宋体" w:hAnsi="宋体" w:eastAsia="宋体"/>
                <w:sz w:val="24"/>
                <w:szCs w:val="24"/>
              </w:rPr>
            </w:pPr>
            <w:r>
              <w:rPr>
                <w:rFonts w:ascii="宋体" w:hAnsi="宋体" w:eastAsia="宋体" w:cs="宋体"/>
                <w:sz w:val="24"/>
                <w:szCs w:val="24"/>
              </w:rPr>
              <w:t>杜秦川</w:t>
            </w:r>
            <w:r>
              <w:rPr>
                <w:rFonts w:hint="eastAsia" w:ascii="宋体" w:hAnsi="宋体" w:eastAsia="宋体" w:cs="宋体"/>
                <w:sz w:val="24"/>
                <w:szCs w:val="24"/>
                <w:lang w:eastAsia="zh-CN"/>
              </w:rPr>
              <w:t>，</w:t>
            </w:r>
            <w:r>
              <w:rPr>
                <w:rFonts w:ascii="宋体" w:hAnsi="宋体" w:eastAsia="宋体" w:cs="宋体"/>
                <w:sz w:val="24"/>
                <w:szCs w:val="24"/>
              </w:rPr>
              <w:t>高度关注、提早应对全球通胀压力新变化</w:t>
            </w:r>
            <w:r>
              <w:rPr>
                <w:rFonts w:hint="eastAsia" w:ascii="宋体" w:hAnsi="宋体" w:eastAsia="宋体" w:cs="宋体"/>
                <w:sz w:val="24"/>
                <w:szCs w:val="24"/>
                <w:lang w:val="en-US" w:eastAsia="zh-CN"/>
              </w:rPr>
              <w:t xml:space="preserve"> </w:t>
            </w:r>
            <w:r>
              <w:rPr>
                <w:rFonts w:ascii="宋体" w:hAnsi="宋体" w:eastAsia="宋体" w:cs="宋体"/>
                <w:sz w:val="24"/>
                <w:szCs w:val="24"/>
              </w:rPr>
              <w:t>2022.07</w:t>
            </w:r>
            <w:r>
              <w:rPr>
                <w:rFonts w:hint="eastAsia" w:ascii="宋体" w:hAnsi="宋体" w:eastAsia="宋体" w:cs="宋体"/>
                <w:sz w:val="24"/>
                <w:szCs w:val="24"/>
                <w:lang w:val="en-US" w:eastAsia="zh-CN"/>
              </w:rPr>
              <w:t>:01-02</w:t>
            </w:r>
          </w:p>
          <w:p>
            <w:pPr>
              <w:numPr>
                <w:ilvl w:val="0"/>
                <w:numId w:val="1"/>
              </w:numPr>
              <w:rPr>
                <w:rFonts w:ascii="宋体" w:hAnsi="宋体" w:eastAsia="宋体"/>
                <w:sz w:val="24"/>
                <w:szCs w:val="24"/>
              </w:rPr>
            </w:pPr>
            <w:r>
              <w:rPr>
                <w:rFonts w:ascii="宋体" w:hAnsi="宋体" w:eastAsia="宋体" w:cs="宋体"/>
                <w:sz w:val="24"/>
                <w:szCs w:val="24"/>
              </w:rPr>
              <w:t xml:space="preserve">黄季焜，杨军，仇焕广，等.本轮粮食价格的大起大落：主要原因及未来走势[J].管理世界，2009(1)：72- 78. </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我国能源进出口贸易分析_雷夏丽</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国际油价、人民币汇率与中国股市间的动态关系研究_王秋丽</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新能源战略对世界经济可持续发展的影响_才斌</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政府补贴对中国新能源汽车企业研发投入的影响研究</w:t>
            </w:r>
          </w:p>
          <w:p>
            <w:pPr>
              <w:numPr>
                <w:ilvl w:val="0"/>
                <w:numId w:val="1"/>
              </w:numPr>
              <w:ind w:left="0" w:leftChars="0" w:firstLine="0" w:firstLineChars="0"/>
              <w:rPr>
                <w:rFonts w:ascii="宋体" w:hAnsi="宋体" w:eastAsia="宋体"/>
                <w:sz w:val="24"/>
                <w:szCs w:val="24"/>
              </w:rPr>
            </w:pPr>
            <w:r>
              <w:rPr>
                <w:rFonts w:hint="eastAsia" w:ascii="宋体" w:hAnsi="宋体" w:eastAsia="宋体" w:cs="宋体"/>
                <w:sz w:val="24"/>
                <w:szCs w:val="24"/>
              </w:rPr>
              <w:t>危机下的世界经济与能源需求波动_张友国 (1)</w:t>
            </w: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Taghizadeh-Hesary., Farhad., Rasoulinezhad., et al. Energy and Food Security: Linkages through Price Volatility[J]. Energy policy, 2019(5): 796-806.</w:t>
            </w:r>
          </w:p>
          <w:p>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全球能源互联网发展合作组织. 全球清洁能源开发与投资 研究[M]. 北京：中国电力出版社，2020.</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肖德，李坤.“一带一路背景下中国金融服务贸易国际竞争力分析”，《东北师大学报（哲学社会科学版）》，2016，（03）：67-71.</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欧洲能源困境根源在美国_刘中民</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基于实物期权的新能源汽车比亚迪企业价值评估研究</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2022年上半年世界经济和外贸外资形势分析与展望_中国宏观经济研究院对外经济研究所经济形势课题组</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俄乌冲突对世界能源发展的影响与启示_刘泽洪</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高度关注、提早应对全球通胀压力新变化_杜秦川</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新型基础设施建设对全要素生产率的影响研究</w:t>
            </w:r>
            <w:r>
              <w:rPr>
                <w:rFonts w:hint="eastAsia" w:ascii="宋体" w:hAnsi="宋体" w:eastAsia="宋体" w:cs="宋体"/>
                <w:sz w:val="24"/>
                <w:szCs w:val="24"/>
              </w:rPr>
              <w:tab/>
            </w:r>
            <w:r>
              <w:rPr>
                <w:rFonts w:hint="eastAsia" w:ascii="宋体" w:hAnsi="宋体" w:eastAsia="宋体" w:cs="宋体"/>
                <w:sz w:val="24"/>
                <w:szCs w:val="24"/>
              </w:rPr>
              <w:t>孙尚斌</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地缘冲突将深刻影响全球能源产业格局</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“一带一路”背景下东盟国家...化对中国能源进口的影响研究_刘运格</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新能源产业对中国—巴西贸易的影响及对策_曾珠</w:t>
            </w:r>
          </w:p>
          <w:p>
            <w:pPr>
              <w:numPr>
                <w:ilvl w:val="0"/>
                <w:numId w:val="1"/>
              </w:numPr>
              <w:ind w:left="0" w:leftChars="0" w:firstLine="0" w:firstLineChars="0"/>
              <w:rPr>
                <w:rFonts w:ascii="宋体" w:hAnsi="宋体" w:eastAsia="宋体" w:cs="宋体"/>
                <w:sz w:val="24"/>
                <w:szCs w:val="24"/>
              </w:rPr>
            </w:pPr>
            <w:r>
              <w:rPr>
                <w:rFonts w:hint="eastAsia" w:ascii="宋体" w:hAnsi="宋体" w:eastAsia="宋体" w:cs="宋体"/>
                <w:sz w:val="24"/>
                <w:szCs w:val="24"/>
              </w:rPr>
              <w:t>能源强度对中国经济增长的影响分析_黄晓航</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CN"/>
              </w:rPr>
              <w:t>新能源经济对中国新时期国际贸易与合作的影响</w:t>
            </w:r>
          </w:p>
          <w:p>
            <w:pPr>
              <w:rPr>
                <w:rFonts w:ascii="宋体" w:hAnsi="宋体" w:eastAsia="宋体"/>
                <w:sz w:val="24"/>
                <w:szCs w:val="24"/>
              </w:rPr>
            </w:pPr>
            <w:r>
              <w:rPr>
                <w:rFonts w:hint="eastAsia" w:ascii="宋体" w:hAnsi="宋体" w:eastAsia="宋体"/>
                <w:sz w:val="24"/>
                <w:szCs w:val="24"/>
              </w:rPr>
              <w:t>主题词：</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世界经济，新能源，中国国际贸易与合作</w:t>
            </w: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p>
          <w:p>
            <w:pPr>
              <w:numPr>
                <w:ilvl w:val="1"/>
                <w:numId w:val="2"/>
              </w:numPr>
              <w:ind w:left="480" w:leftChars="0" w:firstLine="0" w:firstLineChars="0"/>
              <w:rPr>
                <w:rFonts w:hint="eastAsia" w:ascii="宋体" w:hAnsi="宋体" w:eastAsia="宋体"/>
                <w:sz w:val="24"/>
                <w:szCs w:val="24"/>
              </w:rPr>
            </w:pPr>
            <w:r>
              <w:rPr>
                <w:rFonts w:hint="eastAsia" w:ascii="宋体" w:hAnsi="宋体" w:eastAsia="宋体"/>
                <w:sz w:val="24"/>
                <w:szCs w:val="24"/>
                <w:lang w:val="en-US" w:eastAsia="zh-CN"/>
              </w:rPr>
              <w:t xml:space="preserve"> </w:t>
            </w:r>
            <w:r>
              <w:rPr>
                <w:rFonts w:hint="eastAsia" w:ascii="宋体" w:hAnsi="宋体" w:eastAsia="宋体"/>
                <w:sz w:val="24"/>
                <w:szCs w:val="24"/>
              </w:rPr>
              <w:t>研究背景和研究意义</w:t>
            </w:r>
          </w:p>
          <w:p>
            <w:pPr>
              <w:numPr>
                <w:ilvl w:val="1"/>
                <w:numId w:val="2"/>
              </w:numPr>
              <w:ind w:left="480" w:leftChars="0" w:firstLine="0" w:firstLineChars="0"/>
              <w:rPr>
                <w:rFonts w:hint="eastAsia" w:ascii="宋体" w:hAnsi="宋体" w:eastAsia="宋体"/>
                <w:sz w:val="24"/>
                <w:szCs w:val="24"/>
              </w:rPr>
            </w:pPr>
            <w:r>
              <w:rPr>
                <w:rFonts w:hint="eastAsia" w:ascii="宋体" w:hAnsi="宋体" w:eastAsia="宋体"/>
                <w:sz w:val="24"/>
                <w:szCs w:val="24"/>
                <w:lang w:val="en-US" w:eastAsia="zh-CN"/>
              </w:rPr>
              <w:t xml:space="preserve"> 已有文献的研究成果</w:t>
            </w:r>
            <w:r>
              <w:rPr>
                <w:rFonts w:hint="eastAsia" w:ascii="宋体" w:hAnsi="宋体" w:eastAsia="宋体"/>
                <w:sz w:val="24"/>
                <w:szCs w:val="24"/>
              </w:rPr>
              <w:t>与本文的创新点</w:t>
            </w:r>
          </w:p>
          <w:p>
            <w:pPr>
              <w:numPr>
                <w:ilvl w:val="1"/>
                <w:numId w:val="2"/>
              </w:numPr>
              <w:ind w:left="480" w:leftChars="0" w:firstLine="0" w:firstLineChars="0"/>
              <w:rPr>
                <w:rFonts w:ascii="宋体" w:hAnsi="宋体" w:eastAsia="宋体"/>
                <w:sz w:val="24"/>
                <w:szCs w:val="24"/>
              </w:rPr>
            </w:pPr>
            <w:r>
              <w:rPr>
                <w:rFonts w:hint="eastAsia" w:ascii="宋体" w:hAnsi="宋体" w:eastAsia="宋体"/>
                <w:sz w:val="24"/>
                <w:szCs w:val="24"/>
              </w:rPr>
              <w:t xml:space="preserve"> 本文主要观点</w:t>
            </w:r>
          </w:p>
          <w:p>
            <w:pPr>
              <w:rPr>
                <w:rFonts w:ascii="宋体" w:hAnsi="宋体" w:eastAsia="宋体"/>
                <w:sz w:val="24"/>
                <w:szCs w:val="24"/>
              </w:rPr>
            </w:pPr>
            <w:r>
              <w:rPr>
                <w:rFonts w:hint="eastAsia" w:ascii="宋体" w:hAnsi="宋体" w:eastAsia="宋体"/>
                <w:sz w:val="24"/>
                <w:szCs w:val="24"/>
              </w:rPr>
              <w:t>第2章 文献综述</w:t>
            </w:r>
          </w:p>
          <w:p>
            <w:pPr>
              <w:ind w:firstLine="465"/>
              <w:rPr>
                <w:rFonts w:ascii="宋体" w:hAnsi="宋体" w:eastAsia="宋体"/>
                <w:sz w:val="24"/>
                <w:szCs w:val="24"/>
              </w:rPr>
            </w:pPr>
            <w:r>
              <w:rPr>
                <w:rFonts w:hint="eastAsia" w:ascii="宋体" w:hAnsi="宋体" w:eastAsia="宋体"/>
                <w:sz w:val="24"/>
                <w:szCs w:val="24"/>
              </w:rPr>
              <w:t>2.1</w:t>
            </w:r>
            <w:r>
              <w:rPr>
                <w:rFonts w:hint="eastAsia" w:ascii="宋体" w:hAnsi="宋体" w:eastAsia="宋体"/>
                <w:sz w:val="24"/>
                <w:szCs w:val="24"/>
                <w:lang w:val="en-US" w:eastAsia="zh-CN"/>
              </w:rPr>
              <w:t xml:space="preserve">  </w:t>
            </w:r>
            <w:r>
              <w:rPr>
                <w:rFonts w:hint="eastAsia" w:ascii="宋体" w:hAnsi="宋体" w:eastAsia="宋体"/>
                <w:sz w:val="24"/>
                <w:szCs w:val="24"/>
              </w:rPr>
              <w:t>国内外研究</w:t>
            </w:r>
            <w:r>
              <w:rPr>
                <w:rFonts w:hint="eastAsia" w:ascii="宋体" w:hAnsi="宋体" w:eastAsia="宋体"/>
                <w:sz w:val="24"/>
                <w:szCs w:val="24"/>
                <w:lang w:val="en-US" w:eastAsia="zh-CN"/>
              </w:rPr>
              <w:t>/发展</w:t>
            </w:r>
            <w:r>
              <w:rPr>
                <w:rFonts w:hint="eastAsia" w:ascii="宋体" w:hAnsi="宋体" w:eastAsia="宋体"/>
                <w:sz w:val="24"/>
                <w:szCs w:val="24"/>
              </w:rPr>
              <w:t>现状</w:t>
            </w:r>
          </w:p>
          <w:p>
            <w:pPr>
              <w:ind w:firstLine="465"/>
              <w:rPr>
                <w:rFonts w:hint="eastAsia"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en-US" w:eastAsia="zh-CN"/>
              </w:rPr>
              <w:t>2  新能源汽车的发展对中国汽车产业经济影响的</w:t>
            </w:r>
            <w:r>
              <w:rPr>
                <w:rFonts w:hint="eastAsia" w:ascii="宋体" w:hAnsi="宋体" w:eastAsia="宋体"/>
                <w:sz w:val="24"/>
                <w:szCs w:val="24"/>
              </w:rPr>
              <w:t>相关研究</w:t>
            </w:r>
          </w:p>
          <w:p>
            <w:pPr>
              <w:rPr>
                <w:rFonts w:hint="default" w:ascii="宋体" w:hAnsi="宋体" w:eastAsia="宋体"/>
                <w:sz w:val="24"/>
                <w:szCs w:val="24"/>
                <w:lang w:val="en-US" w:eastAsia="zh-CN"/>
              </w:rPr>
            </w:pPr>
            <w:r>
              <w:rPr>
                <w:rFonts w:hint="eastAsia" w:ascii="宋体" w:hAnsi="宋体" w:eastAsia="宋体"/>
                <w:sz w:val="24"/>
                <w:szCs w:val="24"/>
              </w:rPr>
              <w:t xml:space="preserve">第3章 </w:t>
            </w:r>
            <w:r>
              <w:rPr>
                <w:rFonts w:hint="eastAsia" w:ascii="宋体" w:hAnsi="宋体" w:eastAsia="宋体"/>
                <w:sz w:val="24"/>
                <w:szCs w:val="24"/>
                <w:lang w:val="en-US" w:eastAsia="zh-CN"/>
              </w:rPr>
              <w:t>国内外环境与能源发展现状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3.1</w:t>
            </w:r>
            <w:r>
              <w:rPr>
                <w:rFonts w:hint="eastAsia" w:ascii="宋体" w:hAnsi="宋体" w:eastAsia="宋体"/>
                <w:sz w:val="24"/>
                <w:szCs w:val="24"/>
                <w:lang w:val="en-US" w:eastAsia="zh-CN"/>
              </w:rPr>
              <w:t xml:space="preserve">  国际能源发展问题与影响</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rPr>
              <w:t>3.</w:t>
            </w:r>
            <w:r>
              <w:rPr>
                <w:rFonts w:hint="eastAsia" w:ascii="宋体" w:hAnsi="宋体" w:eastAsia="宋体"/>
                <w:sz w:val="24"/>
                <w:szCs w:val="24"/>
                <w:lang w:val="en-US" w:eastAsia="zh-CN"/>
              </w:rPr>
              <w:t>2  新形势下欧洲能源的研究分析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3.</w:t>
            </w:r>
            <w:r>
              <w:rPr>
                <w:rFonts w:hint="eastAsia" w:ascii="宋体" w:hAnsi="宋体" w:eastAsia="宋体"/>
                <w:sz w:val="24"/>
                <w:szCs w:val="24"/>
                <w:lang w:val="en-US" w:eastAsia="zh-CN"/>
              </w:rPr>
              <w:t>3  中国现阶段能源生产、消耗情况</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3.</w:t>
            </w:r>
            <w:r>
              <w:rPr>
                <w:rFonts w:hint="eastAsia" w:ascii="宋体" w:hAnsi="宋体" w:eastAsia="宋体"/>
                <w:sz w:val="24"/>
                <w:szCs w:val="24"/>
                <w:lang w:val="en-US" w:eastAsia="zh-CN"/>
              </w:rPr>
              <w:t>3.1  中国现阶段用电分析</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rPr>
              <w:t>3.</w:t>
            </w:r>
            <w:r>
              <w:rPr>
                <w:rFonts w:hint="eastAsia" w:ascii="宋体" w:hAnsi="宋体" w:eastAsia="宋体"/>
                <w:sz w:val="24"/>
                <w:szCs w:val="24"/>
                <w:lang w:val="en-US" w:eastAsia="zh-CN"/>
              </w:rPr>
              <w:t>3.2  双碳政策与新能源发展情况</w:t>
            </w:r>
          </w:p>
          <w:p>
            <w:pPr>
              <w:rPr>
                <w:rFonts w:hint="default"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4</w:t>
            </w:r>
            <w:r>
              <w:rPr>
                <w:rFonts w:hint="eastAsia" w:ascii="宋体" w:hAnsi="宋体" w:eastAsia="宋体"/>
                <w:sz w:val="24"/>
                <w:szCs w:val="24"/>
              </w:rPr>
              <w:t xml:space="preserve">章 </w:t>
            </w:r>
            <w:r>
              <w:rPr>
                <w:rFonts w:hint="eastAsia" w:ascii="宋体" w:hAnsi="宋体" w:eastAsia="宋体"/>
                <w:sz w:val="24"/>
                <w:szCs w:val="24"/>
                <w:lang w:val="en-US" w:eastAsia="zh-CN"/>
              </w:rPr>
              <w:t>中国新能源汽车产业的发展情况</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hint="eastAsia" w:ascii="宋体" w:hAnsi="宋体" w:eastAsia="宋体"/>
                <w:sz w:val="24"/>
                <w:szCs w:val="24"/>
              </w:rPr>
              <w:t>.1</w:t>
            </w:r>
            <w:r>
              <w:rPr>
                <w:rFonts w:hint="eastAsia" w:ascii="宋体" w:hAnsi="宋体" w:eastAsia="宋体"/>
                <w:sz w:val="24"/>
                <w:szCs w:val="24"/>
                <w:lang w:val="en-US" w:eastAsia="zh-CN"/>
              </w:rPr>
              <w:t xml:space="preserve">  发展历史沿革</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hint="eastAsia" w:ascii="宋体" w:hAnsi="宋体" w:eastAsia="宋体"/>
                <w:sz w:val="24"/>
                <w:szCs w:val="24"/>
              </w:rPr>
              <w:t>.</w:t>
            </w:r>
            <w:r>
              <w:rPr>
                <w:rFonts w:hint="eastAsia" w:ascii="宋体" w:hAnsi="宋体" w:eastAsia="宋体"/>
                <w:sz w:val="24"/>
                <w:szCs w:val="24"/>
                <w:lang w:val="en-US" w:eastAsia="zh-CN"/>
              </w:rPr>
              <w:t>2  发展阶段与市场内需求情况</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4</w:t>
            </w:r>
            <w:r>
              <w:rPr>
                <w:rFonts w:hint="eastAsia" w:ascii="宋体" w:hAnsi="宋体" w:eastAsia="宋体"/>
                <w:sz w:val="24"/>
                <w:szCs w:val="24"/>
              </w:rPr>
              <w:t>.</w:t>
            </w:r>
            <w:r>
              <w:rPr>
                <w:rFonts w:hint="eastAsia" w:ascii="宋体" w:hAnsi="宋体" w:eastAsia="宋体"/>
                <w:sz w:val="24"/>
                <w:szCs w:val="24"/>
                <w:lang w:val="en-US" w:eastAsia="zh-CN"/>
              </w:rPr>
              <w:t>3  产业链各环节的亮眼表现</w:t>
            </w:r>
          </w:p>
          <w:p>
            <w:pPr>
              <w:numPr>
                <w:ilvl w:val="0"/>
                <w:numId w:val="3"/>
              </w:numPr>
              <w:rPr>
                <w:rFonts w:hint="default" w:ascii="宋体" w:hAnsi="宋体" w:eastAsia="宋体"/>
                <w:sz w:val="24"/>
                <w:szCs w:val="24"/>
                <w:lang w:val="en-US" w:eastAsia="zh-CN"/>
              </w:rPr>
            </w:pPr>
            <w:r>
              <w:rPr>
                <w:rFonts w:hint="eastAsia" w:ascii="宋体" w:hAnsi="宋体" w:eastAsia="宋体"/>
                <w:sz w:val="24"/>
                <w:szCs w:val="24"/>
                <w:lang w:val="en-US" w:eastAsia="zh-CN"/>
              </w:rPr>
              <w:t>新能源汽车的发展对汽车产业经济的影响</w:t>
            </w:r>
          </w:p>
          <w:p>
            <w:pPr>
              <w:ind w:firstLine="480" w:firstLineChars="200"/>
              <w:rPr>
                <w:rFonts w:ascii="宋体" w:hAnsi="宋体" w:eastAsia="宋体"/>
                <w:sz w:val="24"/>
                <w:szCs w:val="24"/>
              </w:rPr>
            </w:pPr>
            <w:r>
              <w:rPr>
                <w:rFonts w:hint="eastAsia" w:ascii="宋体" w:hAnsi="宋体" w:eastAsia="宋体"/>
                <w:sz w:val="24"/>
                <w:szCs w:val="24"/>
              </w:rPr>
              <w:t>5.1变量选择与数据来源</w:t>
            </w:r>
          </w:p>
          <w:p>
            <w:pPr>
              <w:ind w:firstLine="480" w:firstLineChars="200"/>
              <w:rPr>
                <w:rFonts w:ascii="宋体" w:hAnsi="宋体" w:eastAsia="宋体"/>
                <w:sz w:val="24"/>
                <w:szCs w:val="24"/>
              </w:rPr>
            </w:pPr>
            <w:r>
              <w:rPr>
                <w:rFonts w:hint="eastAsia" w:ascii="宋体" w:hAnsi="宋体" w:eastAsia="宋体"/>
                <w:sz w:val="24"/>
                <w:szCs w:val="24"/>
              </w:rPr>
              <w:t>5.1.1变量选择</w:t>
            </w:r>
          </w:p>
          <w:p>
            <w:pPr>
              <w:ind w:firstLine="480" w:firstLineChars="200"/>
              <w:rPr>
                <w:rFonts w:ascii="宋体" w:hAnsi="宋体" w:eastAsia="宋体"/>
                <w:sz w:val="24"/>
                <w:szCs w:val="24"/>
              </w:rPr>
            </w:pPr>
            <w:r>
              <w:rPr>
                <w:rFonts w:hint="eastAsia" w:ascii="宋体" w:hAnsi="宋体" w:eastAsia="宋体"/>
                <w:sz w:val="24"/>
                <w:szCs w:val="24"/>
              </w:rPr>
              <w:t>5.1.2数据来源</w:t>
            </w:r>
          </w:p>
          <w:p>
            <w:pPr>
              <w:ind w:firstLine="480" w:firstLineChars="200"/>
              <w:rPr>
                <w:rFonts w:ascii="宋体" w:hAnsi="宋体" w:eastAsia="宋体"/>
                <w:sz w:val="24"/>
                <w:szCs w:val="24"/>
              </w:rPr>
            </w:pPr>
            <w:r>
              <w:rPr>
                <w:rFonts w:hint="eastAsia" w:ascii="宋体" w:hAnsi="宋体" w:eastAsia="宋体"/>
                <w:sz w:val="24"/>
                <w:szCs w:val="24"/>
              </w:rPr>
              <w:t>5.2模型构建</w:t>
            </w:r>
          </w:p>
          <w:p>
            <w:pPr>
              <w:ind w:firstLine="480" w:firstLineChars="200"/>
              <w:rPr>
                <w:rFonts w:ascii="宋体" w:hAnsi="宋体" w:eastAsia="宋体"/>
                <w:sz w:val="24"/>
                <w:szCs w:val="24"/>
              </w:rPr>
            </w:pPr>
            <w:r>
              <w:rPr>
                <w:rFonts w:hint="eastAsia" w:ascii="宋体" w:hAnsi="宋体" w:eastAsia="宋体"/>
                <w:sz w:val="24"/>
                <w:szCs w:val="24"/>
              </w:rPr>
              <w:t>5.3实证分析</w:t>
            </w:r>
          </w:p>
          <w:p>
            <w:pPr>
              <w:ind w:firstLine="480" w:firstLineChars="200"/>
              <w:rPr>
                <w:rFonts w:ascii="宋体" w:hAnsi="宋体" w:eastAsia="宋体"/>
                <w:sz w:val="24"/>
                <w:szCs w:val="24"/>
              </w:rPr>
            </w:pPr>
            <w:r>
              <w:rPr>
                <w:rFonts w:hint="eastAsia" w:ascii="宋体" w:hAnsi="宋体" w:eastAsia="宋体"/>
                <w:sz w:val="24"/>
                <w:szCs w:val="24"/>
              </w:rPr>
              <w:t>5.3.1稳定性检验</w:t>
            </w:r>
          </w:p>
          <w:p>
            <w:pPr>
              <w:ind w:firstLine="480" w:firstLineChars="200"/>
              <w:rPr>
                <w:rFonts w:ascii="宋体" w:hAnsi="宋体" w:eastAsia="宋体"/>
                <w:sz w:val="24"/>
                <w:szCs w:val="24"/>
              </w:rPr>
            </w:pPr>
            <w:r>
              <w:rPr>
                <w:rFonts w:hint="eastAsia" w:ascii="宋体" w:hAnsi="宋体" w:eastAsia="宋体"/>
                <w:sz w:val="24"/>
                <w:szCs w:val="24"/>
              </w:rPr>
              <w:t>5.3.2回归分析</w:t>
            </w:r>
          </w:p>
          <w:p>
            <w:pPr>
              <w:ind w:firstLine="480" w:firstLineChars="200"/>
              <w:rPr>
                <w:rFonts w:ascii="宋体" w:hAnsi="宋体" w:eastAsia="宋体"/>
                <w:sz w:val="24"/>
                <w:szCs w:val="24"/>
              </w:rPr>
            </w:pPr>
            <w:r>
              <w:rPr>
                <w:rFonts w:hint="eastAsia" w:ascii="宋体" w:hAnsi="宋体" w:eastAsia="宋体"/>
                <w:sz w:val="24"/>
                <w:szCs w:val="24"/>
              </w:rPr>
              <w:t>5.4实证结果</w:t>
            </w:r>
          </w:p>
          <w:p>
            <w:pPr>
              <w:rPr>
                <w:rFonts w:ascii="宋体" w:hAnsi="宋体" w:eastAsia="宋体"/>
                <w:sz w:val="24"/>
                <w:szCs w:val="24"/>
              </w:rPr>
            </w:pPr>
            <w:r>
              <w:rPr>
                <w:rFonts w:hint="eastAsia" w:ascii="宋体" w:hAnsi="宋体" w:eastAsia="宋体"/>
                <w:sz w:val="24"/>
                <w:szCs w:val="24"/>
              </w:rPr>
              <w:t>第6章 结论与建议</w:t>
            </w:r>
          </w:p>
          <w:p>
            <w:pPr>
              <w:ind w:firstLine="480" w:firstLineChars="200"/>
              <w:rPr>
                <w:rFonts w:ascii="宋体" w:hAnsi="宋体" w:eastAsia="宋体"/>
                <w:sz w:val="24"/>
                <w:szCs w:val="24"/>
              </w:rPr>
            </w:pPr>
            <w:r>
              <w:rPr>
                <w:rFonts w:hint="eastAsia" w:ascii="宋体" w:hAnsi="宋体" w:eastAsia="宋体"/>
                <w:sz w:val="24"/>
                <w:szCs w:val="24"/>
              </w:rPr>
              <w:t>6.1结论</w:t>
            </w:r>
          </w:p>
          <w:p>
            <w:pPr>
              <w:ind w:firstLine="480" w:firstLineChars="200"/>
              <w:rPr>
                <w:rFonts w:ascii="宋体" w:hAnsi="宋体" w:eastAsia="宋体"/>
                <w:sz w:val="24"/>
                <w:szCs w:val="24"/>
              </w:rPr>
            </w:pPr>
            <w:r>
              <w:rPr>
                <w:rFonts w:hint="eastAsia" w:ascii="宋体" w:hAnsi="宋体" w:eastAsia="宋体"/>
                <w:sz w:val="24"/>
                <w:szCs w:val="24"/>
              </w:rPr>
              <w:t>6.2建议</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rPr>
              <w:t>参考文献</w:t>
            </w:r>
          </w:p>
          <w:p>
            <w:pPr>
              <w:rPr>
                <w:rFonts w:hint="eastAsia" w:ascii="宋体" w:hAnsi="宋体" w:eastAsia="宋体"/>
                <w:sz w:val="24"/>
                <w:szCs w:val="24"/>
              </w:rPr>
            </w:pPr>
          </w:p>
          <w:p>
            <w:pPr>
              <w:numPr>
                <w:ilvl w:val="0"/>
                <w:numId w:val="0"/>
              </w:num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566B3"/>
    <w:multiLevelType w:val="singleLevel"/>
    <w:tmpl w:val="A4E566B3"/>
    <w:lvl w:ilvl="0" w:tentative="0">
      <w:start w:val="5"/>
      <w:numFmt w:val="decimal"/>
      <w:suff w:val="space"/>
      <w:lvlText w:val="第%1章"/>
      <w:lvlJc w:val="left"/>
    </w:lvl>
  </w:abstractNum>
  <w:abstractNum w:abstractNumId="1">
    <w:nsid w:val="AED01197"/>
    <w:multiLevelType w:val="singleLevel"/>
    <w:tmpl w:val="AED01197"/>
    <w:lvl w:ilvl="0" w:tentative="0">
      <w:start w:val="1"/>
      <w:numFmt w:val="decimal"/>
      <w:lvlText w:val="[%1]"/>
      <w:lvlJc w:val="left"/>
      <w:pPr>
        <w:tabs>
          <w:tab w:val="left" w:pos="312"/>
        </w:tabs>
      </w:pPr>
    </w:lvl>
  </w:abstractNum>
  <w:abstractNum w:abstractNumId="2">
    <w:nsid w:val="FDABFD0D"/>
    <w:multiLevelType w:val="multilevel"/>
    <w:tmpl w:val="FDABFD0D"/>
    <w:lvl w:ilvl="0" w:tentative="0">
      <w:start w:val="1"/>
      <w:numFmt w:val="decimal"/>
      <w:suff w:val="space"/>
      <w:lvlText w:val="%1"/>
      <w:lvlJc w:val="left"/>
      <w:pPr>
        <w:ind w:left="48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yNjRiOGVjNGQ4OGM0YzEzYzQ1MWZkNTM4MWNiNmEifQ=="/>
  </w:docVars>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D4742D2"/>
    <w:rsid w:val="106473B1"/>
    <w:rsid w:val="1F517CED"/>
    <w:rsid w:val="3BCB4143"/>
    <w:rsid w:val="456359EE"/>
    <w:rsid w:val="5E1F3C38"/>
    <w:rsid w:val="794F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4545</Words>
  <Characters>5214</Characters>
  <Lines>15</Lines>
  <Paragraphs>4</Paragraphs>
  <TotalTime>1</TotalTime>
  <ScaleCrop>false</ScaleCrop>
  <LinksUpToDate>false</LinksUpToDate>
  <CharactersWithSpaces>5457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会交流</cp:lastModifiedBy>
  <cp:lastPrinted>2021-12-14T10:40:00Z</cp:lastPrinted>
  <dcterms:modified xsi:type="dcterms:W3CDTF">2022-08-18T19:12:02Z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D7132A3156E846C28344E59C1BF458C4</vt:lpwstr>
  </property>
</Properties>
</file>