
<file path=[Content_Types].xml><?xml version="1.0" encoding="utf-8"?>
<Types xmlns="http://schemas.openxmlformats.org/package/2006/content-types">
  <Default Extension="emf" ContentType="image/x-e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1026" name="图片 44" descr="经济学院院徽 (红)-01.jpg"/>
            <wp:cNvGraphicFramePr/>
            <a:graphic xmlns:a="http://schemas.openxmlformats.org/drawingml/2006/main">
              <a:graphicData uri="http://schemas.openxmlformats.org/drawingml/2006/picture">
                <pic:pic xmlns:pic="http://schemas.openxmlformats.org/drawingml/2006/picture">
                  <pic:nvPicPr>
                    <pic:cNvPr id="1026" name="图片 44" descr="经济学院院徽 (红)-01.jpg"/>
                    <pic:cNvPicPr/>
                  </pic:nvPicPr>
                  <pic:blipFill>
                    <a:blip r:embed="rId4" cstate="print"/>
                    <a:srcRect/>
                    <a:stretch>
                      <a:fillRect/>
                    </a:stretch>
                  </pic:blipFill>
                  <pic:spPr>
                    <a:xfrm>
                      <a:off x="0" y="0"/>
                      <a:ext cx="2357120" cy="570865"/>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杨月</w:t>
      </w:r>
      <w:r>
        <w:rPr>
          <w:rFonts w:ascii="宋体" w:hAnsi="宋体" w:eastAsia="宋体"/>
          <w:sz w:val="32"/>
          <w:szCs w:val="32"/>
          <w:u w:val="single"/>
        </w:rPr>
        <w:t xml:space="preserve">        </w:t>
      </w:r>
      <w:r>
        <w:rPr>
          <w:rFonts w:hint="default"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default" w:ascii="宋体" w:hAnsi="宋体" w:eastAsia="宋体"/>
          <w:sz w:val="32"/>
          <w:szCs w:val="32"/>
          <w:u w:val="single"/>
        </w:rPr>
        <w:t>71040739</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世界经济</w:t>
      </w:r>
      <w:r>
        <w:rPr>
          <w:rFonts w:ascii="宋体" w:hAnsi="宋体" w:eastAsia="宋体"/>
          <w:sz w:val="32"/>
          <w:szCs w:val="32"/>
          <w:u w:val="single"/>
        </w:rPr>
        <w:t xml:space="preserve">     </w:t>
      </w:r>
    </w:p>
    <w:p>
      <w:pPr>
        <w:spacing w:line="720" w:lineRule="auto"/>
        <w:ind w:left="4477" w:leftChars="608" w:hanging="3200" w:hangingChars="1000"/>
        <w:rPr>
          <w:rFonts w:ascii="宋体" w:hAnsi="宋体" w:eastAsia="宋体"/>
          <w:sz w:val="32"/>
          <w:szCs w:val="32"/>
        </w:rPr>
      </w:pPr>
      <w:r>
        <w:rPr>
          <w:rFonts w:hint="eastAsia" w:ascii="宋体" w:hAnsi="宋体" w:eastAsia="宋体"/>
          <w:sz w:val="32"/>
          <w:szCs w:val="32"/>
        </w:rPr>
        <w:t>拟定学位论文题目：</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新希望集团饲料产能向</w:t>
      </w:r>
      <w:r>
        <w:rPr>
          <w:rFonts w:hint="eastAsia" w:ascii="宋体" w:hAnsi="宋体" w:eastAsia="宋体"/>
          <w:sz w:val="32"/>
          <w:szCs w:val="32"/>
          <w:u w:val="single"/>
        </w:rPr>
        <w:t>越南转移对</w:t>
      </w:r>
      <w:r>
        <w:rPr>
          <w:rFonts w:hint="eastAsia" w:ascii="宋体" w:hAnsi="宋体" w:eastAsia="宋体"/>
          <w:sz w:val="32"/>
          <w:szCs w:val="32"/>
          <w:u w:val="single"/>
          <w:lang w:val="en-US" w:eastAsia="zh-Hans"/>
        </w:rPr>
        <w:t>越南养殖行业产业结构</w:t>
      </w:r>
      <w:r>
        <w:rPr>
          <w:rFonts w:hint="eastAsia" w:ascii="宋体" w:hAnsi="宋体" w:eastAsia="宋体"/>
          <w:sz w:val="32"/>
          <w:szCs w:val="32"/>
          <w:u w:val="single"/>
        </w:rPr>
        <w:t>的影响研究</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pStyle w:val="2"/>
              <w:rPr>
                <w:rFonts w:hint="eastAsia" w:ascii="宋体" w:hAnsi="宋体" w:eastAsia="宋体" w:cstheme="minorBidi"/>
                <w:color w:val="000000" w:themeColor="text1"/>
                <w:kern w:val="2"/>
                <w:sz w:val="24"/>
                <w:szCs w:val="24"/>
                <w:lang w:val="en-US" w:eastAsia="zh-Hans" w:bidi="ar-SA"/>
                <w14:textFill>
                  <w14:solidFill>
                    <w14:schemeClr w14:val="tx1"/>
                  </w14:solidFill>
                </w14:textFill>
              </w:rPr>
            </w:pPr>
            <w:r>
              <w:rPr>
                <w:rFonts w:hint="eastAsia" w:ascii="宋体" w:hAnsi="宋体" w:eastAsia="宋体" w:cstheme="minorBidi"/>
                <w:color w:val="000000" w:themeColor="text1"/>
                <w:kern w:val="2"/>
                <w:sz w:val="24"/>
                <w:szCs w:val="24"/>
                <w:lang w:val="en-US" w:eastAsia="zh-Hans" w:bidi="ar-SA"/>
                <w14:textFill>
                  <w14:solidFill>
                    <w14:schemeClr w14:val="tx1"/>
                  </w14:solidFill>
                </w14:textFill>
              </w:rPr>
              <w:t>自十七大明确提出“走出去”战略，2013年提出一带一路倡议以来，中国企业对外直接投资（OFDI）持续增长， 各行各业企业出于布局市场、转移剩余产能的需要，纷纷走出国门，并且获得了企业的再增长。</w:t>
            </w:r>
            <w:r>
              <w:rPr>
                <w:rFonts w:hint="eastAsia" w:ascii="宋体" w:hAnsi="宋体" w:eastAsia="宋体"/>
                <w:color w:val="000000" w:themeColor="text1"/>
                <w:sz w:val="24"/>
                <w:szCs w:val="24"/>
                <w:lang w:val="en-US" w:eastAsia="zh-Hans"/>
                <w14:textFill>
                  <w14:solidFill>
                    <w14:schemeClr w14:val="tx1"/>
                  </w14:solidFill>
                </w14:textFill>
              </w:rPr>
              <w:t>理论层面上，农业产业转移存在其理论依据。产能转移是指产业转移指企业将产品生产的部分或全部由原生产地转移到其他地区，即把工厂连同人力、技术、设备完整地转移到另一个地方。严重的产能过剩造成了资源的浪费和配置效率降低，也阻碍了产业结构升级。产能转移能够实现资源的优化配置，促进分工结构的优化，同时可以给产业承接国家或地区带来更先进的技术和产能，促进当地产业结构升级。</w:t>
            </w:r>
          </w:p>
          <w:p>
            <w:pPr>
              <w:pStyle w:val="2"/>
              <w:rPr>
                <w:rFonts w:hint="default" w:ascii="宋体" w:hAnsi="宋体" w:eastAsia="宋体"/>
                <w:color w:val="000000" w:themeColor="text1"/>
                <w:sz w:val="24"/>
                <w:szCs w:val="24"/>
                <w:lang w:val="en-US" w:eastAsia="zh-Hans"/>
                <w14:textFill>
                  <w14:solidFill>
                    <w14:schemeClr w14:val="tx1"/>
                  </w14:solidFill>
                </w14:textFill>
              </w:rPr>
            </w:pPr>
            <w:r>
              <w:rPr>
                <w:rFonts w:hint="eastAsia" w:ascii="宋体" w:hAnsi="宋体" w:eastAsia="宋体"/>
                <w:color w:val="000000" w:themeColor="text1"/>
                <w:sz w:val="24"/>
                <w:szCs w:val="24"/>
                <w:lang w:val="en-US" w:eastAsia="zh-Hans"/>
                <w14:textFill>
                  <w14:solidFill>
                    <w14:schemeClr w14:val="tx1"/>
                  </w14:solidFill>
                </w14:textFill>
              </w:rPr>
              <w:t>中国农牧行业在改革开放后，农牧科技水平、产能都有了长足发展，尤其是养殖业、饲料行业等产生了一定的产能过剩、利润率低等问题，</w:t>
            </w:r>
            <w:r>
              <w:rPr>
                <w:rFonts w:hint="default" w:ascii="宋体" w:hAnsi="宋体" w:eastAsia="宋体"/>
                <w:color w:val="000000" w:themeColor="text1"/>
                <w:sz w:val="24"/>
                <w:szCs w:val="24"/>
                <w:lang w:eastAsia="zh-Hans"/>
                <w14:textFill>
                  <w14:solidFill>
                    <w14:schemeClr w14:val="tx1"/>
                  </w14:solidFill>
                </w14:textFill>
              </w:rPr>
              <w:t xml:space="preserve"> </w:t>
            </w:r>
            <w:r>
              <w:rPr>
                <w:rFonts w:hint="eastAsia" w:ascii="宋体" w:hAnsi="宋体" w:eastAsia="宋体"/>
                <w:color w:val="000000" w:themeColor="text1"/>
                <w:sz w:val="24"/>
                <w:szCs w:val="24"/>
                <w:lang w:val="en-US" w:eastAsia="zh-Hans"/>
                <w14:textFill>
                  <w14:solidFill>
                    <w14:schemeClr w14:val="tx1"/>
                  </w14:solidFill>
                </w14:textFill>
              </w:rPr>
              <w:t>出于长期发展战略需要、获取或利用当地自然资源、开拓产品国际市场的目的，在走出去战略的大前提之下，农牧企业积极参与海外投资，在认清国内农牧业发展现实国情后，主动采取措施，以脱离畜牧产业创新升级瓶颈。本文将以农牧龙头企业新希望六和股份有限公司为例，分析产业转移后在投资东道国（以越南为例）的发展情况和对当地产业结构的正面作用，总结其在“走出去”过程中的经验和教训，为农牧行业走出去提供一定的借鉴意义。</w:t>
            </w:r>
          </w:p>
          <w:p>
            <w:pPr>
              <w:ind w:firstLine="480" w:firstLineChars="200"/>
              <w:jc w:val="left"/>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r>
              <w:rPr>
                <w:rFonts w:hint="eastAsia"/>
              </w:rPr>
              <w:t>2</w:t>
            </w:r>
            <w:r>
              <w:t>.</w:t>
            </w:r>
            <w:r>
              <w:rPr>
                <w:rFonts w:hint="eastAsia"/>
              </w:rPr>
              <w:t>文献综述（3</w:t>
            </w:r>
            <w:r>
              <w:t>000</w:t>
            </w:r>
            <w:r>
              <w:rPr>
                <w:rFonts w:hint="eastAsia"/>
              </w:rPr>
              <w:t>字左右）（主要内容：做文献梳理和研究动态的综述，归纳已有的研究所做的工作，形成了哪些共识？列举出在哪些问题上仍未形成共识？各种不同的观点是什么？针对目前的研究，你发现了哪些问题想要继续研究？）</w:t>
            </w:r>
          </w:p>
          <w:p>
            <w:pPr>
              <w:pStyle w:val="2"/>
              <w:rPr>
                <w:b w:val="0"/>
                <w:bCs w:val="0"/>
                <w:sz w:val="20"/>
                <w:szCs w:val="20"/>
              </w:rPr>
            </w:pPr>
            <w:r>
              <w:rPr>
                <w:b w:val="0"/>
                <w:bCs w:val="0"/>
                <w:sz w:val="20"/>
                <w:szCs w:val="20"/>
              </w:rPr>
              <w:t>加快农业“走出去”具有重要意义，有利于突破农业资源约束瓶颈，实现生产要素的全球性有效配置；有利于解决“三农”问题，实现全面建成小康社会的目标；有利于发挥外汇储备优势，实现有效规避金融风险；有利于进一步扩大农业对外开放，统筹利用国内外两种资源、两个市场；有利于引导企业规避国外技术壁垒。</w:t>
            </w:r>
          </w:p>
          <w:p>
            <w:pPr>
              <w:pStyle w:val="2"/>
              <w:rPr>
                <w:rFonts w:hint="eastAsia" w:eastAsia="等线"/>
                <w:lang w:val="en-US" w:eastAsia="zh-Hans"/>
              </w:rPr>
            </w:pPr>
            <w:r>
              <w:rPr>
                <w:rFonts w:hint="eastAsia"/>
                <w:lang w:val="en-US" w:eastAsia="zh-Hans"/>
              </w:rPr>
              <w:t>中国农牧民营企业是农业”走出去“、对外投资的主力军，在不断促进各国农业现代化发展的同时，增加了农业投资数量、提高了就业率、优化了农业产业，特别是在农产品贸易进出口等方面，获得了较大提高。</w:t>
            </w:r>
            <w:r>
              <w:rPr>
                <w:rFonts w:hint="eastAsia"/>
              </w:rPr>
              <w:t>利用当地的廉价劳动力，有助于降低产品成本，提高竞争力</w:t>
            </w:r>
            <w:r>
              <w:rPr>
                <w:rFonts w:hint="eastAsia"/>
                <w:lang w:eastAsia="zh-Hans"/>
              </w:rPr>
              <w:t>。</w:t>
            </w:r>
            <w:r>
              <w:rPr>
                <w:rFonts w:hint="eastAsia"/>
                <w:lang w:val="en-US" w:eastAsia="zh-Hans"/>
              </w:rPr>
              <w:t>对投资东道国而言，</w:t>
            </w:r>
            <w:r>
              <w:rPr>
                <w:rFonts w:hint="eastAsia"/>
                <w:lang w:eastAsia="zh-Hans"/>
              </w:rPr>
              <w:t>增加国内、地区投资和促进资本形成；吸纳劳动力增加就业；提高国家和地区综合要素生产率，促进国家和地区的产业结构升级，扩大外贸规模、改善外贸结构，促进对外贸易的发展；</w:t>
            </w:r>
            <w:r>
              <w:rPr>
                <w:rFonts w:hint="eastAsia"/>
                <w:lang w:val="en-US" w:eastAsia="zh-Hans"/>
              </w:rPr>
              <w:t>也</w:t>
            </w:r>
            <w:r>
              <w:rPr>
                <w:rFonts w:hint="eastAsia"/>
                <w:lang w:eastAsia="zh-Hans"/>
              </w:rPr>
              <w:t>是国家和地区的一项重要的税收来源。</w:t>
            </w:r>
          </w:p>
          <w:p>
            <w:pPr>
              <w:pStyle w:val="2"/>
              <w:rPr>
                <w:rFonts w:hint="eastAsia"/>
                <w:sz w:val="21"/>
                <w:lang w:val="en-US" w:eastAsia="zh-Hans"/>
              </w:rPr>
            </w:pPr>
            <w:r>
              <w:rPr>
                <w:rFonts w:hint="eastAsia"/>
              </w:rPr>
              <w:t>新希望始创于1982年，迄今已发展成为中国最大的民营农牧企业，</w:t>
            </w:r>
            <w:r>
              <w:rPr>
                <w:rFonts w:hint="eastAsia"/>
                <w:lang w:val="en-US" w:eastAsia="zh-Hans"/>
              </w:rPr>
              <w:t>作为</w:t>
            </w:r>
            <w:r>
              <w:rPr>
                <w:rFonts w:hint="eastAsia"/>
              </w:rPr>
              <w:t>最早走出国门的民营企业之一，</w:t>
            </w:r>
            <w:r>
              <w:rPr>
                <w:rFonts w:hint="eastAsia"/>
                <w:lang w:val="en-US" w:eastAsia="zh-Hans"/>
              </w:rPr>
              <w:t>新希望</w:t>
            </w:r>
            <w:r>
              <w:rPr>
                <w:rFonts w:hint="eastAsia"/>
              </w:rPr>
              <w:t>在国际市场成功搭建起农牧产业网络，取得了良好的经济和社会效益。</w:t>
            </w:r>
            <w:r>
              <w:rPr>
                <w:sz w:val="21"/>
              </w:rPr>
              <w:t>新希望集团在当前国内经济增速放缓、农牧业产能过剩的大背景下，</w:t>
            </w:r>
            <w:r>
              <w:rPr>
                <w:rFonts w:hint="default"/>
                <w:lang w:val="en-US" w:eastAsia="zh-Hans"/>
              </w:rPr>
              <w:t>希望集团投入超过100亿元,落子“一带一路”沿线30多个国家和地区, 建立起以亚洲和非洲为中心,遍及欧洲、北美洲、大洋洲的产业布局。在海外投产、筹建、投资的公司超过50家</w:t>
            </w:r>
            <w:r>
              <w:rPr>
                <w:rFonts w:hint="eastAsia"/>
                <w:lang w:val="en-US" w:eastAsia="zh-Hans"/>
              </w:rPr>
              <w:t>，</w:t>
            </w:r>
            <w:r>
              <w:rPr>
                <w:sz w:val="21"/>
              </w:rPr>
              <w:t>通过拓展国际市场，在海外市场找到新的增长点，多年来国外业务毛利率均在8%以上并保持上升趋势，2017年达到1107%，而国内业务毛利率保持在5%～7%，实现了海外业务增速连续多年高于国内业务</w:t>
            </w:r>
            <w:r>
              <w:rPr>
                <w:rFonts w:hint="eastAsia"/>
                <w:sz w:val="21"/>
                <w:lang w:eastAsia="zh-Hans"/>
              </w:rPr>
              <w:t>。</w:t>
            </w:r>
            <w:r>
              <w:rPr>
                <w:rFonts w:hint="eastAsia"/>
                <w:sz w:val="21"/>
                <w:lang w:val="en-US" w:eastAsia="zh-Hans"/>
              </w:rPr>
              <w:t>同时也给带动了当地农牧产业结构的跨越式发展和升级。</w:t>
            </w:r>
          </w:p>
          <w:p>
            <w:pPr>
              <w:pStyle w:val="2"/>
              <w:rPr>
                <w:rFonts w:hint="default"/>
                <w:lang w:eastAsia="zh-Hans"/>
              </w:rPr>
            </w:pPr>
            <w:r>
              <w:rPr>
                <w:rFonts w:hint="eastAsia"/>
                <w:lang w:val="en-US" w:eastAsia="zh-Hans"/>
              </w:rPr>
              <w:t>1999年,新希望集团首选投资越南,在越南胡志明市成立第一家饲料公司。在越南，农业是越南国民经济的支柱产业，农业人口约占总人口的８０％，农业产值约占越国内生产总值的3０％。尽管是农业国，越南的农业科技产业落后于其他国家。相比之下，鉴于大量小农户，越南的农业科技公司和项目仍然有限。科技落后是导致农业发展缓慢的主要原因，体现在机械设备、种苗大部分依靠进口；养殖虾受疫病影响较大；食品安全问题未能有效解决。</w:t>
            </w:r>
            <w:r>
              <w:rPr>
                <w:rFonts w:hint="default"/>
                <w:lang w:eastAsia="zh-Hans"/>
              </w:rPr>
              <w:t xml:space="preserve"> </w:t>
            </w:r>
            <w:r>
              <w:rPr>
                <w:rFonts w:hint="eastAsia"/>
                <w:lang w:val="en-US" w:eastAsia="zh-Hans"/>
              </w:rPr>
              <w:t>越南农业经济在结构调整中亟待实现四个目标，一是转变种养殖结构和扩大“大农田”耕作模式面积。二是发展农产品产业链，特别是畜牧业产业链。三是重视科技在农业中的应用，为企业投资科研创造条件。四是加强农产品保鲜和加工。</w:t>
            </w:r>
          </w:p>
          <w:p>
            <w:pPr>
              <w:pStyle w:val="2"/>
              <w:rPr>
                <w:rFonts w:hint="eastAsia"/>
                <w:lang w:val="en-US" w:eastAsia="zh-Hans"/>
              </w:rPr>
            </w:pPr>
            <w:r>
              <w:rPr>
                <w:rFonts w:hint="eastAsia"/>
                <w:lang w:val="en-US" w:eastAsia="zh-Hans"/>
              </w:rPr>
              <w:t>20年来,新希望在越南建立8个饲料公司,产品覆盖越南中部、南部、西部所有省份城市,已成为越南饲料板块的知名企业。2018年,两大片区完成饲料销量70余万吨,营收20余亿元。而基于对越南市场发展潜力的看好,新希望集团计划进一步加大在养殖和食品端的投资。新希望成为了越南一个重要的产业品牌，带动了当地经济发展，促进了当地农牧产业的升级。新希望凭借较高的农牧科技水平、管理能力和农牧技术团队，助力越南的畜牧、水产养殖、饲料、管理、食品升级换代,使得当地畜牧、水产业得到了长足的发展,改变了养殖模式，传统小农散户养殖发展为集约式养殖，农业指标如成活率、料肉比上有了质提升,助力越南食品安全，更重要的是为越南的从事养殖的农户、农场主带来了可观利润，提供了多个就业岗位，促进了脱贫。</w:t>
            </w:r>
          </w:p>
          <w:p>
            <w:pPr>
              <w:pStyle w:val="2"/>
              <w:rPr>
                <w:rFonts w:hint="default"/>
                <w:lang w:val="en-US" w:eastAsia="zh-Hans"/>
              </w:rPr>
            </w:pPr>
            <w:r>
              <w:rPr>
                <w:rFonts w:hint="eastAsia"/>
                <w:lang w:val="en-US" w:eastAsia="zh-Hans"/>
              </w:rPr>
              <w:t>总体而言，目前，对中国民营农牧企业产业转移的研究主要还是聚焦企业产能转移、利润获得等方面，对投资东道国产业结构的调整研究较少，本次研究将针对这此展开研究。</w:t>
            </w:r>
          </w:p>
          <w:p>
            <w:pPr>
              <w:pStyle w:val="2"/>
              <w:rPr>
                <w:rFonts w:hint="default"/>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hint="eastAsia" w:ascii="宋体" w:hAnsi="宋体" w:eastAsia="宋体"/>
                <w:sz w:val="24"/>
                <w:szCs w:val="24"/>
              </w:rPr>
              <w:t>（1）通过理论分析研究新希望集团饲料产能向越南转移对越南养殖行业产业结构的影响，并进行相关假设。</w:t>
            </w:r>
          </w:p>
          <w:p>
            <w:pPr>
              <w:rPr>
                <w:rFonts w:ascii="宋体" w:hAnsi="宋体" w:eastAsia="宋体"/>
                <w:sz w:val="24"/>
                <w:szCs w:val="24"/>
              </w:rPr>
            </w:pPr>
            <w:r>
              <w:rPr>
                <w:rFonts w:hint="eastAsia" w:ascii="宋体" w:hAnsi="宋体" w:eastAsia="宋体"/>
                <w:sz w:val="24"/>
                <w:szCs w:val="24"/>
              </w:rPr>
              <w:t>（2）采用实证分析法，通过</w:t>
            </w:r>
            <w:r>
              <w:rPr>
                <w:rFonts w:hint="eastAsia" w:ascii="宋体" w:hAnsi="宋体" w:eastAsia="宋体"/>
                <w:sz w:val="24"/>
                <w:szCs w:val="24"/>
                <w:lang w:val="en-US" w:eastAsia="zh-Hans"/>
              </w:rPr>
              <w:t>对新希望六和股份有限公司近 2</w:t>
            </w:r>
            <w:r>
              <w:rPr>
                <w:rFonts w:hint="default" w:ascii="宋体" w:hAnsi="宋体" w:eastAsia="宋体"/>
                <w:sz w:val="24"/>
                <w:szCs w:val="24"/>
                <w:lang w:eastAsia="zh-Hans"/>
              </w:rPr>
              <w:t>0</w:t>
            </w:r>
            <w:r>
              <w:rPr>
                <w:rFonts w:hint="eastAsia" w:ascii="宋体" w:hAnsi="宋体" w:eastAsia="宋体"/>
                <w:sz w:val="24"/>
                <w:szCs w:val="24"/>
                <w:lang w:val="en-US" w:eastAsia="zh-Hans"/>
              </w:rPr>
              <w:t xml:space="preserve"> 年内在越南的投资情况和产业布局进行分析，资料信息来源包括但不限于上市公司财报、官网宣传资料、国内外相关研究</w:t>
            </w:r>
            <w:r>
              <w:rPr>
                <w:rFonts w:hint="eastAsia" w:ascii="宋体" w:hAnsi="宋体" w:eastAsia="宋体"/>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default" w:ascii="宋体" w:hAnsi="宋体" w:eastAsia="宋体"/>
                <w:color w:val="FF0000"/>
                <w:sz w:val="24"/>
                <w:szCs w:val="24"/>
              </w:rPr>
            </w:pPr>
            <w:r>
              <w:rPr>
                <w:rFonts w:hint="eastAsia" w:ascii="宋体" w:hAnsi="宋体" w:eastAsia="宋体"/>
                <w:sz w:val="24"/>
                <w:szCs w:val="24"/>
              </w:rPr>
              <w:t>通过实证分析新希望集团饲料产能向越南转移对越南养殖行业产业结构的影响，验证出</w:t>
            </w:r>
            <w:r>
              <w:rPr>
                <w:rFonts w:hint="eastAsia" w:ascii="宋体" w:hAnsi="宋体" w:eastAsia="宋体"/>
                <w:sz w:val="24"/>
                <w:szCs w:val="24"/>
                <w:lang w:val="en-US" w:eastAsia="zh-Hans"/>
              </w:rPr>
              <w:t>农牧企业对农牧技术升级、带动就业等具有积极正面意义。</w:t>
            </w:r>
            <w:r>
              <w:rPr>
                <w:rFonts w:hint="default" w:ascii="宋体" w:hAnsi="宋体" w:eastAsia="宋体"/>
                <w:sz w:val="24"/>
                <w:szCs w:val="24"/>
                <w:lang w:eastAsia="zh-Han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default" w:ascii="宋体" w:hAnsi="宋体" w:eastAsia="宋体"/>
                <w:sz w:val="24"/>
                <w:szCs w:val="24"/>
                <w:lang w:val="en-US"/>
              </w:rPr>
            </w:pPr>
            <w:r>
              <w:rPr>
                <w:rFonts w:hint="eastAsia" w:ascii="宋体" w:hAnsi="宋体" w:eastAsia="宋体"/>
                <w:sz w:val="24"/>
                <w:szCs w:val="24"/>
              </w:rPr>
              <w:t>研究的创新点主要为，现有文献</w:t>
            </w:r>
            <w:r>
              <w:rPr>
                <w:rFonts w:hint="eastAsia" w:ascii="宋体" w:hAnsi="宋体" w:eastAsia="宋体"/>
                <w:sz w:val="24"/>
                <w:szCs w:val="24"/>
                <w:lang w:val="en-US" w:eastAsia="zh-Hans"/>
              </w:rPr>
              <w:t>在研究产业转移时，往往聚焦于西方发达国家的产业转移，或者是中国第二产业（工程建设、智能手机等）等行业在国外的投资发展，较少关注农牧行业的产业转移和对产业承接地区（发展中国家为主）产业结构提升以及带动就业等现实意义，本文研究聚焦农牧行业，也给国内农牧企业走出去时提供一定的参考。</w:t>
            </w:r>
          </w:p>
        </w:tc>
      </w:tr>
      <w:bookmarkEnd w:id="0"/>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
            <w:pPr>
              <w:spacing w:line="0" w:lineRule="atLeast"/>
              <w:rPr>
                <w:color w:val="FF0000"/>
                <w:sz w:val="18"/>
                <w:szCs w:val="20"/>
              </w:rPr>
            </w:pPr>
            <w:r>
              <w:rPr>
                <w:rFonts w:hint="eastAsia"/>
                <w:color w:val="FF0000"/>
                <w:sz w:val="18"/>
                <w:szCs w:val="20"/>
              </w:rPr>
              <w:t>1. 书</w:t>
            </w:r>
          </w:p>
          <w:p>
            <w:pPr>
              <w:autoSpaceDE w:val="0"/>
              <w:autoSpaceDN w:val="0"/>
              <w:adjustRightInd w:val="0"/>
              <w:spacing w:line="0" w:lineRule="atLeast"/>
              <w:jc w:val="left"/>
              <w:rPr>
                <w:rFonts w:ascii="宋体" w:hAnsi="宋体" w:cs="HiddenHorzOCR"/>
                <w:kern w:val="0"/>
                <w:sz w:val="15"/>
                <w:szCs w:val="15"/>
              </w:rPr>
            </w:pPr>
            <w:r>
              <w:rPr>
                <w:rFonts w:hint="eastAsia" w:ascii="宋体" w:hAnsi="宋体" w:cs="HiddenHorzOCR"/>
                <w:kern w:val="0"/>
                <w:sz w:val="15"/>
                <w:szCs w:val="15"/>
                <w:highlight w:val="yellow"/>
              </w:rPr>
              <w:t>作者姓名（姓在前名在后）、</w:t>
            </w:r>
            <w:r>
              <w:rPr>
                <w:rFonts w:hint="eastAsia" w:ascii="宋体" w:hAnsi="宋体"/>
                <w:kern w:val="0"/>
                <w:sz w:val="15"/>
                <w:szCs w:val="15"/>
                <w:highlight w:val="yellow"/>
              </w:rPr>
              <w:t>书</w:t>
            </w:r>
            <w:r>
              <w:rPr>
                <w:rFonts w:hint="eastAsia" w:ascii="宋体" w:hAnsi="宋体" w:cs="Yu Gothic"/>
                <w:kern w:val="0"/>
                <w:sz w:val="15"/>
                <w:szCs w:val="15"/>
                <w:highlight w:val="yellow"/>
              </w:rPr>
              <w:t>名（英文</w:t>
            </w:r>
            <w:r>
              <w:rPr>
                <w:rFonts w:hint="eastAsia" w:ascii="宋体" w:hAnsi="宋体"/>
                <w:kern w:val="0"/>
                <w:sz w:val="15"/>
                <w:szCs w:val="15"/>
                <w:highlight w:val="yellow"/>
              </w:rPr>
              <w:t>书</w:t>
            </w:r>
            <w:r>
              <w:rPr>
                <w:rFonts w:hint="eastAsia" w:ascii="宋体" w:hAnsi="宋体" w:cs="Yu Gothic"/>
                <w:kern w:val="0"/>
                <w:sz w:val="15"/>
                <w:szCs w:val="15"/>
                <w:highlight w:val="yellow"/>
              </w:rPr>
              <w:t>用斜体或下划、中文</w:t>
            </w:r>
            <w:r>
              <w:rPr>
                <w:rFonts w:hint="eastAsia" w:ascii="宋体" w:hAnsi="宋体"/>
                <w:kern w:val="0"/>
                <w:sz w:val="15"/>
                <w:szCs w:val="15"/>
                <w:highlight w:val="yellow"/>
              </w:rPr>
              <w:t>书</w:t>
            </w:r>
            <w:r>
              <w:rPr>
                <w:rFonts w:hint="eastAsia" w:ascii="宋体" w:hAnsi="宋体" w:cs="Yu Gothic"/>
                <w:kern w:val="0"/>
                <w:sz w:val="15"/>
                <w:szCs w:val="15"/>
                <w:highlight w:val="yellow"/>
              </w:rPr>
              <w:t>用</w:t>
            </w:r>
            <w:r>
              <w:rPr>
                <w:rFonts w:hint="eastAsia" w:ascii="宋体" w:hAnsi="宋体"/>
                <w:kern w:val="0"/>
                <w:sz w:val="15"/>
                <w:szCs w:val="15"/>
                <w:highlight w:val="yellow"/>
              </w:rPr>
              <w:t>书</w:t>
            </w:r>
            <w:r>
              <w:rPr>
                <w:rFonts w:hint="eastAsia" w:ascii="宋体" w:hAnsi="宋体" w:cs="Yu Gothic"/>
                <w:kern w:val="0"/>
                <w:sz w:val="15"/>
                <w:szCs w:val="15"/>
                <w:highlight w:val="yellow"/>
              </w:rPr>
              <w:t>名号）、版次（</w:t>
            </w:r>
            <w:r>
              <w:rPr>
                <w:rFonts w:hint="eastAsia" w:ascii="宋体" w:hAnsi="宋体" w:cs="Yu Gothic"/>
                <w:kern w:val="0"/>
                <w:sz w:val="15"/>
                <w:szCs w:val="15"/>
                <w:highlight w:val="yellow"/>
                <w:u w:val="single"/>
              </w:rPr>
              <w:t>如果不是第一版的</w:t>
            </w:r>
            <w:r>
              <w:rPr>
                <w:rFonts w:hint="eastAsia" w:ascii="宋体" w:hAnsi="宋体"/>
                <w:kern w:val="0"/>
                <w:sz w:val="15"/>
                <w:szCs w:val="15"/>
                <w:highlight w:val="yellow"/>
                <w:u w:val="single"/>
              </w:rPr>
              <w:t>话</w:t>
            </w:r>
            <w:r>
              <w:rPr>
                <w:rFonts w:hint="eastAsia" w:ascii="宋体" w:hAnsi="宋体" w:cs="Yu Gothic"/>
                <w:kern w:val="0"/>
                <w:sz w:val="15"/>
                <w:szCs w:val="15"/>
                <w:highlight w:val="yellow"/>
              </w:rPr>
              <w:t>）、出版地、出版者</w:t>
            </w:r>
            <w:r>
              <w:rPr>
                <w:rFonts w:hint="eastAsia" w:ascii="宋体" w:hAnsi="宋体" w:cs="HiddenHorzOCR"/>
                <w:kern w:val="0"/>
                <w:sz w:val="15"/>
                <w:szCs w:val="15"/>
                <w:highlight w:val="yellow"/>
              </w:rPr>
              <w:t>，出版年。</w:t>
            </w:r>
          </w:p>
          <w:p>
            <w:pPr>
              <w:spacing w:line="0" w:lineRule="atLeast"/>
              <w:ind w:firstLine="360" w:firstLineChars="200"/>
              <w:rPr>
                <w:rFonts w:hint="eastAsia"/>
                <w:sz w:val="18"/>
                <w:szCs w:val="20"/>
                <w:lang w:eastAsia="zh-Hans"/>
              </w:rPr>
            </w:pPr>
            <w:r>
              <w:rPr>
                <w:rFonts w:hint="eastAsia"/>
                <w:sz w:val="18"/>
                <w:szCs w:val="20"/>
                <w:lang w:val="en-US" w:eastAsia="zh-Hans"/>
              </w:rPr>
              <w:t>杨易</w:t>
            </w:r>
            <w:r>
              <w:rPr>
                <w:rFonts w:hint="default"/>
                <w:sz w:val="18"/>
                <w:szCs w:val="20"/>
                <w:lang w:eastAsia="zh-Hans"/>
              </w:rPr>
              <w:t>,</w:t>
            </w:r>
            <w:r>
              <w:rPr>
                <w:rFonts w:hint="eastAsia"/>
                <w:sz w:val="18"/>
                <w:szCs w:val="20"/>
                <w:lang w:eastAsia="zh-Hans"/>
              </w:rPr>
              <w:t>《</w:t>
            </w:r>
            <w:r>
              <w:rPr>
                <w:rFonts w:hint="eastAsia"/>
                <w:sz w:val="18"/>
                <w:szCs w:val="20"/>
                <w:lang w:val="en-US" w:eastAsia="zh-Hans"/>
              </w:rPr>
              <w:t>农业走出去：理论思考与实践探索》</w:t>
            </w:r>
            <w:r>
              <w:rPr>
                <w:rFonts w:hint="default"/>
                <w:sz w:val="18"/>
                <w:szCs w:val="20"/>
              </w:rPr>
              <w:t xml:space="preserve"> </w:t>
            </w:r>
            <w:r>
              <w:rPr>
                <w:rFonts w:hint="eastAsia"/>
                <w:sz w:val="18"/>
                <w:szCs w:val="20"/>
                <w:lang w:val="en-US" w:eastAsia="zh-Hans"/>
              </w:rPr>
              <w:t>北京，中信出版社</w:t>
            </w:r>
            <w:r>
              <w:rPr>
                <w:rFonts w:hint="default"/>
                <w:sz w:val="18"/>
                <w:szCs w:val="20"/>
                <w:lang w:eastAsia="zh-Hans"/>
              </w:rPr>
              <w:t xml:space="preserve"> 2020-12-01</w:t>
            </w:r>
            <w:r>
              <w:rPr>
                <w:rFonts w:hint="default"/>
                <w:sz w:val="18"/>
                <w:szCs w:val="20"/>
              </w:rPr>
              <w:t xml:space="preserve"> </w:t>
            </w:r>
            <w:r>
              <w:rPr>
                <w:rFonts w:hint="eastAsia"/>
                <w:sz w:val="18"/>
                <w:szCs w:val="20"/>
                <w:lang w:eastAsia="zh-Hans"/>
              </w:rPr>
              <w:t>；</w:t>
            </w:r>
          </w:p>
          <w:p>
            <w:pPr>
              <w:pStyle w:val="2"/>
              <w:rPr>
                <w:rFonts w:hint="default"/>
                <w:lang w:eastAsia="zh-Hans"/>
              </w:rPr>
            </w:pPr>
            <w:r>
              <w:rPr>
                <w:rFonts w:hint="eastAsia"/>
                <w:sz w:val="18"/>
                <w:szCs w:val="20"/>
                <w:lang w:val="en-US" w:eastAsia="zh-Hans"/>
              </w:rPr>
              <w:t>赵跃龙，石彦琴，刘祖昕，李纪岳《中国农业走出去空间选择》</w:t>
            </w:r>
            <w:r>
              <w:rPr>
                <w:rFonts w:hint="default"/>
                <w:sz w:val="18"/>
                <w:szCs w:val="20"/>
                <w:lang w:eastAsia="zh-Hans"/>
              </w:rPr>
              <w:t xml:space="preserve"> </w:t>
            </w:r>
            <w:r>
              <w:rPr>
                <w:rFonts w:hint="eastAsia"/>
                <w:sz w:val="18"/>
                <w:szCs w:val="20"/>
                <w:lang w:val="en-US" w:eastAsia="zh-Hans"/>
              </w:rPr>
              <w:t>北京，中国农业出版社 2</w:t>
            </w:r>
            <w:r>
              <w:rPr>
                <w:rFonts w:hint="default"/>
                <w:sz w:val="18"/>
                <w:szCs w:val="20"/>
                <w:lang w:eastAsia="zh-Hans"/>
              </w:rPr>
              <w:t>020-09-01.</w:t>
            </w:r>
          </w:p>
          <w:p>
            <w:pPr>
              <w:spacing w:line="0" w:lineRule="atLeast"/>
              <w:rPr>
                <w:color w:val="FF0000"/>
                <w:sz w:val="18"/>
                <w:szCs w:val="20"/>
              </w:rPr>
            </w:pPr>
            <w:r>
              <w:rPr>
                <w:rFonts w:hint="eastAsia"/>
                <w:sz w:val="18"/>
                <w:szCs w:val="20"/>
              </w:rPr>
              <w:t>2．</w:t>
            </w:r>
            <w:r>
              <w:rPr>
                <w:rFonts w:hint="eastAsia"/>
                <w:color w:val="FF0000"/>
                <w:sz w:val="18"/>
                <w:szCs w:val="20"/>
              </w:rPr>
              <w:t>期刊</w:t>
            </w:r>
          </w:p>
          <w:p>
            <w:pPr>
              <w:autoSpaceDE w:val="0"/>
              <w:autoSpaceDN w:val="0"/>
              <w:adjustRightInd w:val="0"/>
              <w:spacing w:line="0" w:lineRule="atLeast"/>
              <w:jc w:val="left"/>
              <w:rPr>
                <w:rFonts w:ascii="宋体" w:hAnsi="宋体" w:cs="HiddenHorzOCR"/>
                <w:kern w:val="0"/>
                <w:sz w:val="15"/>
                <w:szCs w:val="15"/>
                <w:highlight w:val="yellow"/>
              </w:rPr>
            </w:pPr>
            <w:r>
              <w:rPr>
                <w:rFonts w:hint="eastAsia" w:ascii="宋体" w:hAnsi="宋体" w:cs="HiddenHorzOCR"/>
                <w:kern w:val="0"/>
                <w:sz w:val="15"/>
                <w:szCs w:val="15"/>
                <w:highlight w:val="yellow"/>
              </w:rPr>
              <w:t>作者姓名（姓在前名在后）、文章</w:t>
            </w:r>
            <w:r>
              <w:rPr>
                <w:rFonts w:hint="eastAsia" w:ascii="宋体" w:hAnsi="宋体"/>
                <w:kern w:val="0"/>
                <w:sz w:val="15"/>
                <w:szCs w:val="15"/>
                <w:highlight w:val="yellow"/>
              </w:rPr>
              <w:t>标题</w:t>
            </w:r>
            <w:r>
              <w:rPr>
                <w:rFonts w:hint="eastAsia" w:ascii="宋体" w:hAnsi="宋体" w:cs="HiddenHorzOCR"/>
                <w:kern w:val="0"/>
                <w:sz w:val="15"/>
                <w:szCs w:val="15"/>
                <w:highlight w:val="yellow"/>
              </w:rPr>
              <w:t>（引号）、期刊名（英文用斜体或下划、中文用</w:t>
            </w:r>
            <w:r>
              <w:rPr>
                <w:rFonts w:hint="eastAsia" w:ascii="宋体" w:hAnsi="宋体"/>
                <w:kern w:val="0"/>
                <w:sz w:val="15"/>
                <w:szCs w:val="15"/>
                <w:highlight w:val="yellow"/>
              </w:rPr>
              <w:t>书</w:t>
            </w:r>
            <w:r>
              <w:rPr>
                <w:rFonts w:hint="eastAsia" w:ascii="宋体" w:hAnsi="宋体" w:cs="Yu Gothic"/>
                <w:kern w:val="0"/>
                <w:sz w:val="15"/>
                <w:szCs w:val="15"/>
                <w:highlight w:val="yellow"/>
              </w:rPr>
              <w:t>名号）、卷号和期号、出版年，</w:t>
            </w:r>
            <w:r>
              <w:rPr>
                <w:rFonts w:hint="eastAsia" w:ascii="宋体" w:hAnsi="宋体"/>
                <w:kern w:val="0"/>
                <w:sz w:val="15"/>
                <w:szCs w:val="15"/>
                <w:highlight w:val="yellow"/>
              </w:rPr>
              <w:t>页码</w:t>
            </w:r>
            <w:r>
              <w:rPr>
                <w:rFonts w:hint="eastAsia" w:ascii="宋体" w:hAnsi="宋体" w:cs="HiddenHorzOCR"/>
                <w:kern w:val="0"/>
                <w:sz w:val="15"/>
                <w:szCs w:val="15"/>
                <w:highlight w:val="yellow"/>
              </w:rPr>
              <w:t>。</w:t>
            </w:r>
          </w:p>
          <w:p>
            <w:pPr>
              <w:numPr>
                <w:ilvl w:val="0"/>
                <w:numId w:val="1"/>
              </w:numPr>
              <w:spacing w:line="260" w:lineRule="auto"/>
              <w:rPr>
                <w:rFonts w:hint="eastAsia"/>
                <w:b w:val="0"/>
                <w:bCs w:val="0"/>
                <w:sz w:val="20"/>
                <w:szCs w:val="20"/>
                <w:lang w:val="en-US" w:eastAsia="zh-Hans"/>
              </w:rPr>
            </w:pPr>
            <w:r>
              <w:rPr>
                <w:rFonts w:hint="eastAsia"/>
                <w:b w:val="0"/>
                <w:bCs w:val="0"/>
                <w:sz w:val="20"/>
                <w:szCs w:val="20"/>
                <w:lang w:val="en-US" w:eastAsia="zh-Hans"/>
              </w:rPr>
              <w:t>安晓明，“河南：农业产能向国外转移路径”，《开放导报》</w:t>
            </w:r>
            <w:r>
              <w:rPr>
                <w:rFonts w:hint="default"/>
                <w:b w:val="0"/>
                <w:bCs w:val="0"/>
                <w:sz w:val="20"/>
                <w:szCs w:val="20"/>
                <w:lang w:eastAsia="zh-Hans"/>
              </w:rPr>
              <w:t>2016</w:t>
            </w:r>
            <w:r>
              <w:rPr>
                <w:rFonts w:hint="eastAsia"/>
                <w:b w:val="0"/>
                <w:bCs w:val="0"/>
                <w:sz w:val="20"/>
                <w:szCs w:val="20"/>
                <w:lang w:val="en-US" w:eastAsia="zh-Hans"/>
              </w:rPr>
              <w:t xml:space="preserve"> 年第 5期，总第 1</w:t>
            </w:r>
            <w:r>
              <w:rPr>
                <w:rFonts w:hint="default"/>
                <w:b w:val="0"/>
                <w:bCs w:val="0"/>
                <w:sz w:val="20"/>
                <w:szCs w:val="20"/>
                <w:lang w:eastAsia="zh-Hans"/>
              </w:rPr>
              <w:t>88</w:t>
            </w:r>
            <w:r>
              <w:rPr>
                <w:rFonts w:hint="eastAsia"/>
                <w:b w:val="0"/>
                <w:bCs w:val="0"/>
                <w:sz w:val="20"/>
                <w:szCs w:val="20"/>
                <w:lang w:val="en-US" w:eastAsia="zh-Hans"/>
              </w:rPr>
              <w:t xml:space="preserve"> 期；</w:t>
            </w:r>
          </w:p>
          <w:p>
            <w:pPr>
              <w:numPr>
                <w:ilvl w:val="0"/>
                <w:numId w:val="1"/>
              </w:numPr>
              <w:spacing w:line="260" w:lineRule="auto"/>
              <w:rPr>
                <w:rFonts w:hint="default" w:eastAsia="等线"/>
                <w:lang w:eastAsia="zh-Hans"/>
              </w:rPr>
            </w:pPr>
            <w:r>
              <w:rPr>
                <w:rFonts w:hint="eastAsia"/>
                <w:b w:val="0"/>
                <w:bCs w:val="0"/>
                <w:sz w:val="20"/>
                <w:szCs w:val="20"/>
                <w:lang w:val="en-US" w:eastAsia="zh-Hans"/>
              </w:rPr>
              <w:t>井华、张宇佳</w:t>
            </w:r>
            <w:r>
              <w:rPr>
                <w:rFonts w:hint="default"/>
                <w:b w:val="0"/>
                <w:bCs w:val="0"/>
                <w:sz w:val="20"/>
                <w:szCs w:val="20"/>
                <w:lang w:eastAsia="zh-Hans"/>
              </w:rPr>
              <w:t xml:space="preserve"> </w:t>
            </w:r>
            <w:r>
              <w:rPr>
                <w:rFonts w:hint="eastAsia"/>
                <w:b w:val="0"/>
                <w:bCs w:val="0"/>
                <w:sz w:val="20"/>
                <w:szCs w:val="20"/>
                <w:lang w:eastAsia="zh-Hans"/>
              </w:rPr>
              <w:t>“</w:t>
            </w:r>
            <w:r>
              <w:rPr>
                <w:rFonts w:hint="eastAsia"/>
                <w:b w:val="0"/>
                <w:bCs w:val="0"/>
                <w:sz w:val="20"/>
                <w:szCs w:val="20"/>
                <w:lang w:val="en-US" w:eastAsia="zh-Hans"/>
              </w:rPr>
              <w:t>实践中的中国公共农业产能国际合作”《国际融资》</w:t>
            </w:r>
            <w:r>
              <w:rPr>
                <w:rFonts w:hint="default"/>
                <w:b w:val="0"/>
                <w:bCs w:val="0"/>
                <w:sz w:val="20"/>
                <w:szCs w:val="20"/>
                <w:lang w:eastAsia="zh-Hans"/>
              </w:rPr>
              <w:t>2018</w:t>
            </w:r>
            <w:r>
              <w:rPr>
                <w:rFonts w:hint="eastAsia"/>
                <w:b w:val="0"/>
                <w:bCs w:val="0"/>
                <w:sz w:val="20"/>
                <w:szCs w:val="20"/>
                <w:lang w:eastAsia="zh-Hans"/>
              </w:rPr>
              <w:t>；</w:t>
            </w:r>
          </w:p>
          <w:p>
            <w:pPr>
              <w:numPr>
                <w:ilvl w:val="0"/>
                <w:numId w:val="2"/>
              </w:numPr>
              <w:spacing w:after="280" w:afterAutospacing="1"/>
              <w:jc w:val="left"/>
              <w:rPr>
                <w:rFonts w:hint="default" w:eastAsia="等线"/>
                <w:lang w:eastAsia="zh-Hans"/>
              </w:rPr>
            </w:pPr>
            <w:r>
              <w:rPr>
                <w:rFonts w:hint="default" w:eastAsia="等线"/>
                <w:lang w:eastAsia="zh-Hans"/>
              </w:rPr>
              <w:t>张秀青</w:t>
            </w:r>
            <w:r>
              <w:rPr>
                <w:rFonts w:hint="eastAsia"/>
                <w:lang w:eastAsia="zh-Hans"/>
              </w:rPr>
              <w:t>，“</w:t>
            </w:r>
            <w:r>
              <w:rPr>
                <w:rFonts w:hint="default" w:eastAsia="等线"/>
                <w:lang w:eastAsia="zh-Hans"/>
              </w:rPr>
              <w:t>中国民营农业企业"走出去"的路径选择——基于新希望集团调研的思考与启示</w:t>
            </w:r>
            <w:r>
              <w:rPr>
                <w:rFonts w:hint="eastAsia"/>
                <w:lang w:eastAsia="zh-Hans"/>
              </w:rPr>
              <w:t>”，《</w:t>
            </w:r>
            <w:r>
              <w:rPr>
                <w:rFonts w:hint="default" w:eastAsia="等线"/>
                <w:lang w:eastAsia="zh-Hans"/>
              </w:rPr>
              <w:t>全球化</w:t>
            </w:r>
            <w:r>
              <w:rPr>
                <w:rFonts w:hint="eastAsia"/>
                <w:lang w:eastAsia="zh-Hans"/>
              </w:rPr>
              <w:t>》</w:t>
            </w:r>
            <w:r>
              <w:rPr>
                <w:rFonts w:hint="default" w:eastAsia="等线"/>
                <w:lang w:eastAsia="zh-Hans"/>
              </w:rPr>
              <w:t xml:space="preserve"> 2019-01-006</w:t>
            </w:r>
            <w:r>
              <w:rPr>
                <w:rFonts w:hint="eastAsia"/>
                <w:lang w:eastAsia="zh-Hans"/>
              </w:rPr>
              <w:t>；</w:t>
            </w:r>
          </w:p>
          <w:p>
            <w:pPr>
              <w:numPr>
                <w:ilvl w:val="0"/>
                <w:numId w:val="2"/>
              </w:numPr>
              <w:spacing w:after="280" w:afterAutospacing="1"/>
              <w:jc w:val="left"/>
              <w:rPr>
                <w:rFonts w:hint="default" w:eastAsia="等线"/>
                <w:lang w:eastAsia="zh-Hans"/>
              </w:rPr>
            </w:pPr>
            <w:r>
              <w:rPr>
                <w:rFonts w:hint="eastAsia"/>
                <w:lang w:val="en-US" w:eastAsia="zh-Hans"/>
              </w:rPr>
              <w:t>张帅</w:t>
            </w:r>
            <w:r>
              <w:rPr>
                <w:rFonts w:hint="default"/>
                <w:lang w:eastAsia="zh-Hans"/>
              </w:rPr>
              <w:t xml:space="preserve"> </w:t>
            </w:r>
            <w:r>
              <w:rPr>
                <w:rFonts w:hint="eastAsia"/>
                <w:lang w:eastAsia="zh-Hans"/>
              </w:rPr>
              <w:t>”‘走出去’战略提出以来的中国农业外交“，《国际展望》2019年第05期</w:t>
            </w:r>
            <w:r>
              <w:rPr>
                <w:rFonts w:hint="default"/>
                <w:lang w:eastAsia="zh-Hans"/>
              </w:rPr>
              <w:t>,</w:t>
            </w:r>
            <w:r>
              <w:rPr>
                <w:sz w:val="21"/>
              </w:rPr>
              <w:t>1006-1568-（2019）05-0094-22</w:t>
            </w:r>
            <w:r>
              <w:rPr>
                <w:rFonts w:hint="eastAsia"/>
                <w:sz w:val="21"/>
                <w:lang w:eastAsia="zh-Hans"/>
              </w:rPr>
              <w:t>。</w:t>
            </w:r>
          </w:p>
          <w:p>
            <w:pPr>
              <w:pStyle w:val="2"/>
              <w:rPr>
                <w:rFonts w:hint="default"/>
                <w:lang w:eastAsia="zh-Hans"/>
              </w:rPr>
            </w:pPr>
          </w:p>
          <w:p>
            <w:pPr>
              <w:pStyle w:val="2"/>
              <w:ind w:left="0" w:leftChars="0" w:firstLine="0" w:firstLineChars="0"/>
              <w:rPr>
                <w:rFonts w:hint="default" w:eastAsia="等线"/>
                <w:lang w:eastAsia="zh-Hans"/>
              </w:rPr>
            </w:pPr>
          </w:p>
          <w:p>
            <w:pPr>
              <w:rPr>
                <w:rFonts w:ascii="宋体" w:hAnsi="宋体" w:eastAsia="宋体"/>
                <w:sz w:val="24"/>
                <w:szCs w:val="24"/>
              </w:rPr>
            </w:pPr>
          </w:p>
        </w:tc>
      </w:tr>
    </w:tbl>
    <w:p>
      <w:pPr>
        <w:rPr>
          <w:rFonts w:ascii="宋体" w:hAnsi="宋体" w:eastAsia="宋体"/>
          <w:sz w:val="32"/>
          <w:szCs w:val="32"/>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rPr>
              <w:t xml:space="preserve"> 新希望集团饲料产能向越南转移对越南养殖行业产业结构的影响</w:t>
            </w:r>
          </w:p>
          <w:p>
            <w:pPr>
              <w:rPr>
                <w:rFonts w:hint="eastAsia" w:ascii="宋体" w:hAnsi="宋体" w:eastAsia="宋体"/>
                <w:sz w:val="24"/>
                <w:szCs w:val="24"/>
                <w:lang w:eastAsia="zh-Hans"/>
              </w:rPr>
            </w:pPr>
            <w:r>
              <w:rPr>
                <w:rFonts w:hint="eastAsia" w:ascii="宋体" w:hAnsi="宋体" w:eastAsia="宋体"/>
                <w:sz w:val="24"/>
                <w:szCs w:val="24"/>
              </w:rPr>
              <w:t>主题词：</w:t>
            </w:r>
            <w:r>
              <w:rPr>
                <w:rFonts w:hint="eastAsia" w:ascii="宋体" w:hAnsi="宋体" w:eastAsia="宋体"/>
                <w:sz w:val="24"/>
                <w:szCs w:val="24"/>
                <w:lang w:val="en-US" w:eastAsia="zh-Hans"/>
              </w:rPr>
              <w:t>新希望集团、走出去、养殖行业、产能转移、产业升级、增加就业</w:t>
            </w:r>
            <w:r>
              <w:rPr>
                <w:rFonts w:hint="default"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w:t>
            </w:r>
          </w:p>
          <w:p>
            <w:pPr>
              <w:numPr>
                <w:ilvl w:val="1"/>
                <w:numId w:val="3"/>
              </w:numPr>
              <w:rPr>
                <w:rFonts w:ascii="宋体" w:hAnsi="宋体" w:eastAsia="宋体"/>
                <w:sz w:val="24"/>
                <w:szCs w:val="24"/>
              </w:rPr>
            </w:pPr>
            <w:r>
              <w:rPr>
                <w:rFonts w:hint="eastAsia" w:ascii="宋体" w:hAnsi="宋体" w:eastAsia="宋体"/>
                <w:sz w:val="24"/>
                <w:szCs w:val="24"/>
              </w:rPr>
              <w:t>研究背景</w:t>
            </w:r>
          </w:p>
          <w:p>
            <w:pPr>
              <w:numPr>
                <w:ilvl w:val="1"/>
                <w:numId w:val="3"/>
              </w:numPr>
              <w:rPr>
                <w:rFonts w:ascii="宋体" w:hAnsi="宋体" w:eastAsia="宋体"/>
                <w:sz w:val="24"/>
                <w:szCs w:val="24"/>
              </w:rPr>
            </w:pPr>
            <w:r>
              <w:rPr>
                <w:rFonts w:hint="eastAsia" w:ascii="宋体" w:hAnsi="宋体" w:eastAsia="宋体"/>
                <w:sz w:val="24"/>
                <w:szCs w:val="24"/>
              </w:rPr>
              <w:t>研究目的及意义</w:t>
            </w:r>
          </w:p>
          <w:p>
            <w:pPr>
              <w:numPr>
                <w:ilvl w:val="1"/>
                <w:numId w:val="3"/>
              </w:numPr>
              <w:rPr>
                <w:rFonts w:ascii="宋体" w:hAnsi="宋体" w:eastAsia="宋体"/>
                <w:sz w:val="24"/>
                <w:szCs w:val="24"/>
              </w:rPr>
            </w:pPr>
            <w:r>
              <w:rPr>
                <w:rFonts w:hint="eastAsia" w:ascii="宋体" w:hAnsi="宋体" w:eastAsia="宋体"/>
                <w:sz w:val="24"/>
                <w:szCs w:val="24"/>
              </w:rPr>
              <w:t>研究思路及方法</w:t>
            </w:r>
          </w:p>
          <w:p>
            <w:pPr>
              <w:numPr>
                <w:ilvl w:val="1"/>
                <w:numId w:val="3"/>
              </w:numPr>
              <w:rPr>
                <w:rFonts w:ascii="宋体" w:hAnsi="宋体" w:eastAsia="宋体"/>
                <w:sz w:val="24"/>
                <w:szCs w:val="24"/>
              </w:rPr>
            </w:pPr>
            <w:r>
              <w:rPr>
                <w:rFonts w:hint="eastAsia" w:ascii="宋体" w:hAnsi="宋体" w:eastAsia="宋体"/>
                <w:sz w:val="24"/>
                <w:szCs w:val="24"/>
              </w:rPr>
              <w:t>研究创新点</w:t>
            </w:r>
          </w:p>
          <w:p>
            <w:pPr>
              <w:rPr>
                <w:rFonts w:ascii="宋体" w:hAnsi="宋体" w:eastAsia="宋体"/>
                <w:sz w:val="24"/>
                <w:szCs w:val="24"/>
              </w:rPr>
            </w:pPr>
            <w:r>
              <w:rPr>
                <w:rFonts w:hint="eastAsia" w:ascii="宋体" w:hAnsi="宋体" w:eastAsia="宋体"/>
                <w:sz w:val="24"/>
                <w:szCs w:val="24"/>
              </w:rPr>
              <w:t>第2章 文献综述</w:t>
            </w:r>
          </w:p>
          <w:p>
            <w:pPr>
              <w:ind w:left="360"/>
              <w:rPr>
                <w:rFonts w:ascii="宋体" w:hAnsi="宋体" w:eastAsia="宋体"/>
                <w:sz w:val="24"/>
                <w:szCs w:val="24"/>
              </w:rPr>
            </w:pPr>
            <w:r>
              <w:rPr>
                <w:rFonts w:hint="eastAsia" w:ascii="宋体" w:hAnsi="宋体" w:eastAsia="宋体"/>
                <w:sz w:val="24"/>
                <w:szCs w:val="24"/>
              </w:rPr>
              <w:t>2.1 国外文献综述</w:t>
            </w:r>
          </w:p>
          <w:p>
            <w:pPr>
              <w:ind w:left="360"/>
              <w:rPr>
                <w:rFonts w:ascii="宋体" w:hAnsi="宋体" w:eastAsia="宋体"/>
                <w:sz w:val="24"/>
                <w:szCs w:val="24"/>
              </w:rPr>
            </w:pPr>
            <w:r>
              <w:rPr>
                <w:rFonts w:hint="eastAsia" w:ascii="宋体" w:hAnsi="宋体" w:eastAsia="宋体"/>
                <w:sz w:val="24"/>
                <w:szCs w:val="24"/>
              </w:rPr>
              <w:t>2.2 国内文献综述</w:t>
            </w:r>
          </w:p>
          <w:p>
            <w:pPr>
              <w:ind w:left="360"/>
              <w:rPr>
                <w:rFonts w:ascii="宋体" w:hAnsi="宋体" w:eastAsia="宋体"/>
                <w:sz w:val="24"/>
                <w:szCs w:val="24"/>
              </w:rPr>
            </w:pPr>
            <w:r>
              <w:rPr>
                <w:rFonts w:hint="eastAsia" w:ascii="宋体" w:hAnsi="宋体" w:eastAsia="宋体"/>
                <w:sz w:val="24"/>
                <w:szCs w:val="24"/>
              </w:rPr>
              <w:t>2.3 综合评述</w:t>
            </w:r>
          </w:p>
          <w:p>
            <w:pPr>
              <w:rPr>
                <w:rFonts w:ascii="宋体" w:hAnsi="宋体" w:eastAsia="宋体"/>
                <w:sz w:val="24"/>
                <w:szCs w:val="24"/>
              </w:rPr>
            </w:pPr>
            <w:r>
              <w:rPr>
                <w:rFonts w:hint="eastAsia" w:ascii="宋体" w:hAnsi="宋体" w:eastAsia="宋体"/>
                <w:sz w:val="24"/>
                <w:szCs w:val="24"/>
              </w:rPr>
              <w:t>第3章 理论分析与研究假设</w:t>
            </w:r>
          </w:p>
          <w:p>
            <w:pPr>
              <w:ind w:left="360"/>
              <w:rPr>
                <w:rFonts w:ascii="宋体" w:hAnsi="宋体" w:eastAsia="宋体"/>
                <w:sz w:val="24"/>
                <w:szCs w:val="24"/>
              </w:rPr>
            </w:pPr>
            <w:r>
              <w:rPr>
                <w:rFonts w:hint="eastAsia" w:ascii="宋体" w:hAnsi="宋体" w:eastAsia="宋体"/>
                <w:sz w:val="24"/>
                <w:szCs w:val="24"/>
              </w:rPr>
              <w:t xml:space="preserve">3.1 </w:t>
            </w:r>
            <w:r>
              <w:rPr>
                <w:rFonts w:hint="eastAsia" w:ascii="宋体" w:hAnsi="宋体" w:eastAsia="宋体"/>
                <w:sz w:val="24"/>
                <w:szCs w:val="24"/>
                <w:lang w:val="en-US" w:eastAsia="zh-Hans"/>
              </w:rPr>
              <w:t>产能</w:t>
            </w:r>
            <w:r>
              <w:rPr>
                <w:rFonts w:hint="eastAsia" w:ascii="宋体" w:hAnsi="宋体" w:eastAsia="宋体"/>
                <w:sz w:val="24"/>
                <w:szCs w:val="24"/>
              </w:rPr>
              <w:t>转移后对</w:t>
            </w:r>
            <w:r>
              <w:rPr>
                <w:rFonts w:hint="eastAsia" w:ascii="宋体" w:hAnsi="宋体" w:eastAsia="宋体"/>
                <w:sz w:val="24"/>
                <w:szCs w:val="24"/>
                <w:lang w:val="en-US" w:eastAsia="zh-Hans"/>
              </w:rPr>
              <w:t>越南</w:t>
            </w:r>
            <w:r>
              <w:rPr>
                <w:rFonts w:hint="eastAsia" w:ascii="宋体" w:hAnsi="宋体" w:eastAsia="宋体"/>
                <w:sz w:val="24"/>
                <w:szCs w:val="24"/>
              </w:rPr>
              <w:t>农牧</w:t>
            </w:r>
            <w:r>
              <w:rPr>
                <w:rFonts w:hint="eastAsia" w:ascii="宋体" w:hAnsi="宋体" w:eastAsia="宋体"/>
                <w:sz w:val="24"/>
                <w:szCs w:val="24"/>
                <w:lang w:val="en-US" w:eastAsia="zh-Hans"/>
              </w:rPr>
              <w:t>产业结构</w:t>
            </w:r>
            <w:r>
              <w:rPr>
                <w:rFonts w:hint="eastAsia" w:ascii="宋体" w:hAnsi="宋体" w:eastAsia="宋体"/>
                <w:sz w:val="24"/>
                <w:szCs w:val="24"/>
              </w:rPr>
              <w:t>的影响</w:t>
            </w:r>
          </w:p>
          <w:p>
            <w:pPr>
              <w:rPr>
                <w:rFonts w:ascii="宋体" w:hAnsi="宋体" w:eastAsia="宋体"/>
                <w:sz w:val="24"/>
                <w:szCs w:val="24"/>
              </w:rPr>
            </w:pPr>
            <w:r>
              <w:rPr>
                <w:rFonts w:hint="eastAsia" w:ascii="宋体" w:hAnsi="宋体" w:eastAsia="宋体"/>
                <w:sz w:val="24"/>
                <w:szCs w:val="24"/>
              </w:rPr>
              <w:t>第4章 新希望集团饲料产能向越南转移对越南养殖行业产业结构的影响</w:t>
            </w:r>
          </w:p>
          <w:p>
            <w:pPr>
              <w:ind w:left="360"/>
              <w:rPr>
                <w:rFonts w:ascii="宋体" w:hAnsi="宋体" w:eastAsia="宋体"/>
                <w:sz w:val="24"/>
                <w:szCs w:val="24"/>
              </w:rPr>
            </w:pPr>
            <w:r>
              <w:rPr>
                <w:rFonts w:hint="eastAsia" w:ascii="宋体" w:hAnsi="宋体" w:eastAsia="宋体"/>
                <w:sz w:val="24"/>
                <w:szCs w:val="24"/>
              </w:rPr>
              <w:t>4.1 变量选取与数据来源</w:t>
            </w:r>
            <w:bookmarkStart w:id="1" w:name="_GoBack"/>
            <w:bookmarkEnd w:id="1"/>
          </w:p>
          <w:p>
            <w:pPr>
              <w:ind w:left="360"/>
              <w:rPr>
                <w:rFonts w:ascii="宋体" w:hAnsi="宋体" w:eastAsia="宋体"/>
                <w:sz w:val="24"/>
                <w:szCs w:val="24"/>
              </w:rPr>
            </w:pPr>
            <w:r>
              <w:rPr>
                <w:rFonts w:hint="eastAsia" w:ascii="宋体" w:hAnsi="宋体" w:eastAsia="宋体"/>
                <w:sz w:val="24"/>
                <w:szCs w:val="24"/>
              </w:rPr>
              <w:t>4.2 实证模型构建</w:t>
            </w:r>
          </w:p>
          <w:p>
            <w:pPr>
              <w:ind w:left="360"/>
              <w:rPr>
                <w:rFonts w:ascii="宋体" w:hAnsi="宋体" w:eastAsia="宋体"/>
                <w:sz w:val="24"/>
                <w:szCs w:val="24"/>
              </w:rPr>
            </w:pPr>
            <w:r>
              <w:rPr>
                <w:rFonts w:hint="eastAsia" w:ascii="宋体" w:hAnsi="宋体" w:eastAsia="宋体"/>
                <w:sz w:val="24"/>
                <w:szCs w:val="24"/>
              </w:rPr>
              <w:t>4.3 实证结果分析</w:t>
            </w:r>
          </w:p>
          <w:p>
            <w:pPr>
              <w:rPr>
                <w:rFonts w:ascii="宋体" w:hAnsi="宋体" w:eastAsia="宋体"/>
                <w:sz w:val="24"/>
                <w:szCs w:val="24"/>
              </w:rPr>
            </w:pPr>
            <w:r>
              <w:rPr>
                <w:rFonts w:hint="eastAsia" w:ascii="宋体" w:hAnsi="宋体" w:eastAsia="宋体"/>
                <w:sz w:val="24"/>
                <w:szCs w:val="24"/>
              </w:rPr>
              <w:t>第5章 研究结论与启示</w:t>
            </w:r>
          </w:p>
          <w:p>
            <w:pPr>
              <w:ind w:left="360"/>
              <w:rPr>
                <w:rFonts w:ascii="宋体" w:hAnsi="宋体" w:eastAsia="宋体"/>
                <w:sz w:val="24"/>
                <w:szCs w:val="24"/>
              </w:rPr>
            </w:pPr>
            <w:r>
              <w:rPr>
                <w:rFonts w:hint="eastAsia" w:ascii="宋体" w:hAnsi="宋体" w:eastAsia="宋体"/>
                <w:sz w:val="24"/>
                <w:szCs w:val="24"/>
              </w:rPr>
              <w:t>5.1 研究结论</w:t>
            </w:r>
          </w:p>
          <w:p>
            <w:pPr>
              <w:ind w:left="360"/>
              <w:rPr>
                <w:rFonts w:ascii="宋体" w:hAnsi="宋体" w:eastAsia="宋体"/>
                <w:sz w:val="24"/>
                <w:szCs w:val="24"/>
              </w:rPr>
            </w:pPr>
            <w:r>
              <w:rPr>
                <w:rFonts w:hint="eastAsia" w:ascii="宋体" w:hAnsi="宋体" w:eastAsia="宋体"/>
                <w:sz w:val="24"/>
                <w:szCs w:val="24"/>
              </w:rPr>
              <w:t>5.2 政策建议</w:t>
            </w:r>
          </w:p>
          <w:p>
            <w:pPr>
              <w:ind w:left="360"/>
              <w:rPr>
                <w:rFonts w:ascii="宋体" w:hAnsi="宋体" w:eastAsia="宋体"/>
                <w:sz w:val="24"/>
                <w:szCs w:val="24"/>
              </w:rPr>
            </w:pPr>
            <w:r>
              <w:rPr>
                <w:rFonts w:hint="eastAsia" w:ascii="宋体" w:hAnsi="宋体" w:eastAsia="宋体"/>
                <w:sz w:val="24"/>
                <w:szCs w:val="24"/>
              </w:rPr>
              <w:t>5.3 研究不足与展望</w:t>
            </w: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panose1 w:val="02010600030101010101"/>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FangSong">
    <w:panose1 w:val="0201060906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00000000" w:usb1="00000000" w:usb2="00000008" w:usb3="00000000" w:csb0="000001FF" w:csb1="00000000"/>
  </w:font>
  <w:font w:name="苹方-简">
    <w:panose1 w:val="020B0400000000000000"/>
    <w:charset w:val="86"/>
    <w:family w:val="auto"/>
    <w:pitch w:val="default"/>
    <w:sig w:usb0="00000000" w:usb1="00000000" w:usb2="00000000" w:usb3="00000000" w:csb0="00160000" w:csb1="00000000"/>
  </w:font>
  <w:font w:name="SimSun">
    <w:panose1 w:val="0201060003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HiddenHorzOCR">
    <w:altName w:val="魏碑-繁"/>
    <w:panose1 w:val="00000000000000000000"/>
    <w:charset w:val="80"/>
    <w:family w:val="auto"/>
    <w:pitch w:val="default"/>
    <w:sig w:usb0="00000000" w:usb1="00000000" w:usb2="00000010" w:usb3="00000000" w:csb0="00020000" w:csb1="00000000"/>
  </w:font>
  <w:font w:name="魏碑-繁">
    <w:panose1 w:val="03000800000000000000"/>
    <w:charset w:val="86"/>
    <w:family w:val="auto"/>
    <w:pitch w:val="default"/>
    <w:sig w:usb0="00000000" w:usb1="00000000" w:usb2="00000000" w:usb3="00000000" w:csb0="00160000" w:csb1="00000000"/>
  </w:font>
  <w:font w:name="Yu Gothic">
    <w:altName w:val="Hiragino Sans CNS"/>
    <w:panose1 w:val="020B0400000000000000"/>
    <w:charset w:val="80"/>
    <w:family w:val="swiss"/>
    <w:pitch w:val="default"/>
    <w:sig w:usb0="00000000" w:usb1="00000000" w:usb2="00000016" w:usb3="00000000" w:csb0="2002009F" w:csb1="00000000"/>
  </w:font>
  <w:font w:name="Hiragino Sans CNS">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Microsoft YaHei">
    <w:panose1 w:val="020B0503020204020204"/>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44F364"/>
    <w:multiLevelType w:val="singleLevel"/>
    <w:tmpl w:val="9E44F364"/>
    <w:lvl w:ilvl="0" w:tentative="0">
      <w:start w:val="3"/>
      <w:numFmt w:val="decimal"/>
      <w:lvlText w:val="（%1)"/>
      <w:lvlJc w:val="left"/>
      <w:pPr>
        <w:tabs>
          <w:tab w:val="left" w:pos="312"/>
        </w:tabs>
      </w:pPr>
    </w:lvl>
  </w:abstractNum>
  <w:abstractNum w:abstractNumId="1">
    <w:nsid w:val="F7D3071D"/>
    <w:multiLevelType w:val="singleLevel"/>
    <w:tmpl w:val="F7D3071D"/>
    <w:lvl w:ilvl="0" w:tentative="0">
      <w:start w:val="1"/>
      <w:numFmt w:val="decimal"/>
      <w:suff w:val="nothing"/>
      <w:lvlText w:val="（%1）"/>
      <w:lvlJc w:val="left"/>
    </w:lvl>
  </w:abstractNum>
  <w:abstractNum w:abstractNumId="2">
    <w:nsid w:val="063E2408"/>
    <w:multiLevelType w:val="multilevel"/>
    <w:tmpl w:val="063E2408"/>
    <w:lvl w:ilvl="0" w:tentative="0">
      <w:start w:val="1"/>
      <w:numFmt w:val="decimal"/>
      <w:suff w:val="space"/>
      <w:lvlText w:val="%1"/>
      <w:lvlJc w:val="left"/>
      <w:pPr>
        <w:ind w:left="360" w:firstLine="0"/>
      </w:pPr>
      <w:rPr>
        <w:rFonts w:hint="default"/>
      </w:rPr>
    </w:lvl>
    <w:lvl w:ilvl="1" w:tentative="0">
      <w:start w:val="1"/>
      <w:numFmt w:val="decimal"/>
      <w:suff w:val="space"/>
      <w:lvlText w:val="%1.%2"/>
      <w:lvlJc w:val="left"/>
      <w:pPr>
        <w:ind w:left="360" w:firstLine="0"/>
      </w:pPr>
      <w:rPr>
        <w:rFonts w:hint="default"/>
      </w:rPr>
    </w:lvl>
    <w:lvl w:ilvl="2" w:tentative="0">
      <w:start w:val="1"/>
      <w:numFmt w:val="decimal"/>
      <w:suff w:val="space"/>
      <w:lvlText w:val="%1.%2.%3"/>
      <w:lvlJc w:val="left"/>
      <w:pPr>
        <w:ind w:left="360" w:firstLine="0"/>
      </w:pPr>
      <w:rPr>
        <w:rFonts w:hint="default"/>
      </w:rPr>
    </w:lvl>
    <w:lvl w:ilvl="3" w:tentative="0">
      <w:start w:val="1"/>
      <w:numFmt w:val="decimal"/>
      <w:suff w:val="space"/>
      <w:lvlText w:val="%1.%2.%3.%4"/>
      <w:lvlJc w:val="left"/>
      <w:pPr>
        <w:ind w:left="360" w:firstLine="0"/>
      </w:pPr>
      <w:rPr>
        <w:rFonts w:hint="default"/>
      </w:rPr>
    </w:lvl>
    <w:lvl w:ilvl="4" w:tentative="0">
      <w:start w:val="1"/>
      <w:numFmt w:val="decimal"/>
      <w:suff w:val="space"/>
      <w:lvlText w:val="%1.%2.%3.%4.%5"/>
      <w:lvlJc w:val="left"/>
      <w:pPr>
        <w:ind w:left="360" w:firstLine="0"/>
      </w:pPr>
      <w:rPr>
        <w:rFonts w:hint="default"/>
      </w:rPr>
    </w:lvl>
    <w:lvl w:ilvl="5" w:tentative="0">
      <w:start w:val="1"/>
      <w:numFmt w:val="decimal"/>
      <w:suff w:val="space"/>
      <w:lvlText w:val="%1.%2.%3.%4.%5.%6"/>
      <w:lvlJc w:val="left"/>
      <w:pPr>
        <w:ind w:left="360" w:firstLine="0"/>
      </w:pPr>
      <w:rPr>
        <w:rFonts w:hint="default"/>
      </w:rPr>
    </w:lvl>
    <w:lvl w:ilvl="6" w:tentative="0">
      <w:start w:val="1"/>
      <w:numFmt w:val="decimal"/>
      <w:suff w:val="space"/>
      <w:lvlText w:val="%1.%2.%3.%4.%5.%6.%7"/>
      <w:lvlJc w:val="left"/>
      <w:pPr>
        <w:ind w:left="360" w:firstLine="0"/>
      </w:pPr>
      <w:rPr>
        <w:rFonts w:hint="default"/>
      </w:rPr>
    </w:lvl>
    <w:lvl w:ilvl="7" w:tentative="0">
      <w:start w:val="1"/>
      <w:numFmt w:val="decimal"/>
      <w:suff w:val="space"/>
      <w:lvlText w:val="%1.%2.%3.%4.%5.%6.%7.%8"/>
      <w:lvlJc w:val="left"/>
      <w:pPr>
        <w:ind w:left="360" w:firstLine="0"/>
      </w:pPr>
      <w:rPr>
        <w:rFonts w:hint="default"/>
      </w:rPr>
    </w:lvl>
    <w:lvl w:ilvl="8" w:tentative="0">
      <w:start w:val="1"/>
      <w:numFmt w:val="decimal"/>
      <w:suff w:val="space"/>
      <w:lvlText w:val="%1.%2.%3.%4.%5.%6.%7.%8.%9"/>
      <w:lvlJc w:val="left"/>
      <w:pPr>
        <w:ind w:left="360" w:firstLine="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883"/>
    <w:rsid w:val="00086A0B"/>
    <w:rsid w:val="00494883"/>
    <w:rsid w:val="00C0566D"/>
    <w:rsid w:val="00E84BFC"/>
    <w:rsid w:val="00F5412D"/>
    <w:rsid w:val="13EF59EA"/>
    <w:rsid w:val="1FFF9DFC"/>
    <w:rsid w:val="377D39F1"/>
    <w:rsid w:val="3EEBA206"/>
    <w:rsid w:val="4F97EA50"/>
    <w:rsid w:val="55FE6179"/>
    <w:rsid w:val="5FFC905B"/>
    <w:rsid w:val="67DE671C"/>
    <w:rsid w:val="779FF566"/>
    <w:rsid w:val="79FE4737"/>
    <w:rsid w:val="A4F36336"/>
    <w:rsid w:val="BBD917F8"/>
    <w:rsid w:val="BD1FE1BA"/>
    <w:rsid w:val="BFDC6B2A"/>
    <w:rsid w:val="D7DB12AB"/>
    <w:rsid w:val="DCFF2FA8"/>
    <w:rsid w:val="DDEF0980"/>
    <w:rsid w:val="DDFE53BD"/>
    <w:rsid w:val="F7DD5CA2"/>
    <w:rsid w:val="FD5E0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宋体"/>
      <w:kern w:val="2"/>
      <w:sz w:val="21"/>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Normal Indent"/>
    <w:basedOn w:val="1"/>
    <w:semiHidden/>
    <w:unhideWhenUsed/>
    <w:qFormat/>
    <w:uiPriority w:val="99"/>
    <w:pPr>
      <w:ind w:firstLine="420" w:firstLineChars="200"/>
    </w:pPr>
  </w:style>
  <w:style w:type="paragraph" w:styleId="3">
    <w:name w:val="Balloon Text"/>
    <w:basedOn w:val="1"/>
    <w:link w:val="15"/>
    <w:semiHidden/>
    <w:unhideWhenUsed/>
    <w:qFormat/>
    <w:uiPriority w:val="99"/>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rPr>
  </w:style>
  <w:style w:type="character" w:styleId="11">
    <w:name w:val="Hyperlink"/>
    <w:basedOn w:val="9"/>
    <w:semiHidden/>
    <w:unhideWhenUsed/>
    <w:qFormat/>
    <w:uiPriority w:val="99"/>
    <w:rPr>
      <w:color w:val="0000FF"/>
      <w:u w:val="single"/>
    </w:rPr>
  </w:style>
  <w:style w:type="paragraph" w:styleId="12">
    <w:name w:val="List Paragraph"/>
    <w:basedOn w:val="1"/>
    <w:qFormat/>
    <w:uiPriority w:val="34"/>
    <w:pPr>
      <w:ind w:firstLine="420" w:firstLineChars="200"/>
    </w:pPr>
  </w:style>
  <w:style w:type="character" w:customStyle="1" w:styleId="13">
    <w:name w:val="页眉 字符"/>
    <w:basedOn w:val="9"/>
    <w:link w:val="5"/>
    <w:qFormat/>
    <w:uiPriority w:val="99"/>
    <w:rPr>
      <w:sz w:val="18"/>
      <w:szCs w:val="18"/>
    </w:rPr>
  </w:style>
  <w:style w:type="character" w:customStyle="1" w:styleId="14">
    <w:name w:val="页脚 字符"/>
    <w:basedOn w:val="9"/>
    <w:link w:val="4"/>
    <w:qFormat/>
    <w:uiPriority w:val="99"/>
    <w:rPr>
      <w:sz w:val="18"/>
      <w:szCs w:val="18"/>
    </w:rPr>
  </w:style>
  <w:style w:type="character" w:customStyle="1" w:styleId="15">
    <w:name w:val="批注框文本 字符"/>
    <w:basedOn w:val="9"/>
    <w:link w:val="3"/>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8</Pages>
  <Words>1099</Words>
  <Characters>6266</Characters>
  <Lines>52</Lines>
  <Paragraphs>14</Paragraphs>
  <TotalTime>0</TotalTime>
  <ScaleCrop>false</ScaleCrop>
  <LinksUpToDate>false</LinksUpToDate>
  <CharactersWithSpaces>7351</CharactersWithSpaces>
  <Application>WPS Office_4.5.0.7415_F1E327BC-269C-435d-A152-05C5408002CA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2022-01-08T08:02:00Z</dcterms:created>
  <dc:creator>Muzi Youzi</dc:creator>
  <cp:lastModifiedBy>杨月</cp:lastModifiedBy>
  <cp:lastPrinted>2021-12-15T10:40:00Z</cp:lastPrinted>
  <dcterms:modified xsi:type="dcterms:W3CDTF">2022-08-11T10:33:43Z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2052-4.5.0.7415</vt:lpwstr>
  </property>
  <property fmtid="{D5CDD505-2E9C-101B-9397-08002B2CF9AE}" pid="3" name="ICV">
    <vt:lpwstr>753ABA37C5BB42C69D0CF3022502A6AE</vt:lpwstr>
  </property>
</Properties>
</file>