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71041120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刘畅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15810688810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instrText xml:space="preserve"> HYPERLINK "mailto:changtoto@126.com" </w:instrTex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宋体" w:hAnsi="宋体" w:eastAsia="宋体"/>
                <w:sz w:val="24"/>
                <w:lang w:val="en-US" w:eastAsia="zh-CN"/>
              </w:rPr>
              <w:t>changtoto@126.com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北京市第二外国语学院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西班牙语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北京科兴生物制品有限公司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公共事务主管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刘畅，2010年本科毕业于北京市第二外国语学院，毕业后进入商务部小语种储备干部库远赴南美成为了一名外交官。在工作期间发觉对经济学抱有极强的兴趣，并逐渐养成了大局观，学习能力强，对各行各业都抱有浓厚的兴趣，30岁决定跳出舒适圈，先后体验了金融（小米金融）、智慧城市（北京阳光海天停车管理有限公司）、生物医药（北京科兴生物制品有限公司）等行业，同时在老家（山东寿光）与家里共同经营农产品的物流配送及出口业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外贸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“一带一路”背景下贸易自由化对农产品贸易效应影响研究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hiNzUwMjk2ZTg4OTRhMGIwNzY2NzhiMzY1MmU4YTk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FD91676"/>
    <w:rsid w:val="32DC3E61"/>
    <w:rsid w:val="4A3928B5"/>
    <w:rsid w:val="631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448</Words>
  <Characters>485</Characters>
  <Lines>2</Lines>
  <Paragraphs>1</Paragraphs>
  <TotalTime>4</TotalTime>
  <ScaleCrop>false</ScaleCrop>
  <LinksUpToDate>false</LinksUpToDate>
  <CharactersWithSpaces>491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刘畅</cp:lastModifiedBy>
  <dcterms:modified xsi:type="dcterms:W3CDTF">2022-08-15T01:58:03Z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7946B104219C419188E29E3D2FEDF44B</vt:lpwstr>
  </property>
</Properties>
</file>