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594"/>
        <w:gridCol w:w="866"/>
        <w:gridCol w:w="604"/>
        <w:gridCol w:w="565"/>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81040041</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刘凤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ind w:firstLine="480" w:firstLineChars="200"/>
              <w:jc w:val="both"/>
              <w:rPr>
                <w:rFonts w:hint="default" w:ascii="宋体" w:hAnsi="宋体" w:eastAsia="宋体"/>
                <w:color w:val="auto"/>
                <w:sz w:val="24"/>
                <w:lang w:val="en-US" w:eastAsia="zh-CN"/>
              </w:rPr>
            </w:pPr>
            <w:r>
              <w:rPr>
                <w:rFonts w:hint="eastAsia" w:ascii="宋体" w:hAnsi="宋体" w:eastAsia="宋体"/>
                <w:color w:val="auto"/>
                <w:sz w:val="24"/>
                <w:lang w:val="en-US" w:eastAsia="zh-CN"/>
              </w:rPr>
              <w:t>河南省信阳市</w:t>
            </w:r>
          </w:p>
        </w:tc>
        <w:tc>
          <w:tcPr>
            <w:tcW w:w="1470" w:type="dxa"/>
            <w:gridSpan w:val="2"/>
            <w:vAlign w:val="center"/>
          </w:tcPr>
          <w:p>
            <w:pPr>
              <w:jc w:val="center"/>
              <w:rPr>
                <w:rFonts w:ascii="宋体" w:hAnsi="宋体" w:eastAsia="宋体"/>
                <w:color w:val="auto"/>
                <w:sz w:val="24"/>
              </w:rPr>
            </w:pPr>
            <w:r>
              <w:rPr>
                <w:rFonts w:hint="eastAsia" w:ascii="宋体" w:hAnsi="宋体" w:eastAsia="宋体"/>
                <w:color w:val="auto"/>
                <w:sz w:val="24"/>
              </w:rPr>
              <w:t>申请专业</w:t>
            </w:r>
          </w:p>
        </w:tc>
        <w:tc>
          <w:tcPr>
            <w:tcW w:w="2895" w:type="dxa"/>
            <w:gridSpan w:val="3"/>
            <w:vAlign w:val="center"/>
          </w:tcPr>
          <w:p>
            <w:pPr>
              <w:jc w:val="center"/>
              <w:rPr>
                <w:rFonts w:hint="default" w:ascii="宋体" w:hAnsi="宋体" w:eastAsia="宋体"/>
                <w:color w:val="auto"/>
                <w:sz w:val="24"/>
                <w:lang w:val="en-US" w:eastAsia="zh-CN"/>
              </w:rPr>
            </w:pPr>
            <w:r>
              <w:rPr>
                <w:rFonts w:hint="eastAsia" w:ascii="宋体" w:hAnsi="宋体" w:eastAsia="宋体"/>
                <w:color w:val="auto"/>
                <w:sz w:val="24"/>
                <w:lang w:val="en-US" w:eastAsia="zh-CN"/>
              </w:rPr>
              <w:t>政治经济学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18237609622</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Liufengkuaile68@163.com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黄科科技学院</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河南省淮滨县农村商业银行股份有限公司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5"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刘凤，女，1986年9月出生，</w:t>
            </w:r>
            <w:bookmarkStart w:id="0" w:name="_GoBack"/>
            <w:bookmarkEnd w:id="0"/>
            <w:r>
              <w:rPr>
                <w:rFonts w:hint="eastAsia" w:ascii="宋体" w:hAnsi="宋体" w:eastAsia="宋体"/>
                <w:sz w:val="24"/>
                <w:lang w:val="en-US" w:eastAsia="zh-CN"/>
              </w:rPr>
              <w:t>中共党员，中级审计师职称，本科阶段就读于黄河科技学院财务管理专业，2010年大学毕业后，进入河南省农村信用社工作至今。从一线柜员、到会计主管、支行副行长、总行部门副经理，到目前内审部门负责人。负责过现金、柜面、信贷、资金业务、数据统计、绩效考核、旺季开门红、审计等工作，均取得优异成绩：负责资金业务三年，资金业务收入逐年成倍递增；负责旺季开门红存款营销工作，当年存款净增创历史最高；修订完善绩效考核制度30余次，将“考核到人，多劳多得”的绩效考核理念落到实处；修订完善审计制度16项。进入单位11年有余，共获得“优秀大学生”、“先进工作者”、“优秀共产党员”、“优秀志愿者”等荣誉称号16次；积极响应国家号召，参与精准帮扶脱贫计划，获得“优秀帮扶责任人”荣誉称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p>
        </w:tc>
        <w:tc>
          <w:tcPr>
            <w:tcW w:w="1116" w:type="dxa"/>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发表</w:t>
            </w:r>
          </w:p>
        </w:tc>
        <w:tc>
          <w:tcPr>
            <w:tcW w:w="1119" w:type="dxa"/>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val="en-US" w:eastAsia="zh-CN"/>
              </w:rPr>
              <w:t>是</w:t>
            </w:r>
          </w:p>
        </w:tc>
        <w:tc>
          <w:tcPr>
            <w:tcW w:w="1460" w:type="dxa"/>
            <w:gridSpan w:val="2"/>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第一作者</w:t>
            </w:r>
          </w:p>
        </w:tc>
        <w:tc>
          <w:tcPr>
            <w:tcW w:w="1169" w:type="dxa"/>
            <w:gridSpan w:val="2"/>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val="en-US" w:eastAsia="zh-CN"/>
              </w:rPr>
              <w:t>是</w:t>
            </w:r>
          </w:p>
        </w:tc>
        <w:tc>
          <w:tcPr>
            <w:tcW w:w="1022" w:type="dxa"/>
            <w:vAlign w:val="center"/>
          </w:tcPr>
          <w:p>
            <w:pPr>
              <w:jc w:val="center"/>
              <w:rPr>
                <w:rFonts w:ascii="宋体" w:hAnsi="宋体" w:eastAsia="宋体"/>
                <w:color w:val="auto"/>
                <w:sz w:val="24"/>
              </w:rPr>
            </w:pPr>
            <w:r>
              <w:rPr>
                <w:rFonts w:hint="eastAsia" w:ascii="宋体" w:hAnsi="宋体" w:eastAsia="宋体"/>
                <w:color w:val="auto"/>
                <w:sz w:val="24"/>
              </w:rPr>
              <w:t>发表</w:t>
            </w:r>
          </w:p>
          <w:p>
            <w:pPr>
              <w:jc w:val="center"/>
              <w:rPr>
                <w:rFonts w:ascii="宋体" w:hAnsi="宋体" w:eastAsia="宋体"/>
                <w:color w:val="auto"/>
                <w:sz w:val="24"/>
              </w:rPr>
            </w:pPr>
            <w:r>
              <w:rPr>
                <w:rFonts w:hint="eastAsia" w:ascii="宋体" w:hAnsi="宋体" w:eastAsia="宋体"/>
                <w:color w:val="auto"/>
                <w:sz w:val="24"/>
              </w:rPr>
              <w:t>字数</w:t>
            </w:r>
          </w:p>
        </w:tc>
        <w:tc>
          <w:tcPr>
            <w:tcW w:w="1308" w:type="dxa"/>
            <w:vAlign w:val="center"/>
          </w:tcPr>
          <w:p>
            <w:pPr>
              <w:jc w:val="center"/>
              <w:rPr>
                <w:rFonts w:ascii="宋体" w:hAnsi="宋体" w:eastAsia="宋体"/>
                <w:color w:val="auto"/>
                <w:sz w:val="24"/>
              </w:rPr>
            </w:pPr>
            <w:r>
              <w:rPr>
                <w:rFonts w:hint="eastAsia" w:ascii="宋体" w:hAnsi="宋体" w:eastAsia="宋体"/>
                <w:color w:val="auto"/>
                <w:sz w:val="24"/>
                <w:lang w:val="en-US" w:eastAsia="zh-CN"/>
              </w:rPr>
              <w:t>5948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ind w:firstLine="480" w:firstLineChars="200"/>
              <w:rPr>
                <w:rFonts w:ascii="宋体" w:hAnsi="宋体" w:eastAsia="宋体"/>
                <w:sz w:val="24"/>
              </w:rPr>
            </w:pPr>
            <w:r>
              <w:rPr>
                <w:rFonts w:hint="default" w:ascii="宋体" w:hAnsi="宋体" w:eastAsia="宋体"/>
                <w:sz w:val="24"/>
              </w:rPr>
              <w:t>政治经济学原理对我国农村土地制度改革的启示探讨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lang w:eastAsia="zh-CN"/>
              </w:rPr>
              <w:t>《卷宗》</w:t>
            </w:r>
            <w:r>
              <w:rPr>
                <w:rFonts w:hint="eastAsia" w:ascii="宋体" w:hAnsi="宋体" w:eastAsia="宋体"/>
                <w:sz w:val="24"/>
                <w:lang w:val="en-US" w:eastAsia="zh-CN"/>
              </w:rPr>
              <w:t xml:space="preserve"> </w:t>
            </w:r>
            <w:r>
              <w:rPr>
                <w:rFonts w:hint="eastAsia" w:ascii="宋体" w:hAnsi="宋体" w:eastAsia="宋体"/>
                <w:sz w:val="24"/>
                <w:lang w:eastAsia="zh-CN"/>
              </w:rPr>
              <w:t>ISSN刊号：1005-4669 CN刊号：51-1737/G0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9"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default" w:ascii="宋体" w:hAnsi="宋体" w:eastAsia="宋体"/>
                <w:sz w:val="24"/>
                <w:lang w:val="en-US" w:eastAsia="zh-CN"/>
              </w:rPr>
            </w:pPr>
            <w:r>
              <w:rPr>
                <w:rFonts w:hint="default" w:ascii="宋体" w:hAnsi="宋体" w:eastAsia="宋体"/>
                <w:sz w:val="24"/>
              </w:rPr>
              <w:t>土地对于农民而言是最为重要的生产资源，而农村土地制度是维持农村经济关系的根本，在新农村建设的过程中，改革农村土地制度尤为关键。</w:t>
            </w:r>
            <w:r>
              <w:rPr>
                <w:rFonts w:hint="eastAsia" w:ascii="宋体" w:hAnsi="宋体" w:eastAsia="宋体"/>
                <w:sz w:val="24"/>
                <w:lang w:val="en-US" w:eastAsia="zh-CN"/>
              </w:rPr>
              <w:t>本篇文章首先论述中国土地制度改革中存在的土地产权主体不明确、土地肆意占用、生态环境遭受严重破坏、土地产权被削弱、失地农民的生活保障无法得到保障四方面问题，其次结合马克思政治经济学原理中的物质资料生产、生产要素、生产力三方面内容阐述土地对农民的重要性，并从在农村土地制度选择中尊重民意、土地产权主体明确、改善农地补偿制度等九方面详细论述马克思所有制理论对我国农村土地制度改革的启示，最后用大型农地股份合作社、中小型农地股份合作社、农户与公司相结合的模式实例明确要构建农地集体所有权的明晰主体。</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0EF8749F"/>
    <w:rsid w:val="104F6D70"/>
    <w:rsid w:val="488A7DB1"/>
    <w:rsid w:val="4A874374"/>
    <w:rsid w:val="5947124E"/>
    <w:rsid w:val="649178BA"/>
    <w:rsid w:val="69902AE5"/>
    <w:rsid w:val="6BCF14B7"/>
    <w:rsid w:val="70D52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34</Words>
  <Characters>195</Characters>
  <Lines>1</Lines>
  <Paragraphs>1</Paragraphs>
  <TotalTime>41</TotalTime>
  <ScaleCrop>false</ScaleCrop>
  <LinksUpToDate>false</LinksUpToDate>
  <CharactersWithSpaces>228</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2022-07-23T03:46:00Z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ies>
</file>