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资格卡号</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81040131</w:t>
            </w:r>
          </w:p>
        </w:tc>
        <w:tc>
          <w:tcPr>
            <w:tcW w:w="1504" w:type="dxa"/>
            <w:gridSpan w:val="2"/>
            <w:vAlign w:val="center"/>
          </w:tcPr>
          <w:p>
            <w:pPr>
              <w:jc w:val="center"/>
              <w:rPr>
                <w:rFonts w:ascii="宋体" w:hAnsi="宋体" w:eastAsia="宋体"/>
                <w:sz w:val="24"/>
              </w:rPr>
            </w:pPr>
            <w:r>
              <w:rPr>
                <w:rFonts w:hint="eastAsia" w:ascii="宋体" w:hAnsi="宋体" w:eastAsia="宋体"/>
                <w:sz w:val="24"/>
              </w:rPr>
              <w:t>姓    名</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马力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所在地区</w:t>
            </w:r>
          </w:p>
        </w:tc>
        <w:tc>
          <w:tcPr>
            <w:tcW w:w="2895" w:type="dxa"/>
            <w:gridSpan w:val="3"/>
            <w:vAlign w:val="center"/>
          </w:tcPr>
          <w:p>
            <w:pPr>
              <w:rPr>
                <w:rFonts w:hint="eastAsia" w:ascii="宋体" w:hAnsi="宋体" w:eastAsia="宋体"/>
                <w:sz w:val="24"/>
                <w:lang w:eastAsia="zh-CN"/>
              </w:rPr>
            </w:pPr>
            <w:r>
              <w:rPr>
                <w:rFonts w:hint="eastAsia" w:ascii="宋体" w:hAnsi="宋体" w:eastAsia="宋体"/>
                <w:color w:val="FF0000"/>
                <w:sz w:val="24"/>
                <w:lang w:val="en-US" w:eastAsia="zh-CN"/>
              </w:rPr>
              <w:t>深圳</w:t>
            </w:r>
          </w:p>
        </w:tc>
        <w:tc>
          <w:tcPr>
            <w:tcW w:w="1504"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963" w:type="dxa"/>
            <w:gridSpan w:val="3"/>
            <w:vAlign w:val="center"/>
          </w:tcPr>
          <w:p>
            <w:pPr>
              <w:rPr>
                <w:rFonts w:hint="default" w:ascii="宋体" w:hAnsi="宋体" w:eastAsia="宋体"/>
                <w:sz w:val="24"/>
                <w:lang w:val="en-US" w:eastAsia="zh-CN"/>
              </w:rPr>
            </w:pPr>
            <w:r>
              <w:rPr>
                <w:rFonts w:hint="eastAsia" w:ascii="宋体" w:hAnsi="宋体" w:eastAsia="宋体"/>
                <w:color w:val="FF0000"/>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联系电话</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13528780997</w:t>
            </w:r>
          </w:p>
        </w:tc>
        <w:tc>
          <w:tcPr>
            <w:tcW w:w="1504"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963"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13317171141@163.com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本科毕业院校</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华中农业大学</w:t>
            </w:r>
          </w:p>
        </w:tc>
        <w:tc>
          <w:tcPr>
            <w:tcW w:w="1504"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水产养殖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工作单位</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东北证券股份有限公司</w:t>
            </w:r>
          </w:p>
        </w:tc>
        <w:tc>
          <w:tcPr>
            <w:tcW w:w="1504"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963"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财富总监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0"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362"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1.2016年5月-至今，东北证券股份有限公司深圳分公司，主要从事上市公司股东的投融资业务（主要包括定增、员工持股计划、股票质押、财务顾问、两融融券、FOF投资等），私募基金资金募集、系统交易等综合服务，以及高净值个人客户、机构客户的财富管理服务；</w:t>
            </w:r>
          </w:p>
          <w:p>
            <w:pPr>
              <w:rPr>
                <w:rFonts w:hint="default" w:ascii="宋体" w:hAnsi="宋体" w:eastAsia="宋体"/>
                <w:sz w:val="24"/>
                <w:lang w:val="en-US" w:eastAsia="zh-CN"/>
              </w:rPr>
            </w:pPr>
            <w:r>
              <w:rPr>
                <w:rFonts w:hint="eastAsia" w:ascii="宋体" w:hAnsi="宋体" w:eastAsia="宋体"/>
                <w:sz w:val="24"/>
                <w:lang w:val="en-US" w:eastAsia="zh-CN"/>
              </w:rPr>
              <w:t>2.2015年6月-2016年5月，国信证券股份有限公司泰九分公司，主要从事私募基金托管、资金募集、系统交易服务等综合服务，以及高净值客户的财富管理业务。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059"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CN"/>
              </w:rPr>
            </w:pPr>
            <w:r>
              <w:rPr>
                <w:rFonts w:hint="eastAsia" w:ascii="宋体" w:hAnsi="宋体" w:eastAsia="宋体"/>
                <w:color w:val="FF0000"/>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eastAsia="zh-CN"/>
              </w:rPr>
            </w:pPr>
            <w:r>
              <w:rPr>
                <w:rFonts w:hint="eastAsia" w:ascii="宋体" w:hAnsi="宋体" w:eastAsia="宋体"/>
                <w:color w:val="FF0000"/>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533"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发表文章题目</w:t>
            </w:r>
          </w:p>
        </w:tc>
        <w:tc>
          <w:tcPr>
            <w:tcW w:w="736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浅谈深圳市A股上市公司发展现状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发表文章刊物</w:t>
            </w:r>
          </w:p>
        </w:tc>
        <w:tc>
          <w:tcPr>
            <w:tcW w:w="736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刊物：</w:t>
            </w:r>
            <w:r>
              <w:rPr>
                <w:rFonts w:hint="eastAsia" w:ascii="宋体" w:hAnsi="宋体" w:eastAsia="宋体"/>
                <w:sz w:val="24"/>
                <w:lang w:eastAsia="zh-CN"/>
              </w:rPr>
              <w:t>《</w:t>
            </w:r>
            <w:r>
              <w:rPr>
                <w:rFonts w:hint="eastAsia" w:ascii="宋体" w:hAnsi="宋体" w:eastAsia="宋体"/>
                <w:sz w:val="24"/>
                <w:lang w:val="en-US" w:eastAsia="zh-CN"/>
              </w:rPr>
              <w:t>管理创新探索</w:t>
            </w:r>
            <w:r>
              <w:rPr>
                <w:rFonts w:hint="eastAsia" w:ascii="宋体" w:hAnsi="宋体" w:eastAsia="宋体"/>
                <w:sz w:val="24"/>
                <w:lang w:eastAsia="zh-CN"/>
              </w:rPr>
              <w:t>》</w:t>
            </w:r>
            <w:r>
              <w:rPr>
                <w:rFonts w:hint="eastAsia" w:ascii="宋体" w:hAnsi="宋体" w:eastAsia="宋体"/>
                <w:sz w:val="24"/>
                <w:lang w:val="en-US" w:eastAsia="zh-CN"/>
              </w:rPr>
              <w:t xml:space="preserve">  刊号：ISBN 978-7-5208-1425-6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4"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发表文章内容简介</w:t>
            </w:r>
          </w:p>
        </w:tc>
        <w:tc>
          <w:tcPr>
            <w:tcW w:w="736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上市公司作为中国实体企业的优秀模范代表，通过分析某地上市公司的发展现状，可以发现当地经济发展规律；同样，解决当地上市公司发展中遇到的问题，可以有效促进当地经济的发展。本文从上市时间、行业、规模、财务等方面初步调查了深圳上市公司，浅谈其发展现状——截至2019年12月31日，深圳A股上市公司299家，整体盈利能力较好，90.63%净资产收益率为正；短期和长期偿债能力较强，半数以上上市公司整体资产流动水平较高，76.24%的上市公司资产负债率低于60%；半数以上上市公司同比净利润增长率大于0，说明深圳A股上市公司的成长能力较好。同时，简单分析上市公司发展过程中存在的问题，如超大市值上市公司数量偏少、中坚力量不足、中小市值居多等，导致上述局面的主要原因是行业特征、高端人才流失、战略布局以及缺少市值管理意识等。针对上述问题，给出的建议是上市公司管理层重视健康持续有效的市值管理体系的搭建和应用，强化净利润和市盈率的管理，其中，净利润重点关注因素——企业产业布局、商业模式、核心竞争力、优质管理层团队等，市盈率重点关注因素——股价区间、资产盈利能力、市场周期、分红情况等。</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U2MjhjYjUxNzRhMTY2M2YyN2MxYmNlZTA4NGFkYjIifQ=="/>
  </w:docVars>
  <w:rsids>
    <w:rsidRoot w:val="00AB5DD7"/>
    <w:rsid w:val="000D616E"/>
    <w:rsid w:val="00111AC2"/>
    <w:rsid w:val="001C3791"/>
    <w:rsid w:val="001D4ABC"/>
    <w:rsid w:val="001F2172"/>
    <w:rsid w:val="003032FB"/>
    <w:rsid w:val="003C213C"/>
    <w:rsid w:val="00556D05"/>
    <w:rsid w:val="006D0631"/>
    <w:rsid w:val="00761113"/>
    <w:rsid w:val="00807310"/>
    <w:rsid w:val="00810B0E"/>
    <w:rsid w:val="008405C5"/>
    <w:rsid w:val="009D0666"/>
    <w:rsid w:val="00A32456"/>
    <w:rsid w:val="00AB5DD7"/>
    <w:rsid w:val="00F20AD3"/>
    <w:rsid w:val="00FF1C5E"/>
    <w:rsid w:val="29A658B0"/>
    <w:rsid w:val="4F9E49B9"/>
    <w:rsid w:val="554F37B6"/>
    <w:rsid w:val="5B052BA6"/>
    <w:rsid w:val="72D22BB5"/>
    <w:rsid w:val="7EB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621</Words>
  <Characters>713</Characters>
  <Lines>1</Lines>
  <Paragraphs>1</Paragraphs>
  <TotalTime>12</TotalTime>
  <ScaleCrop>false</ScaleCrop>
  <LinksUpToDate>false</LinksUpToDate>
  <CharactersWithSpaces>722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马力</cp:lastModifiedBy>
  <dcterms:modified xsi:type="dcterms:W3CDTF">2022-07-18T09:39:26Z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A2EBDC2BBBED45A6A18AC9F9FF9741F2</vt:lpwstr>
  </property>
</Properties>
</file>