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8"/>
          <w:szCs w:val="28"/>
        </w:rPr>
      </w:pPr>
      <w:r>
        <w:rPr>
          <w:rFonts w:hint="eastAsia" w:ascii="方正小标宋简体" w:hAnsi="方正小标宋简体" w:eastAsia="方正小标宋简体" w:cs="方正小标宋简体"/>
          <w:sz w:val="28"/>
          <w:szCs w:val="28"/>
        </w:rPr>
        <w:t>新冠疫情后中国宏观经济调控的目标、手段及预期效果分析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right"/>
        <w:textAlignment w:val="auto"/>
        <w:outlineLvl w:val="9"/>
        <w:rPr>
          <w:sz w:val="28"/>
          <w:szCs w:val="28"/>
        </w:rPr>
      </w:pPr>
      <w:r>
        <w:rPr>
          <w:rFonts w:hint="eastAsia" w:asciiTheme="minorEastAsia" w:hAnsiTheme="minorEastAsia" w:eastAsiaTheme="minorEastAsia" w:cstheme="minorEastAsia"/>
          <w:sz w:val="21"/>
          <w:szCs w:val="21"/>
        </w:rPr>
        <w:t>商学院2019级本科一班 2019200775 黄倩</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1"/>
          <w:szCs w:val="21"/>
        </w:rPr>
      </w:pPr>
      <w:r>
        <w:rPr>
          <w:sz w:val="21"/>
          <w:szCs w:val="21"/>
        </w:rPr>
        <w:t>选题背景与研究意义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rPr>
      </w:pPr>
      <w:r>
        <w:rPr>
          <w:sz w:val="21"/>
          <w:szCs w:val="21"/>
        </w:rPr>
        <w:t>新冠肺炎疫情对全球经济产生重大影响，中国由于最早发现疫情并及时采取一系列严格措施阻止疫情传播，付出巨大代价。中国经济发展“三期”叠加的新变化本来就为我国的宏观调控带来一系列困难——</w:t>
      </w:r>
      <w:r>
        <w:rPr>
          <w:rFonts w:hint="default"/>
          <w:sz w:val="21"/>
          <w:szCs w:val="21"/>
        </w:rPr>
        <w:t>经济增长速度换挡期，经济结构调整进入阵痛期，退出反危机之后的成本的消化期。疫情的冲击则加剧了我国经济发展的不稳定性、加大决胜全面小康和打赢脱贫攻坚战的挑战。我国宏观经济失衡面临着尖锐的矛盾和复杂性，滞胀危险可能性增大，但紧缩政策又会造成经济下行压力，这造成了宏观调控的两难格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rPr>
      </w:pPr>
      <w:r>
        <w:rPr>
          <w:rFonts w:hint="default"/>
          <w:sz w:val="21"/>
          <w:szCs w:val="21"/>
        </w:rPr>
        <w:t>在此背景下，研究新冠疫情后中国宏观经济调控的目标、手段及预期效果，是对现行经济状况的梳理，也是对未来经济运行的展望与期待。在新冠疫情仍在全球快速蔓延的情况下，中国宏观经济调控的手段也将为他国在应对疫情时提供宝贵经验，既做好疫情防控，又同时抓住复工复产。中国经验的分享与被借鉴是中国建设负责任的大国形象的表现，也是对人类命运共同体思想的贯彻落实，有利于提升中国国际地位和话语权，有利于全球经济稳定繁荣和共同发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1"/>
          <w:szCs w:val="21"/>
        </w:rPr>
      </w:pPr>
      <w:r>
        <w:rPr>
          <w:sz w:val="21"/>
          <w:szCs w:val="21"/>
        </w:rPr>
        <w:t>文献综述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rPr>
      </w:pPr>
      <w:r>
        <w:rPr>
          <w:sz w:val="21"/>
          <w:szCs w:val="21"/>
        </w:rPr>
        <w:t>宏观调控是稳定经济的必要手段，也是政府的主要经济职能。改革开放以来，我国一直面临非常复杂的经济形势，在应对这种经济形势的过程中，我国形成了独有的宏观调控体系。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lang w:eastAsia="zh-CN"/>
        </w:rPr>
      </w:pPr>
      <w:r>
        <w:rPr>
          <w:rFonts w:hint="eastAsia"/>
          <w:sz w:val="21"/>
          <w:szCs w:val="21"/>
          <w:lang w:eastAsia="zh-CN"/>
        </w:rPr>
        <w:t>赵锦辉</w:t>
      </w:r>
      <w:r>
        <w:rPr>
          <w:rFonts w:hint="default"/>
          <w:sz w:val="21"/>
          <w:szCs w:val="21"/>
          <w:lang w:eastAsia="zh-CN"/>
        </w:rPr>
        <w:t>（2018）在《中国宏观调控40年的历程、经验与未来展望》中提到，改革开放四十年以来，我国的宏观调控大体上可以分成三个阶段——短缺条件下的宏观调控、初步过剩条件下的需求侧调控、结构过剩条件下的供给侧调控。我国宏观调控之所以取得成功，源于对经济形势判断总体准确，对宏观调控所要达到的目标设定科学，将提高效率供给摆到核心位置，合理调节投资规模和结构，财政政策和货币政策相互配合相互协调。</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lang w:eastAsia="zh-CN"/>
        </w:rPr>
      </w:pPr>
      <w:r>
        <w:rPr>
          <w:rFonts w:hint="default"/>
          <w:sz w:val="21"/>
          <w:szCs w:val="21"/>
          <w:lang w:eastAsia="zh-CN"/>
        </w:rPr>
        <w:t>改革开放以来，中国的宏观调控体系随着经济发展与改革的不断推进形成了三方面特点：宏观调控目标宽泛化、以财政政策为主导、频繁地运用产业政策直接敢于市场。尽管这些政策在以往的中国经济发展中发挥了重要作用，但是随着经济发展进入新常态，它们已不再适用。陈彦斌，刘哲希，郭豫媚（2016）在《经济新常态下宏观调控的问题与转型》中指出，新常态下中国经济发生的新变化需要宏观调控框架积极调整适应，但近几年政府却只是在以往的宏观调控框架上进行小修小补。这造成经济结构越调越乱、产业政策形成巨大寻租空间等问题。面对这些问题，宏观调控应加快转型步伐，其主要目标应大幅简化为“控通胀、稳增长、金融稳定”；强化货币政策在宏观调控中的核心地位，提高货币政策传导效率；弱化财政政策的宏观调控职能，使其逐步回归公共财政；大幅弱化产业政策的宏观调控职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lang w:eastAsia="zh-CN"/>
        </w:rPr>
      </w:pPr>
      <w:r>
        <w:rPr>
          <w:rFonts w:hint="default"/>
          <w:sz w:val="21"/>
          <w:szCs w:val="21"/>
          <w:lang w:eastAsia="zh-CN"/>
        </w:rPr>
        <w:t>刘溶沧，马珺（2001）在《中国宏观经济调控目标的定位分析》中认为，西方相关研究倾向于在认可“充分就业、物价稳定、经济增长和国际收支平衡”这四大宏观经济政策或宏观调控目标的前提下,就达到目标的手段进行实证分析,这往往缺乏对一定经济历史条件下应该选取什么目标的规范分析。确定中国宏观经济调控目标，应遵循发展战略导向原则、国情原则、短期与中长期政策效应的有机结合原则。在这些原则的基础上，宏观经济调控的目标应按稳定、发展、平等顺序做出选择。即，我们把宏观调控的基本目标定位保持总体经济的稳定运行；在这种相对“短期”的政策选择上，长期需要着眼于发展，解决社会经济中存在的矛盾和问题，提高人民生活水平；在以上基础上，注意效率与公平之间的权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lang w:eastAsia="zh-CN"/>
        </w:rPr>
      </w:pPr>
      <w:r>
        <w:rPr>
          <w:rFonts w:hint="default"/>
          <w:sz w:val="21"/>
          <w:szCs w:val="21"/>
          <w:lang w:eastAsia="zh-CN"/>
        </w:rPr>
        <w:t>陈彦斌（2020）在《中国特色宏观调控如何更好发挥政府与市场作用》中指出，中国宏观调控强调总需求管理与供给侧结构性改革协调配合，并且与发达国家更多运用货币政策进行宏观调控不同，中国更多依赖于财政政策。在中国特色宏观调控实施过程中，为更好发挥政府的作用，宏观调控策略可以兼顾规则与相机抉择；加强预期管理，从而提高政策的可信度并降低政策的不确定性；弱化产业政策宏观调控职能，并推动产业政策从选择性政策向功能性政策转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1"/>
          <w:szCs w:val="21"/>
          <w:lang w:eastAsia="zh-CN"/>
        </w:rPr>
      </w:pPr>
      <w:r>
        <w:rPr>
          <w:rFonts w:hint="default"/>
          <w:sz w:val="21"/>
          <w:szCs w:val="21"/>
          <w:lang w:eastAsia="zh-CN"/>
        </w:rPr>
        <w:t>上述文献分别从多个不同的角度分析了我国的宏观调控特点，但由于发表时间较早，都缺乏在新冠肺炎疫情这一限制条件下的具体分析。接下来，笔者将在以上理论的指导下，分析新冠疫情后中国宏观经济调控的目标、手段及预期效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1"/>
          <w:szCs w:val="21"/>
        </w:rPr>
      </w:pPr>
      <w:r>
        <w:rPr>
          <w:sz w:val="21"/>
          <w:szCs w:val="21"/>
        </w:rPr>
        <w:t>分析理论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rPr>
      </w:pPr>
      <w:r>
        <w:rPr>
          <w:sz w:val="21"/>
          <w:szCs w:val="21"/>
        </w:rPr>
        <w:t>本文主要依据西方宏观经济学分析。</w:t>
      </w:r>
      <w:r>
        <w:rPr>
          <w:sz w:val="21"/>
          <w:szCs w:val="21"/>
          <w:lang w:eastAsia="zh-CN"/>
        </w:rPr>
        <w:t>宏观政策原理源自于凯恩斯的《就业、利息和货币通论》。凯恩斯主义者认为, 当经济体受到总需求或者总供给等外部冲击时, 由于价格、工资粘性及公众“动物精神”的存在, 市场资源配置不会在受到冲击后迅速回到均衡状态, 从而导致经济呈现出扩张或者紧缩的短期波动现象。因此, 政府需要通过宏观政策缓冲外部冲击, 从而实现对短期波动的逆周期调节, 而这要求调控工具具有灵活有效、时滞较短等特点。</w:t>
      </w:r>
      <w:r>
        <w:rPr>
          <w:sz w:val="21"/>
          <w:szCs w:val="21"/>
        </w:rPr>
        <w:t>宏观经济政策可分为需求管理政策和供给管理政策，前者包括财政政策和货币政策，后者包括人力政策和收入政策等，但主要是需求管理政策。财政政策是政府变动税收和支出以便影响总需求而影响就业和国民收入的政策。变动税收是指改变税率和税收结构；变动政府支出指改变政府对产品与劳务的购买支出以及转移支付。</w:t>
      </w:r>
      <w:r>
        <w:rPr>
          <w:sz w:val="21"/>
          <w:szCs w:val="21"/>
        </w:rPr>
        <w:t>例如，在经济萧条时，政府采用减税政策，个人和企业可支配收入增加，以刺激消费和投资需求从而增加生产和就业；同时，政府扩大对商品和劳务的购买，增加公共建设，可以扩大私人企业的商品销路，增加消费，刺激总需求。</w:t>
      </w:r>
      <w:r>
        <w:rPr>
          <w:sz w:val="21"/>
          <w:szCs w:val="21"/>
        </w:rPr>
        <w:t>货币政策是货币当局即中央银行通过银行体系变动货币供给量来调节总需求的政策。</w:t>
      </w:r>
      <w:r>
        <w:rPr>
          <w:sz w:val="21"/>
          <w:szCs w:val="21"/>
        </w:rPr>
        <w:t>货币政策主要又通过再贴现率政策、公开市场业务、变动法定准备率得以实现；除此之外，还有道义劝告等其他工具。</w:t>
      </w:r>
      <w:r>
        <w:rPr>
          <w:sz w:val="21"/>
          <w:szCs w:val="21"/>
        </w:rPr>
        <w:t>例如，在经济萧条时期增加货币供给，一方面可降低利率，刺激私人投资；另一方面货币供给增加可直接支持企业扩大投资，进而刺激消费，使生产和就业增加。</w:t>
      </w:r>
      <w:r>
        <w:rPr>
          <w:sz w:val="21"/>
          <w:szCs w:val="21"/>
          <w:lang w:eastAsia="zh-CN"/>
        </w:rPr>
        <w:t>各国政策实践均表明, 以货币政策和财政政策等为核心的狭义的宏观政策最适用于对短期经济波动进行逆周期调节。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rPr>
      </w:pPr>
      <w:r>
        <w:rPr>
          <w:sz w:val="21"/>
          <w:szCs w:val="21"/>
        </w:rPr>
        <w:t>简言之，宏观经济政策主要是政府为了增进整体经济福利、改善整体经济运行状况，以达到一定的政策目标而对宏观经济领域进行的有意识的干预。在宏观经济学中，宏观经济政策的目标有四种——充分就业、价格稳定、经济持续均衡增长和国际收支平衡。西方学者认为，要实现既定的经济政策目标，首先，政府运用的各种政策手段必须相互配合、协调一致。其次，政府在制定目标时，不能追求单一指标，而应综合考虑，否则会带来经济上和政治上的副作用。再次，还要考虑政策本身的协调和对时机的把握程度。</w:t>
      </w:r>
      <w:r>
        <w:rPr>
          <w:rStyle w:val="5"/>
          <w:sz w:val="21"/>
          <w:szCs w:val="21"/>
        </w:rPr>
        <w:footnoteReference w:id="0"/>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1"/>
          <w:szCs w:val="21"/>
        </w:rPr>
      </w:pPr>
      <w:r>
        <w:rPr>
          <w:sz w:val="21"/>
          <w:szCs w:val="21"/>
        </w:rPr>
        <w:t>目标及手段</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lang w:eastAsia="zh-CN"/>
        </w:rPr>
      </w:pPr>
      <w:r>
        <w:rPr>
          <w:sz w:val="21"/>
          <w:szCs w:val="21"/>
          <w:lang w:eastAsia="zh-CN"/>
        </w:rPr>
        <w:t>今年以来，新冠肺炎疫情在全球蔓延。因疫情影响，国际货币基金组织（IMF）已将2020年全球GDP增速预测从1月份的3.3%下调6.3个百分点至-3%，为20世纪30年代“大萧条”以来最严重经济衰退。世界银行也将东亚-太平洋地区2020年GDP增速预测从2019年的5.8%放缓至2.1%。而对我国而言，经济增长不稳，生产、交换、消费等经济活动大范围停滞；企业、家庭、政府部门收入下降，经济主体陷入危机；疫情的不确定性使金融市场动荡，金融机构资产损失，进而威胁金融稳定，金融风险加大；一季度我国进出口均呈负增长，内外经济失衡。2020年一季度国内生产总值（GDP）同比下降6.8%，居民消费价格指数（CPI）同比上涨4.9%。</w:t>
      </w:r>
      <w:r>
        <w:rPr>
          <w:rStyle w:val="5"/>
          <w:sz w:val="21"/>
          <w:szCs w:val="21"/>
          <w:lang w:eastAsia="zh-CN"/>
        </w:rPr>
        <w:footnoteReference w:id="1"/>
      </w:r>
      <w:r>
        <w:rPr>
          <w:sz w:val="21"/>
          <w:szCs w:val="21"/>
          <w:lang w:eastAsia="zh-CN"/>
        </w:rPr>
        <w:t>在习近平中国特色社会主义思想的指导下，我国首先把疫情防控作为作重要的工作来抓，综合运用多种工具有效应对疫情冲击，坚决打赢疫情防控阻击战，这是新冠肺炎疫情下我国宏观调控最重要的目标。其次，促进经济的恢复与稳定，奋力实现今年经济发展目标，</w:t>
      </w:r>
      <w:r>
        <w:rPr>
          <w:sz w:val="21"/>
          <w:szCs w:val="21"/>
          <w:lang w:eastAsia="zh-CN"/>
        </w:rPr>
        <w:t>把实体经济恢复发展放在突出位置，</w:t>
      </w:r>
      <w:r>
        <w:rPr>
          <w:sz w:val="21"/>
          <w:szCs w:val="21"/>
          <w:lang w:eastAsia="zh-CN"/>
        </w:rPr>
        <w:t>落实“六稳”“六保”工作，即稳就业、稳金融、稳外贸、稳外资、稳投资、稳预期工作；保居民就业、保基本民生、保市场主体、保粮食能源安全、保产业链供应稳定、保基层运转。我国的财政政策和货币政策将进一步加大力度、精准施策、落地落实，为对冲疫情影响、稳定经济运行提供更多支撑。</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lang w:eastAsia="zh-CN"/>
        </w:rPr>
      </w:pPr>
      <w:r>
        <w:rPr>
          <w:sz w:val="21"/>
          <w:szCs w:val="21"/>
        </w:rPr>
        <w:t>财政政策方面。新冠肺炎疫情发生以来，中央财政统筹各种经费渠道，大力支持疫情防控。一是对确诊患者个人负担费用实行财政兜底，中央财政补助60%；对参加疫情防控一线的医疗卫生人员，给予工作补助；对进口的防控物资免征进口关税；</w:t>
      </w:r>
      <w:r>
        <w:rPr>
          <w:sz w:val="21"/>
          <w:szCs w:val="21"/>
        </w:rPr>
        <w:t>开展药品和疫苗研发</w:t>
      </w:r>
      <w:r>
        <w:rPr>
          <w:sz w:val="21"/>
          <w:szCs w:val="21"/>
        </w:rPr>
        <w:t>；对疫情防控重点保障企业给予贴息支持，引导企业加快防控物资生产等等。二是财政部及时下达转移支付资金。在去年四季度已提前转移支付的基础上，今年以来预拨均衡性转移支付700亿元，县级基本财力保障机制奖补资金406亿元，增强地方财政经费保障能力；同时，下达部分中央基建投资、促进企业复工复产等方面的资金，促进社会经济平稳发展。三是加强库款资金调度。财政部建立全国县级财政库款监测机制，根据各地特别是湖北等受疫情影响较大地区的财政库款情况。此外，财政部会同食物总局等部门实施一系列减税降费政策，降低企业生产经营成本，帮助企业渡过难关，促进企业复工复产和经济平稳运行。一是帮扶受疫情影响较大行业的税费政策。对受疫情影响较大的交通运输、餐饮、住宿、旅游等行业延长亏损结转年限。二是加大个体工商户和小微企业帮扶力度的税收政策。</w:t>
      </w:r>
      <w:r>
        <w:rPr>
          <w:sz w:val="21"/>
          <w:szCs w:val="21"/>
          <w:lang w:eastAsia="zh-CN"/>
        </w:rPr>
        <w:t>自2020年3月1日至5月31日，对湖北省增值税小规模纳税人，适用3%征收率的应税销售收入，免征增值税；其他地区的增值税小规模纳税人，适用3%征收率的应税销售收入，减按1%征收率征收增值税。三是稳外贸外资的税费政策，除了提高部分产品出口退税率。对除“两高一资”外所有未足额退税的出口产品及时足额退税。</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rPr>
      </w:pPr>
      <w:r>
        <w:rPr>
          <w:sz w:val="21"/>
          <w:szCs w:val="21"/>
          <w:lang w:eastAsia="zh-CN"/>
        </w:rPr>
        <w:t>货币政策方面。央行合理把握操作节奏和力度，灵活开展公开市场操作。首先，要强化逆周期调节，保持流动性合理充裕。在市场情绪恢复稳定后，从二月中旬开始连续暂停公开市场逆回购操作，并通过逆回购到期适当回笼流动性，引导流动性总量向常态水平回归。年初至四月末，公开市场7天期逆回购操作中标利率下行了30个基点，引导货币市场利率中枢下移，并通过LPR传导进一步降低实体经济融资成本。其次，要充分发挥再贷款再贴现政策的牵引带领作用，为实体经济发展、疫情防控等提供精准金融服务。央行适时开展常备借贷便利和中期借贷便利操作，加大对冲新冠肺炎疫情影响下的货币信贷支持力度。在金融市场春节开市后提供了1.7万亿元的短期流动性，并向主要全国性银行和部分地方遗憾给提供3000亿元低成本专项再贷款资金，支持疫情防控重点领域和重点企业；增加5000亿元再贷款再贴现专用额度支持企业有序复工复产，增加再贷款再贴现额度1万亿元支持经济恢复发展。降低金融机构存款准备金率，深化利率市场化改革，完善人民币汇率市场化形成机制，提高金融资源配置效率。此外，要深化金融供给侧结构性改革，健全具有普惠性、竞争力的现代金融体系；完善金融市场体系，切实发挥好金融市场在稳增长、调结构、促改革、防风险方面的作用，守住不发生系统性风险的底线</w:t>
      </w:r>
      <w:bookmarkStart w:id="0" w:name="_GoBack"/>
      <w:bookmarkEnd w:id="0"/>
      <w:r>
        <w:rPr>
          <w:sz w:val="21"/>
          <w:szCs w:val="21"/>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1"/>
          <w:szCs w:val="21"/>
        </w:rPr>
      </w:pPr>
      <w:r>
        <w:rPr>
          <w:sz w:val="21"/>
          <w:szCs w:val="21"/>
        </w:rPr>
        <w:t>预期效果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sz w:val="21"/>
          <w:szCs w:val="21"/>
        </w:rPr>
      </w:pPr>
      <w:r>
        <w:rPr>
          <w:sz w:val="21"/>
          <w:szCs w:val="21"/>
          <w:lang w:eastAsia="zh-CN"/>
        </w:rPr>
        <w:t>评价宏观政策的整体效果如何，主要是分析宏观政策追求的核心目标是否实现。面对疫情的冲击，我国经济展现出巨大的韧性，各部门积极有效应对，复工复产复商复市全面推进，生产需求持续改善，取得良好经济发展效果。预计在积极财政政策和货币政策影响下，我国工业服务业将继续增长，消费投资继续改善，“直播带货”、网上零售等数字经济加快发展，为经济发展持续注入新动能。5月份，全国城镇调查失业率为5.9%，比4月下降0.1个百分点；居民消费价格同比上涨2.4%，涨幅比4月回落0.9个百分点；我国就业物价总体保持稳定。但是可预见的是，尽管主要指标表现出改善的态势，但不少指标与上年同期相比仍较低。疫情带来的冲击损失仍需要我们花时间去弥补，推动经济全面恢复常态需要付出更多努力。同样不可否认的是，就全球而言，今年发达经济体增速面临下跌风险，新兴市场经济体或将集体遭遇失速，全球经济衰退已成定局。在疫情走势尚不明朗、各国应对力度参差不齐的情况下，全球经济面临着极大的不稳定性，这势必会增加我国国内经济发展面临的挑战。我国防范以轻输入和国际经济风险的压力并未减轻，复工复产和社会经济发展面临新的困难，结构性、体制性、周期性问题相互交织，我国仍面临着前所未有的发展挑战。因此，宏观调控的效果显现需要较长的时间，并且这种效果是逐步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1"/>
          <w:szCs w:val="21"/>
        </w:rPr>
      </w:pPr>
      <w:r>
        <w:rPr>
          <w:sz w:val="21"/>
          <w:szCs w:val="21"/>
        </w:rPr>
        <w:t>总结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vertAlign w:val="baseline"/>
        </w:rPr>
      </w:pPr>
      <w:r>
        <w:rPr>
          <w:vertAlign w:val="baseline"/>
        </w:rPr>
        <w:t>新冠肺炎疫情对我国经济正常发展产生巨大冲击，但在党中央部署下，各部门协调配合，我国宏观调控仍取得积极成效；并且预计这种经济向好的趋势会持续保持。下一步，我国宏观调控会紧扣全面建成小康社会的目标任务，并统筹推进疫情防控和经济社会发展，在疫情防控常态化条件下，继续实施灵活适度的积极财政政策和稳健货币政策，根据疫情防控和经济形势的阶段性变化，把握好政策力度，坚持稳中求进的总发展基调，促进国民经济整体良性发展循环。</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200"/>
        <w:jc w:val="both"/>
        <w:textAlignment w:val="auto"/>
        <w:outlineLvl w:val="9"/>
        <w:rPr>
          <w:vertAlign w:val="baseline"/>
        </w:rPr>
      </w:pPr>
    </w:p>
    <w:p>
      <w:pPr>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rPr>
        <w:t>参考文献</w:t>
      </w:r>
      <w:r>
        <w:rPr>
          <w:rFonts w:hint="eastAsia" w:ascii="仿宋_GB2312" w:hAnsi="仿宋_GB2312" w:eastAsia="仿宋_GB2312" w:cs="仿宋_GB2312"/>
        </w:rPr>
        <w:t>」</w:t>
      </w:r>
    </w:p>
    <w:p>
      <w:pP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[1]陈彦斌, 刘哲希, 郭豫媚. 经济新常态下宏观调控的问题与转型[J]. 中共中央党校学报, 2016, 第20卷(1):106-112.</w:t>
      </w:r>
    </w:p>
    <w:p>
      <w:pPr>
        <w:rPr>
          <w:rFonts w:hint="eastAsia" w:ascii="仿宋_GB2312" w:hAnsi="仿宋_GB2312" w:eastAsia="仿宋_GB2312" w:cs="仿宋_GB2312"/>
        </w:rPr>
      </w:pPr>
      <w:r>
        <w:rPr>
          <w:rFonts w:hint="eastAsia" w:ascii="仿宋_GB2312" w:hAnsi="仿宋_GB2312" w:eastAsia="仿宋_GB2312" w:cs="仿宋_GB2312"/>
          <w:lang w:val="en-US" w:eastAsia="zh-CN"/>
        </w:rPr>
        <w:t>[</w:t>
      </w:r>
      <w:r>
        <w:rPr>
          <w:rFonts w:hint="default" w:ascii="仿宋_GB2312" w:hAnsi="仿宋_GB2312" w:eastAsia="仿宋_GB2312" w:cs="仿宋_GB2312"/>
          <w:lang w:eastAsia="zh-CN"/>
        </w:rPr>
        <w:t>2</w:t>
      </w:r>
      <w:r>
        <w:rPr>
          <w:rFonts w:hint="eastAsia" w:ascii="仿宋_GB2312" w:hAnsi="仿宋_GB2312" w:eastAsia="仿宋_GB2312" w:cs="仿宋_GB2312"/>
          <w:lang w:val="en-US" w:eastAsia="zh-CN"/>
        </w:rPr>
        <w:t>]陈彦斌. 中国特色宏观调控如何更好发挥政府与市场作用[J]. 财经问题研究, 2020, (3):10-18.</w:t>
      </w:r>
    </w:p>
    <w:p>
      <w:pPr>
        <w:rPr>
          <w:rFonts w:hint="eastAsia" w:ascii="仿宋_GB2312" w:hAnsi="仿宋_GB2312" w:eastAsia="仿宋_GB2312" w:cs="仿宋_GB2312"/>
        </w:rPr>
      </w:pPr>
      <w:r>
        <w:rPr>
          <w:rFonts w:hint="eastAsia" w:ascii="仿宋_GB2312" w:hAnsi="仿宋_GB2312" w:eastAsia="仿宋_GB2312" w:cs="仿宋_GB2312"/>
        </w:rPr>
        <w:t>[</w:t>
      </w:r>
      <w:r>
        <w:rPr>
          <w:rFonts w:hint="default" w:ascii="仿宋_GB2312" w:hAnsi="仿宋_GB2312" w:eastAsia="仿宋_GB2312" w:cs="仿宋_GB2312"/>
        </w:rPr>
        <w:t>3</w:t>
      </w:r>
      <w:r>
        <w:rPr>
          <w:rFonts w:hint="eastAsia" w:ascii="仿宋_GB2312" w:hAnsi="仿宋_GB2312" w:eastAsia="仿宋_GB2312" w:cs="仿宋_GB2312"/>
        </w:rPr>
        <w:t>]刘溶沧,马珺.中国宏观经济调控目标的定位分析[J].财贸经济,2001(09):5-11.</w:t>
      </w:r>
    </w:p>
    <w:p>
      <w:pPr>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default" w:ascii="仿宋_GB2312" w:hAnsi="仿宋_GB2312" w:eastAsia="仿宋_GB2312" w:cs="仿宋_GB2312"/>
          <w:lang w:eastAsia="zh-CN"/>
        </w:rPr>
        <w:t>4</w:t>
      </w:r>
      <w:r>
        <w:rPr>
          <w:rFonts w:hint="eastAsia" w:ascii="仿宋_GB2312" w:hAnsi="仿宋_GB2312" w:eastAsia="仿宋_GB2312" w:cs="仿宋_GB2312"/>
          <w:lang w:eastAsia="zh-CN"/>
        </w:rPr>
        <w:t>]刘哲希,王兆瑞.宏观经济政策整体效果评价[J].经济研究参考,2020,(2):42-54</w:t>
      </w:r>
    </w:p>
    <w:p>
      <w:pPr>
        <w:rPr>
          <w:rFonts w:hint="eastAsia" w:ascii="仿宋_GB2312" w:hAnsi="仿宋_GB2312" w:eastAsia="仿宋_GB2312" w:cs="仿宋_GB2312"/>
        </w:rPr>
      </w:pPr>
      <w:r>
        <w:rPr>
          <w:rFonts w:hint="eastAsia" w:ascii="仿宋_GB2312" w:hAnsi="仿宋_GB2312" w:eastAsia="仿宋_GB2312" w:cs="仿宋_GB2312"/>
        </w:rPr>
        <w:t>[</w:t>
      </w:r>
      <w:r>
        <w:rPr>
          <w:rFonts w:hint="default" w:ascii="仿宋_GB2312" w:hAnsi="仿宋_GB2312" w:eastAsia="仿宋_GB2312" w:cs="仿宋_GB2312"/>
        </w:rPr>
        <w:t>5</w:t>
      </w:r>
      <w:r>
        <w:rPr>
          <w:rFonts w:hint="eastAsia" w:ascii="仿宋_GB2312" w:hAnsi="仿宋_GB2312" w:eastAsia="仿宋_GB2312" w:cs="仿宋_GB2312"/>
        </w:rPr>
        <w:t>]刘伟,苏剑.中国特色宏观调控体系与宏观调控政策——2018年中国宏观经济展望[J].经济学动态,2018(03):4-12.</w:t>
      </w:r>
    </w:p>
    <w:p>
      <w:pPr>
        <w:rPr>
          <w:rFonts w:hint="default" w:ascii="仿宋_GB2312" w:hAnsi="仿宋_GB2312" w:eastAsia="仿宋_GB2312" w:cs="仿宋_GB2312"/>
        </w:rPr>
      </w:pPr>
      <w:r>
        <w:rPr>
          <w:rFonts w:hint="eastAsia" w:ascii="仿宋_GB2312" w:hAnsi="仿宋_GB2312" w:eastAsia="仿宋_GB2312" w:cs="仿宋_GB2312"/>
          <w:lang w:val="en-US" w:eastAsia="zh-CN"/>
        </w:rPr>
        <w:t>[</w:t>
      </w:r>
      <w:r>
        <w:rPr>
          <w:rFonts w:hint="default" w:ascii="仿宋_GB2312" w:hAnsi="仿宋_GB2312" w:eastAsia="仿宋_GB2312" w:cs="仿宋_GB2312"/>
          <w:lang w:eastAsia="zh-CN"/>
        </w:rPr>
        <w:t>6</w:t>
      </w:r>
      <w:r>
        <w:rPr>
          <w:rFonts w:hint="eastAsia" w:ascii="仿宋_GB2312" w:hAnsi="仿宋_GB2312" w:eastAsia="仿宋_GB2312" w:cs="仿宋_GB2312"/>
          <w:lang w:val="en-US" w:eastAsia="zh-CN"/>
        </w:rPr>
        <w:t>]</w:t>
      </w:r>
      <w:r>
        <w:rPr>
          <w:rFonts w:hint="default" w:ascii="仿宋_GB2312" w:hAnsi="仿宋_GB2312" w:eastAsia="仿宋_GB2312" w:cs="仿宋_GB2312"/>
        </w:rPr>
        <w:t>网络资源：中国财政杂志社.记者传真.刘慧娴.受疫情影响1-2月全国财政收支同比下降</w:t>
      </w:r>
    </w:p>
    <w:p>
      <w:pPr>
        <w:rPr>
          <w:rFonts w:hint="default" w:ascii="仿宋_GB2312" w:hAnsi="仿宋_GB2312" w:eastAsia="仿宋_GB2312" w:cs="仿宋_GB2312"/>
        </w:rPr>
      </w:pPr>
      <w:r>
        <w:rPr>
          <w:rFonts w:hint="default" w:ascii="仿宋_GB2312" w:hAnsi="仿宋_GB2312" w:eastAsia="仿宋_GB2312" w:cs="仿宋_GB2312"/>
        </w:rPr>
        <w:t xml:space="preserve">            中国人民银行官网.中国货币政策执行报告（2020第一季度）.</w:t>
      </w:r>
    </w:p>
    <w:p>
      <w:pPr>
        <w:rPr>
          <w:rFonts w:hint="eastAsia" w:ascii="仿宋_GB2312" w:hAnsi="仿宋_GB2312" w:eastAsia="仿宋_GB2312" w:cs="仿宋_GB2312"/>
        </w:rPr>
      </w:pPr>
      <w:r>
        <w:rPr>
          <w:rFonts w:hint="eastAsia" w:ascii="仿宋_GB2312" w:hAnsi="仿宋_GB2312" w:eastAsia="仿宋_GB2312" w:cs="仿宋_GB2312"/>
        </w:rPr>
        <w:t>[</w:t>
      </w:r>
      <w:r>
        <w:rPr>
          <w:rFonts w:hint="default" w:ascii="仿宋_GB2312" w:hAnsi="仿宋_GB2312" w:eastAsia="仿宋_GB2312" w:cs="仿宋_GB2312"/>
        </w:rPr>
        <w:t>7</w:t>
      </w:r>
      <w:r>
        <w:rPr>
          <w:rFonts w:hint="eastAsia" w:ascii="仿宋_GB2312" w:hAnsi="仿宋_GB2312" w:eastAsia="仿宋_GB2312" w:cs="仿宋_GB2312"/>
        </w:rPr>
        <w:t>]</w:t>
      </w:r>
      <w:r>
        <w:rPr>
          <w:rFonts w:hint="eastAsia" w:ascii="仿宋_GB2312" w:hAnsi="仿宋_GB2312" w:eastAsia="仿宋_GB2312" w:cs="仿宋_GB2312"/>
          <w:lang w:val="en-US" w:eastAsia="zh-CN"/>
        </w:rPr>
        <w:t>赵锦辉. 中国宏观调控40年的历程、经验与未来展望*[J]. 理论视野, 2018, (9):5-10.</w:t>
      </w:r>
    </w:p>
    <w:p>
      <w:pPr>
        <w:rPr>
          <w:rFonts w:hint="eastAsia" w:ascii="仿宋_GB2312" w:hAnsi="仿宋_GB2312" w:eastAsia="仿宋_GB2312" w:cs="仿宋_GB2312"/>
        </w:rPr>
      </w:pPr>
      <w:r>
        <w:rPr>
          <w:rFonts w:hint="eastAsia" w:ascii="仿宋_GB2312" w:hAnsi="仿宋_GB2312" w:eastAsia="仿宋_GB2312" w:cs="仿宋_GB2312"/>
        </w:rPr>
        <w:t>[</w:t>
      </w:r>
      <w:r>
        <w:rPr>
          <w:rFonts w:hint="default" w:ascii="仿宋_GB2312" w:hAnsi="仿宋_GB2312" w:eastAsia="仿宋_GB2312" w:cs="仿宋_GB2312"/>
        </w:rPr>
        <w:t>8</w:t>
      </w:r>
      <w:r>
        <w:rPr>
          <w:rFonts w:hint="eastAsia" w:ascii="仿宋_GB2312" w:hAnsi="仿宋_GB2312" w:eastAsia="仿宋_GB2312" w:cs="仿宋_GB2312"/>
        </w:rPr>
        <w:t>]宗良,范若滢.宏观调控理论的创新思维、模型构建与中国实践[J].国际金融研究,2018(11):3-13.</w:t>
      </w:r>
    </w:p>
    <w:p>
      <w:pPr>
        <w:rPr>
          <w:rFonts w:hint="eastAsia" w:ascii="仿宋_GB2312" w:hAnsi="仿宋_GB2312" w:eastAsia="仿宋_GB2312" w:cs="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报隶-繁">
    <w:panose1 w:val="02010600040101010101"/>
    <w:charset w:val="86"/>
    <w:family w:val="auto"/>
    <w:pitch w:val="default"/>
    <w:sig w:usb0="80000287" w:usb1="280F3C52" w:usb2="00000016" w:usb3="00000000" w:csb0="0004001F" w:csb1="00000000"/>
  </w:font>
  <w:font w:name="方正小标宋简体">
    <w:panose1 w:val="02000000000000000000"/>
    <w:charset w:val="86"/>
    <w:family w:val="auto"/>
    <w:pitch w:val="default"/>
    <w:sig w:usb0="A00002BF" w:usb1="184F6CFA" w:usb2="00000012" w:usb3="00000000" w:csb0="00040001" w:csb1="00000000"/>
  </w:font>
  <w:font w:name="arial">
    <w:altName w:val="苹方-简"/>
    <w:panose1 w:val="00000000000000000000"/>
    <w:charset w:val="00"/>
    <w:family w:val="auto"/>
    <w:pitch w:val="default"/>
    <w:sig w:usb0="00000000" w:usb1="00000000" w:usb2="00000000" w:usb3="00000000" w:csb0="00000000" w:csb1="00000000"/>
  </w:font>
  <w:font w:name="娃娃体-繁">
    <w:panose1 w:val="040B0500000000000000"/>
    <w:charset w:val="88"/>
    <w:family w:val="auto"/>
    <w:pitch w:val="default"/>
    <w:sig w:usb0="A00000FF" w:usb1="5889787B" w:usb2="00000016" w:usb3="00000000" w:csb0="00100003"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手札体-简">
    <w:panose1 w:val="03000500000000000000"/>
    <w:charset w:val="86"/>
    <w:family w:val="auto"/>
    <w:pitch w:val="default"/>
    <w:sig w:usb0="A00002FF" w:usb1="7ACF7CFB" w:usb2="00000016" w:usb3="00000000" w:csb0="00040001" w:csb1="0000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helvetica">
    <w:altName w:val="苹方-简"/>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webkit-standard">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pPr>
      <w:r>
        <w:rPr>
          <w:rStyle w:val="5"/>
        </w:rPr>
        <w:footnoteRef/>
      </w:r>
      <w:r>
        <w:t xml:space="preserve"> </w:t>
      </w:r>
      <w:r>
        <w:t>引自高鸿业《西方经济学（宏观部分</w:t>
      </w:r>
      <w:r>
        <w:rPr>
          <w:rFonts w:hint="eastAsia" w:ascii="仿宋_GB2312" w:hAnsi="仿宋_GB2312" w:eastAsia="仿宋_GB2312" w:cs="仿宋_GB2312"/>
        </w:rPr>
        <w:t>.</w:t>
      </w:r>
      <w:r>
        <w:rPr>
          <w:rFonts w:hint="default" w:asciiTheme="minorEastAsia" w:hAnsiTheme="minorEastAsia" w:cstheme="minorEastAsia"/>
        </w:rPr>
        <w:t>第七版）》第十七章“宏观经济政策”。</w:t>
      </w:r>
    </w:p>
  </w:footnote>
  <w:footnote w:id="1">
    <w:p>
      <w:pPr>
        <w:pStyle w:val="2"/>
        <w:snapToGrid w:val="0"/>
      </w:pPr>
      <w:r>
        <w:rPr>
          <w:rStyle w:val="5"/>
        </w:rPr>
        <w:footnoteRef/>
      </w:r>
      <w:r>
        <w:t xml:space="preserve"> </w:t>
      </w:r>
      <w:r>
        <w:t>数据来自国家统计局官网。</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679A3"/>
    <w:multiLevelType w:val="singleLevel"/>
    <w:tmpl w:val="5F0679A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72B1C"/>
    <w:rsid w:val="17C7C45E"/>
    <w:rsid w:val="17FFC9DA"/>
    <w:rsid w:val="1B7B3F17"/>
    <w:rsid w:val="31BC248E"/>
    <w:rsid w:val="3B776F03"/>
    <w:rsid w:val="3BDF205E"/>
    <w:rsid w:val="5BFE4585"/>
    <w:rsid w:val="5DFE9A49"/>
    <w:rsid w:val="76D4B97B"/>
    <w:rsid w:val="77472B1C"/>
    <w:rsid w:val="7E4B1D4E"/>
    <w:rsid w:val="7FDDE29F"/>
    <w:rsid w:val="7FFEE5ED"/>
    <w:rsid w:val="9B7FD68C"/>
    <w:rsid w:val="BB3F2378"/>
    <w:rsid w:val="BD77900A"/>
    <w:rsid w:val="BEFDCB95"/>
    <w:rsid w:val="BFD5A005"/>
    <w:rsid w:val="CE7B0EBD"/>
    <w:rsid w:val="EDEBEFDC"/>
    <w:rsid w:val="F5DFCD9C"/>
    <w:rsid w:val="F6BB8BA3"/>
    <w:rsid w:val="FD7CCC4C"/>
    <w:rsid w:val="FD8FE215"/>
    <w:rsid w:val="FFBFBC18"/>
    <w:rsid w:val="FFE4FEBB"/>
    <w:rsid w:val="FFFFC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paragraph" w:styleId="3">
    <w:name w:val="Normal (Web)"/>
    <w:basedOn w:val="1"/>
    <w:uiPriority w:val="0"/>
    <w:rPr>
      <w:sz w:val="24"/>
    </w:rPr>
  </w:style>
  <w:style w:type="character" w:styleId="5">
    <w:name w:val="footnote reference"/>
    <w:basedOn w:val="4"/>
    <w:uiPriority w:val="0"/>
    <w:rPr>
      <w:vertAlign w:val="superscript"/>
    </w:rPr>
  </w:style>
  <w:style w:type="paragraph" w:customStyle="1" w:styleId="7">
    <w:name w:val="p1"/>
    <w:basedOn w:val="1"/>
    <w:uiPriority w:val="0"/>
    <w:pPr>
      <w:spacing w:before="0" w:beforeAutospacing="0" w:after="0" w:afterAutospacing="0"/>
      <w:ind w:left="0" w:right="0"/>
      <w:jc w:val="left"/>
    </w:pPr>
    <w:rPr>
      <w:rFonts w:ascii="helvetica" w:hAnsi="helvetica" w:eastAsia="helvetica" w:cs="helvetica"/>
      <w:kern w:val="0"/>
      <w:sz w:val="19"/>
      <w:szCs w:val="19"/>
      <w:lang w:val="en-US" w:eastAsia="zh-CN" w:bidi="ar"/>
    </w:rPr>
  </w:style>
  <w:style w:type="character" w:customStyle="1" w:styleId="8">
    <w:name w:val="s1"/>
    <w:basedOn w:val="4"/>
    <w:uiPriority w:val="0"/>
    <w:rPr>
      <w:rFonts w:hint="default" w:ascii="helvetica" w:hAnsi="helvetica" w:eastAsia="helvetica" w:cs="helvetica"/>
      <w:sz w:val="14"/>
      <w:szCs w:val="14"/>
    </w:rPr>
  </w:style>
  <w:style w:type="paragraph" w:customStyle="1" w:styleId="9">
    <w:name w:val="p2"/>
    <w:basedOn w:val="1"/>
    <w:uiPriority w:val="0"/>
    <w:pPr>
      <w:spacing w:before="0" w:beforeAutospacing="0" w:after="0" w:afterAutospacing="0"/>
      <w:ind w:left="0" w:right="0"/>
      <w:jc w:val="left"/>
    </w:pPr>
    <w:rPr>
      <w:rFonts w:ascii="helvetica" w:hAnsi="helvetica" w:eastAsia="helvetica" w:cs="helvetica"/>
      <w:kern w:val="0"/>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2020-06-29T18:25:00Z</dcterms:created>
  <dc:creator>huangqian</dc:creator>
  <cp:lastModifiedBy>huangqian</cp:lastModifiedBy>
  <dcterms:modified xsi:type="dcterms:W3CDTF">2020-07-10T16:55:17Z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