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2"/>
        <w:rPr>
          <w:sz w:val="36"/>
          <w:szCs w:val="36"/>
        </w:rPr>
      </w:pPr>
      <w:r>
        <w:rPr>
          <w:sz w:val="36"/>
          <w:szCs w:val="36"/>
        </w:rPr>
        <w:t>拉美国家20世纪8、90年代恶性通货膨胀的</w:t>
      </w: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2"/>
        <w:rPr>
          <w:sz w:val="36"/>
          <w:szCs w:val="36"/>
        </w:rPr>
      </w:pPr>
      <w:r>
        <w:rPr>
          <w:sz w:val="36"/>
          <w:szCs w:val="36"/>
        </w:rPr>
        <w:t>原因、后果及启示</w:t>
      </w:r>
    </w:p>
    <w:p>
      <w:pPr>
        <w:pStyle w:val="8"/>
        <w:numPr>
          <w:ilvl w:val="0"/>
          <w:numId w:val="0"/>
        </w:numPr>
        <w:bidi w:val="0"/>
        <w:jc w:val="center"/>
      </w:pPr>
      <w:r>
        <w:t>1. 选题背景和意义</w:t>
      </w:r>
    </w:p>
    <w:p>
      <w:pPr>
        <w:bidi w:val="0"/>
        <w:rPr>
          <w:rFonts w:hint="default"/>
        </w:rPr>
      </w:pPr>
      <w:r>
        <w:rPr>
          <w:rFonts w:hint="default"/>
        </w:rPr>
        <w:t>如表1所示，</w:t>
      </w:r>
      <w:r>
        <w:rPr>
          <w:rFonts w:hint="eastAsia"/>
        </w:rPr>
        <w:t>20世纪8、90年代</w:t>
      </w:r>
      <w:r>
        <w:rPr>
          <w:rFonts w:hint="default"/>
        </w:rPr>
        <w:t>拉丁美洲的</w:t>
      </w:r>
      <w:r>
        <w:rPr>
          <w:rFonts w:hint="eastAsia"/>
        </w:rPr>
        <w:t>通货膨胀</w:t>
      </w:r>
      <w:r>
        <w:rPr>
          <w:rFonts w:hint="default"/>
        </w:rPr>
        <w:t>率居高难下，拉美国家的通货膨胀率既高于其他发展中国家的水平，也明显高于发达工业化国家的水平。20世纪8、90年代这次恶性通货膨胀几乎发展到难以控制的地步，对经济、政治等领域都产生了深远的负面影响，如从发达国家降级为发展中国家的阿根廷至今仍保持着较高的通货膨胀率。</w:t>
      </w:r>
    </w:p>
    <w:p>
      <w:pPr>
        <w:pStyle w:val="8"/>
        <w:bidi w:val="0"/>
        <w:jc w:val="center"/>
        <w:rPr>
          <w:rFonts w:hint="default"/>
          <w:sz w:val="21"/>
          <w:szCs w:val="21"/>
        </w:rPr>
      </w:pPr>
      <w:r>
        <w:rPr>
          <w:rFonts w:hint="default"/>
          <w:sz w:val="21"/>
          <w:szCs w:val="21"/>
        </w:rPr>
        <w:t>表1  50~80年代拉美和其他地区的通胀率（%）</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704" w:type="dxa"/>
          </w:tcPr>
          <w:p>
            <w:pPr>
              <w:bidi w:val="0"/>
              <w:ind w:left="0" w:leftChars="0" w:firstLine="0" w:firstLineChars="0"/>
              <w:jc w:val="center"/>
              <w:rPr>
                <w:rFonts w:hint="default"/>
                <w:vertAlign w:val="baseline"/>
              </w:rPr>
            </w:pPr>
          </w:p>
        </w:tc>
        <w:tc>
          <w:tcPr>
            <w:tcW w:w="1704" w:type="dxa"/>
          </w:tcPr>
          <w:p>
            <w:pPr>
              <w:bidi w:val="0"/>
              <w:ind w:left="0" w:leftChars="0" w:firstLine="0" w:firstLineChars="0"/>
              <w:jc w:val="center"/>
              <w:rPr>
                <w:rFonts w:hint="default"/>
                <w:vertAlign w:val="baseline"/>
              </w:rPr>
            </w:pPr>
            <w:r>
              <w:rPr>
                <w:rFonts w:hint="default"/>
                <w:vertAlign w:val="baseline"/>
              </w:rPr>
              <w:t>1951~1960</w:t>
            </w:r>
          </w:p>
        </w:tc>
        <w:tc>
          <w:tcPr>
            <w:tcW w:w="1704" w:type="dxa"/>
          </w:tcPr>
          <w:p>
            <w:pPr>
              <w:bidi w:val="0"/>
              <w:ind w:left="0" w:leftChars="0" w:firstLine="0" w:firstLineChars="0"/>
              <w:jc w:val="center"/>
              <w:rPr>
                <w:rFonts w:hint="default"/>
                <w:vertAlign w:val="baseline"/>
              </w:rPr>
            </w:pPr>
            <w:r>
              <w:rPr>
                <w:rFonts w:hint="default"/>
                <w:vertAlign w:val="baseline"/>
              </w:rPr>
              <w:t>19</w:t>
            </w:r>
            <w:r>
              <w:rPr>
                <w:rFonts w:hint="default"/>
                <w:vertAlign w:val="baseline"/>
              </w:rPr>
              <w:t>6</w:t>
            </w:r>
            <w:r>
              <w:rPr>
                <w:rFonts w:hint="default"/>
                <w:vertAlign w:val="baseline"/>
              </w:rPr>
              <w:t>1~19</w:t>
            </w:r>
            <w:r>
              <w:rPr>
                <w:rFonts w:hint="default"/>
                <w:vertAlign w:val="baseline"/>
              </w:rPr>
              <w:t>7</w:t>
            </w:r>
            <w:r>
              <w:rPr>
                <w:rFonts w:hint="default"/>
                <w:vertAlign w:val="baseline"/>
              </w:rPr>
              <w:t>0</w:t>
            </w:r>
          </w:p>
        </w:tc>
        <w:tc>
          <w:tcPr>
            <w:tcW w:w="1705" w:type="dxa"/>
          </w:tcPr>
          <w:p>
            <w:pPr>
              <w:bidi w:val="0"/>
              <w:ind w:left="0" w:leftChars="0" w:firstLine="0" w:firstLineChars="0"/>
              <w:jc w:val="center"/>
              <w:rPr>
                <w:rFonts w:hint="default"/>
                <w:vertAlign w:val="baseline"/>
              </w:rPr>
            </w:pPr>
            <w:r>
              <w:rPr>
                <w:rFonts w:hint="default"/>
                <w:vertAlign w:val="baseline"/>
              </w:rPr>
              <w:t>19</w:t>
            </w:r>
            <w:r>
              <w:rPr>
                <w:rFonts w:hint="default"/>
                <w:vertAlign w:val="baseline"/>
              </w:rPr>
              <w:t>7</w:t>
            </w:r>
            <w:r>
              <w:rPr>
                <w:rFonts w:hint="default"/>
                <w:vertAlign w:val="baseline"/>
              </w:rPr>
              <w:t>1~19</w:t>
            </w:r>
            <w:r>
              <w:rPr>
                <w:rFonts w:hint="default"/>
                <w:vertAlign w:val="baseline"/>
              </w:rPr>
              <w:t>8</w:t>
            </w:r>
            <w:r>
              <w:rPr>
                <w:rFonts w:hint="default"/>
                <w:vertAlign w:val="baseline"/>
              </w:rPr>
              <w:t>0</w:t>
            </w:r>
          </w:p>
        </w:tc>
        <w:tc>
          <w:tcPr>
            <w:tcW w:w="1705" w:type="dxa"/>
          </w:tcPr>
          <w:p>
            <w:pPr>
              <w:bidi w:val="0"/>
              <w:ind w:left="0" w:leftChars="0" w:firstLine="0" w:firstLineChars="0"/>
              <w:jc w:val="center"/>
              <w:rPr>
                <w:rFonts w:hint="default"/>
                <w:vertAlign w:val="baseline"/>
              </w:rPr>
            </w:pPr>
            <w:r>
              <w:rPr>
                <w:rFonts w:hint="default"/>
                <w:vertAlign w:val="baseline"/>
              </w:rPr>
              <w:t>19</w:t>
            </w:r>
            <w:r>
              <w:rPr>
                <w:rFonts w:hint="default"/>
                <w:vertAlign w:val="baseline"/>
              </w:rPr>
              <w:t>8</w:t>
            </w:r>
            <w:r>
              <w:rPr>
                <w:rFonts w:hint="default"/>
                <w:vertAlign w:val="baseline"/>
              </w:rPr>
              <w:t>1~19</w:t>
            </w:r>
            <w:r>
              <w:rPr>
                <w:rFonts w:hint="default"/>
                <w:vertAlign w:val="baseline"/>
              </w:rPr>
              <w:t>9</w:t>
            </w: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bidi w:val="0"/>
              <w:ind w:left="0" w:leftChars="0" w:firstLine="0" w:firstLineChars="0"/>
              <w:jc w:val="center"/>
              <w:rPr>
                <w:rFonts w:hint="default"/>
                <w:vertAlign w:val="baseline"/>
              </w:rPr>
            </w:pPr>
            <w:r>
              <w:rPr>
                <w:rFonts w:hint="default"/>
                <w:vertAlign w:val="baseline"/>
              </w:rPr>
              <w:t>工业国</w:t>
            </w:r>
          </w:p>
        </w:tc>
        <w:tc>
          <w:tcPr>
            <w:tcW w:w="1704" w:type="dxa"/>
          </w:tcPr>
          <w:p>
            <w:pPr>
              <w:bidi w:val="0"/>
              <w:ind w:left="0" w:leftChars="0" w:firstLine="0" w:firstLineChars="0"/>
              <w:jc w:val="center"/>
              <w:rPr>
                <w:rFonts w:hint="default"/>
                <w:vertAlign w:val="baseline"/>
              </w:rPr>
            </w:pPr>
            <w:r>
              <w:rPr>
                <w:rFonts w:hint="default"/>
                <w:vertAlign w:val="baseline"/>
              </w:rPr>
              <w:t>2.1</w:t>
            </w:r>
          </w:p>
        </w:tc>
        <w:tc>
          <w:tcPr>
            <w:tcW w:w="1704" w:type="dxa"/>
          </w:tcPr>
          <w:p>
            <w:pPr>
              <w:bidi w:val="0"/>
              <w:ind w:left="0" w:leftChars="0" w:firstLine="0" w:firstLineChars="0"/>
              <w:jc w:val="center"/>
              <w:rPr>
                <w:rFonts w:hint="default"/>
                <w:vertAlign w:val="baseline"/>
              </w:rPr>
            </w:pPr>
            <w:r>
              <w:rPr>
                <w:rFonts w:hint="default"/>
                <w:vertAlign w:val="baseline"/>
              </w:rPr>
              <w:t>3.3</w:t>
            </w:r>
          </w:p>
        </w:tc>
        <w:tc>
          <w:tcPr>
            <w:tcW w:w="1705" w:type="dxa"/>
          </w:tcPr>
          <w:p>
            <w:pPr>
              <w:bidi w:val="0"/>
              <w:ind w:left="0" w:leftChars="0" w:firstLine="0" w:firstLineChars="0"/>
              <w:jc w:val="center"/>
              <w:rPr>
                <w:rFonts w:hint="default"/>
                <w:vertAlign w:val="baseline"/>
              </w:rPr>
            </w:pPr>
            <w:r>
              <w:rPr>
                <w:rFonts w:hint="default"/>
                <w:vertAlign w:val="baseline"/>
              </w:rPr>
              <w:t>8.7</w:t>
            </w:r>
          </w:p>
        </w:tc>
        <w:tc>
          <w:tcPr>
            <w:tcW w:w="1705" w:type="dxa"/>
          </w:tcPr>
          <w:p>
            <w:pPr>
              <w:bidi w:val="0"/>
              <w:ind w:left="0" w:leftChars="0" w:firstLine="0" w:firstLineChars="0"/>
              <w:jc w:val="center"/>
              <w:rPr>
                <w:rFonts w:hint="default"/>
                <w:vertAlign w:val="baseline"/>
              </w:rPr>
            </w:pPr>
            <w:r>
              <w:rPr>
                <w:rFonts w:hint="default"/>
                <w:vertAlign w:val="baseline"/>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bidi w:val="0"/>
              <w:ind w:left="0" w:leftChars="0" w:firstLine="0" w:firstLineChars="0"/>
              <w:jc w:val="center"/>
              <w:rPr>
                <w:rFonts w:hint="default"/>
                <w:vertAlign w:val="baseline"/>
              </w:rPr>
            </w:pPr>
            <w:r>
              <w:rPr>
                <w:rFonts w:hint="default"/>
                <w:vertAlign w:val="baseline"/>
              </w:rPr>
              <w:t>亚洲</w:t>
            </w:r>
          </w:p>
        </w:tc>
        <w:tc>
          <w:tcPr>
            <w:tcW w:w="1704" w:type="dxa"/>
          </w:tcPr>
          <w:p>
            <w:pPr>
              <w:bidi w:val="0"/>
              <w:ind w:left="0" w:leftChars="0" w:firstLine="0" w:firstLineChars="0"/>
              <w:jc w:val="center"/>
              <w:rPr>
                <w:rFonts w:hint="default"/>
                <w:vertAlign w:val="baseline"/>
              </w:rPr>
            </w:pPr>
            <w:r>
              <w:rPr>
                <w:rFonts w:hint="default"/>
                <w:vertAlign w:val="baseline"/>
              </w:rPr>
              <w:t>3.3</w:t>
            </w:r>
          </w:p>
        </w:tc>
        <w:tc>
          <w:tcPr>
            <w:tcW w:w="1704" w:type="dxa"/>
          </w:tcPr>
          <w:p>
            <w:pPr>
              <w:bidi w:val="0"/>
              <w:ind w:left="0" w:leftChars="0" w:firstLine="0" w:firstLineChars="0"/>
              <w:jc w:val="center"/>
              <w:rPr>
                <w:rFonts w:hint="default"/>
                <w:vertAlign w:val="baseline"/>
              </w:rPr>
            </w:pPr>
            <w:r>
              <w:rPr>
                <w:rFonts w:hint="default"/>
                <w:vertAlign w:val="baseline"/>
              </w:rPr>
              <w:t>5.8</w:t>
            </w:r>
          </w:p>
        </w:tc>
        <w:tc>
          <w:tcPr>
            <w:tcW w:w="1705" w:type="dxa"/>
          </w:tcPr>
          <w:p>
            <w:pPr>
              <w:bidi w:val="0"/>
              <w:ind w:left="0" w:leftChars="0" w:firstLine="0" w:firstLineChars="0"/>
              <w:jc w:val="center"/>
              <w:rPr>
                <w:rFonts w:hint="default"/>
                <w:vertAlign w:val="baseline"/>
              </w:rPr>
            </w:pPr>
            <w:r>
              <w:rPr>
                <w:rFonts w:hint="default"/>
                <w:vertAlign w:val="baseline"/>
              </w:rPr>
              <w:t>9.1</w:t>
            </w:r>
          </w:p>
        </w:tc>
        <w:tc>
          <w:tcPr>
            <w:tcW w:w="1705" w:type="dxa"/>
          </w:tcPr>
          <w:p>
            <w:pPr>
              <w:bidi w:val="0"/>
              <w:ind w:left="0" w:leftChars="0" w:firstLine="0" w:firstLineChars="0"/>
              <w:jc w:val="center"/>
              <w:rPr>
                <w:rFonts w:hint="default"/>
                <w:vertAlign w:val="baseline"/>
              </w:rPr>
            </w:pPr>
            <w:r>
              <w:rPr>
                <w:rFonts w:hint="default"/>
                <w:vertAlign w:val="baseline"/>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bidi w:val="0"/>
              <w:ind w:left="0" w:leftChars="0" w:firstLine="0" w:firstLineChars="0"/>
              <w:jc w:val="center"/>
              <w:rPr>
                <w:rFonts w:hint="default"/>
                <w:vertAlign w:val="baseline"/>
              </w:rPr>
            </w:pPr>
            <w:r>
              <w:rPr>
                <w:rFonts w:hint="default"/>
                <w:vertAlign w:val="baseline"/>
              </w:rPr>
              <w:t>中东</w:t>
            </w:r>
          </w:p>
        </w:tc>
        <w:tc>
          <w:tcPr>
            <w:tcW w:w="1704" w:type="dxa"/>
          </w:tcPr>
          <w:p>
            <w:pPr>
              <w:bidi w:val="0"/>
              <w:ind w:left="0" w:leftChars="0" w:firstLine="0" w:firstLineChars="0"/>
              <w:jc w:val="center"/>
              <w:rPr>
                <w:rFonts w:hint="default"/>
                <w:vertAlign w:val="baseline"/>
              </w:rPr>
            </w:pPr>
            <w:r>
              <w:rPr>
                <w:rFonts w:hint="default"/>
                <w:vertAlign w:val="baseline"/>
              </w:rPr>
              <w:t>3.6</w:t>
            </w:r>
          </w:p>
        </w:tc>
        <w:tc>
          <w:tcPr>
            <w:tcW w:w="1704" w:type="dxa"/>
          </w:tcPr>
          <w:p>
            <w:pPr>
              <w:bidi w:val="0"/>
              <w:ind w:left="0" w:leftChars="0" w:firstLine="0" w:firstLineChars="0"/>
              <w:jc w:val="center"/>
              <w:rPr>
                <w:rFonts w:hint="default"/>
                <w:vertAlign w:val="baseline"/>
              </w:rPr>
            </w:pPr>
            <w:r>
              <w:rPr>
                <w:rFonts w:hint="default"/>
                <w:vertAlign w:val="baseline"/>
              </w:rPr>
              <w:t>3.8</w:t>
            </w:r>
          </w:p>
        </w:tc>
        <w:tc>
          <w:tcPr>
            <w:tcW w:w="1705" w:type="dxa"/>
          </w:tcPr>
          <w:p>
            <w:pPr>
              <w:bidi w:val="0"/>
              <w:ind w:left="0" w:leftChars="0" w:firstLine="0" w:firstLineChars="0"/>
              <w:jc w:val="center"/>
              <w:rPr>
                <w:rFonts w:hint="default"/>
                <w:vertAlign w:val="baseline"/>
              </w:rPr>
            </w:pPr>
            <w:r>
              <w:rPr>
                <w:rFonts w:hint="default"/>
                <w:vertAlign w:val="baseline"/>
              </w:rPr>
              <w:t>19.6</w:t>
            </w:r>
          </w:p>
        </w:tc>
        <w:tc>
          <w:tcPr>
            <w:tcW w:w="1705" w:type="dxa"/>
          </w:tcPr>
          <w:p>
            <w:pPr>
              <w:bidi w:val="0"/>
              <w:ind w:left="0" w:leftChars="0" w:firstLine="0" w:firstLineChars="0"/>
              <w:jc w:val="center"/>
              <w:rPr>
                <w:rFonts w:hint="default"/>
                <w:vertAlign w:val="baseline"/>
              </w:rPr>
            </w:pPr>
            <w:r>
              <w:rPr>
                <w:rFonts w:hint="default"/>
                <w:vertAlign w:val="baseline"/>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bidi w:val="0"/>
              <w:ind w:left="0" w:leftChars="0" w:firstLine="0" w:firstLineChars="0"/>
              <w:jc w:val="center"/>
              <w:rPr>
                <w:rFonts w:hint="default"/>
                <w:vertAlign w:val="baseline"/>
              </w:rPr>
            </w:pPr>
            <w:r>
              <w:rPr>
                <w:rFonts w:hint="default"/>
                <w:vertAlign w:val="baseline"/>
              </w:rPr>
              <w:t>拉美</w:t>
            </w:r>
          </w:p>
        </w:tc>
        <w:tc>
          <w:tcPr>
            <w:tcW w:w="1704" w:type="dxa"/>
          </w:tcPr>
          <w:p>
            <w:pPr>
              <w:bidi w:val="0"/>
              <w:ind w:left="0" w:leftChars="0" w:firstLine="0" w:firstLineChars="0"/>
              <w:jc w:val="center"/>
              <w:rPr>
                <w:rFonts w:hint="default"/>
                <w:vertAlign w:val="baseline"/>
              </w:rPr>
            </w:pPr>
            <w:r>
              <w:rPr>
                <w:rFonts w:hint="default"/>
                <w:vertAlign w:val="baseline"/>
              </w:rPr>
              <w:t>7.9</w:t>
            </w:r>
          </w:p>
        </w:tc>
        <w:tc>
          <w:tcPr>
            <w:tcW w:w="1704" w:type="dxa"/>
          </w:tcPr>
          <w:p>
            <w:pPr>
              <w:bidi w:val="0"/>
              <w:ind w:left="0" w:leftChars="0" w:firstLine="0" w:firstLineChars="0"/>
              <w:jc w:val="center"/>
              <w:rPr>
                <w:rFonts w:hint="default"/>
                <w:vertAlign w:val="baseline"/>
              </w:rPr>
            </w:pPr>
            <w:r>
              <w:rPr>
                <w:rFonts w:hint="default"/>
                <w:vertAlign w:val="baseline"/>
              </w:rPr>
              <w:t>21.2</w:t>
            </w:r>
          </w:p>
        </w:tc>
        <w:tc>
          <w:tcPr>
            <w:tcW w:w="1705" w:type="dxa"/>
          </w:tcPr>
          <w:p>
            <w:pPr>
              <w:bidi w:val="0"/>
              <w:ind w:left="0" w:leftChars="0" w:firstLine="0" w:firstLineChars="0"/>
              <w:jc w:val="center"/>
              <w:rPr>
                <w:rFonts w:hint="default"/>
                <w:vertAlign w:val="baseline"/>
              </w:rPr>
            </w:pPr>
            <w:r>
              <w:rPr>
                <w:rFonts w:hint="default"/>
                <w:vertAlign w:val="baseline"/>
              </w:rPr>
              <w:t>39.4</w:t>
            </w:r>
          </w:p>
        </w:tc>
        <w:tc>
          <w:tcPr>
            <w:tcW w:w="1705" w:type="dxa"/>
          </w:tcPr>
          <w:p>
            <w:pPr>
              <w:bidi w:val="0"/>
              <w:ind w:left="0" w:leftChars="0" w:firstLine="0" w:firstLineChars="0"/>
              <w:jc w:val="center"/>
              <w:rPr>
                <w:rFonts w:hint="default"/>
                <w:vertAlign w:val="baseline"/>
              </w:rPr>
            </w:pPr>
            <w:r>
              <w:rPr>
                <w:rFonts w:hint="default"/>
                <w:vertAlign w:val="baseline"/>
              </w:rPr>
              <w:t>149.0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bidi w:val="0"/>
              <w:ind w:left="0" w:leftChars="0" w:firstLine="0" w:firstLineChars="0"/>
              <w:jc w:val="center"/>
              <w:rPr>
                <w:rFonts w:hint="default"/>
                <w:vertAlign w:val="baseline"/>
              </w:rPr>
            </w:pPr>
            <w:r>
              <w:rPr>
                <w:rFonts w:hint="default"/>
                <w:vertAlign w:val="baseline"/>
              </w:rPr>
              <w:t>世界</w:t>
            </w:r>
          </w:p>
        </w:tc>
        <w:tc>
          <w:tcPr>
            <w:tcW w:w="1704" w:type="dxa"/>
          </w:tcPr>
          <w:p>
            <w:pPr>
              <w:bidi w:val="0"/>
              <w:ind w:left="0" w:leftChars="0" w:firstLine="0" w:firstLineChars="0"/>
              <w:jc w:val="center"/>
              <w:rPr>
                <w:rFonts w:hint="default"/>
                <w:vertAlign w:val="baseline"/>
              </w:rPr>
            </w:pPr>
            <w:r>
              <w:rPr>
                <w:rFonts w:hint="default"/>
                <w:vertAlign w:val="baseline"/>
              </w:rPr>
              <w:t>2.4</w:t>
            </w:r>
          </w:p>
        </w:tc>
        <w:tc>
          <w:tcPr>
            <w:tcW w:w="1704" w:type="dxa"/>
          </w:tcPr>
          <w:p>
            <w:pPr>
              <w:bidi w:val="0"/>
              <w:ind w:left="0" w:leftChars="0" w:firstLine="0" w:firstLineChars="0"/>
              <w:jc w:val="center"/>
              <w:rPr>
                <w:rFonts w:hint="default"/>
                <w:vertAlign w:val="baseline"/>
              </w:rPr>
            </w:pPr>
            <w:r>
              <w:rPr>
                <w:rFonts w:hint="default"/>
                <w:vertAlign w:val="baseline"/>
              </w:rPr>
              <w:t>4.4</w:t>
            </w:r>
          </w:p>
        </w:tc>
        <w:tc>
          <w:tcPr>
            <w:tcW w:w="1705" w:type="dxa"/>
          </w:tcPr>
          <w:p>
            <w:pPr>
              <w:bidi w:val="0"/>
              <w:ind w:left="0" w:leftChars="0" w:firstLine="0" w:firstLineChars="0"/>
              <w:jc w:val="center"/>
              <w:rPr>
                <w:rFonts w:hint="default"/>
                <w:vertAlign w:val="baseline"/>
              </w:rPr>
            </w:pPr>
            <w:r>
              <w:rPr>
                <w:rFonts w:hint="default"/>
                <w:vertAlign w:val="baseline"/>
              </w:rPr>
              <w:t>11.0</w:t>
            </w:r>
          </w:p>
        </w:tc>
        <w:tc>
          <w:tcPr>
            <w:tcW w:w="1705" w:type="dxa"/>
          </w:tcPr>
          <w:p>
            <w:pPr>
              <w:bidi w:val="0"/>
              <w:ind w:left="0" w:leftChars="0" w:firstLine="0" w:firstLineChars="0"/>
              <w:jc w:val="center"/>
              <w:rPr>
                <w:rFonts w:hint="default"/>
                <w:vertAlign w:val="baseline"/>
              </w:rPr>
            </w:pPr>
            <w:r>
              <w:rPr>
                <w:rFonts w:hint="default"/>
                <w:vertAlign w:val="baseline"/>
              </w:rPr>
              <w:t>12.7</w:t>
            </w:r>
          </w:p>
        </w:tc>
      </w:tr>
    </w:tbl>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asciiTheme="minorAscii" w:hAnsiTheme="minorAscii" w:eastAsiaTheme="minorEastAsia" w:cstheme="minorBidi"/>
          <w:kern w:val="2"/>
          <w:sz w:val="18"/>
          <w:szCs w:val="24"/>
          <w:lang w:eastAsia="zh-CN" w:bidi="ar-SA"/>
        </w:rPr>
      </w:pPr>
      <w:r>
        <w:rPr>
          <w:rFonts w:hint="default" w:asciiTheme="minorAscii" w:hAnsiTheme="minorAscii" w:eastAsiaTheme="minorEastAsia" w:cstheme="minorBidi"/>
          <w:kern w:val="2"/>
          <w:sz w:val="18"/>
          <w:szCs w:val="24"/>
          <w:lang w:eastAsia="zh-CN" w:bidi="ar-SA"/>
        </w:rPr>
        <w:t>资料来源: 国际货币基金组织《国际金融统计年鉴》; 转引自《拉美经委会评论》杂志,1990 年12月,第117页</w:t>
      </w:r>
      <w:r>
        <w:rPr>
          <w:rFonts w:hint="default" w:cstheme="minorBidi"/>
          <w:kern w:val="2"/>
          <w:sz w:val="18"/>
          <w:szCs w:val="24"/>
          <w:lang w:eastAsia="zh-CN" w:bidi="ar-SA"/>
        </w:rPr>
        <w:t>。</w:t>
      </w:r>
    </w:p>
    <w:p>
      <w:pPr>
        <w:bidi w:val="0"/>
      </w:pPr>
      <w:r>
        <w:rPr>
          <w:rFonts w:hint="default"/>
        </w:rPr>
        <w:t>出于对这次恶性通货膨胀的起因的探究、对通货膨胀影响的好奇以及对从中吸取经验教训的希望，我选择了对它的原因、后果和启示进行研究和讨论。</w:t>
      </w:r>
    </w:p>
    <w:p>
      <w:pPr>
        <w:pStyle w:val="8"/>
        <w:numPr>
          <w:ilvl w:val="0"/>
          <w:numId w:val="0"/>
        </w:numPr>
        <w:bidi w:val="0"/>
        <w:jc w:val="center"/>
        <w:rPr>
          <w:szCs w:val="22"/>
        </w:rPr>
      </w:pPr>
      <w:r>
        <w:rPr>
          <w:szCs w:val="22"/>
        </w:rPr>
        <w:t>2. 原因</w:t>
      </w:r>
    </w:p>
    <w:p>
      <w:pPr>
        <w:pStyle w:val="9"/>
        <w:bidi w:val="0"/>
      </w:pPr>
      <w:r>
        <w:t>2.1 投资规模膨胀</w:t>
      </w:r>
    </w:p>
    <w:p>
      <w:r>
        <w:t>拉美国家自20世纪60年代起，为了加快经济增长的速度，制定了许多超出国力许可的发展计划，片面追去高速度、高指标和高增长。但由于</w:t>
      </w:r>
      <w:r>
        <w:rPr>
          <w:color w:val="auto"/>
        </w:rPr>
        <w:t>国内储蓄不足，无法满足过高的投资需求。例如，</w:t>
      </w:r>
      <w:r>
        <w:rPr>
          <w:rFonts w:hint="eastAsia"/>
          <w:color w:val="auto"/>
        </w:rPr>
        <w:t xml:space="preserve">墨西哥制订 </w:t>
      </w:r>
      <w:r>
        <w:rPr>
          <w:rFonts w:hint="default"/>
          <w:color w:val="auto"/>
        </w:rPr>
        <w:t>1980~</w:t>
      </w:r>
      <w:r>
        <w:rPr>
          <w:rFonts w:hint="eastAsia"/>
          <w:color w:val="auto"/>
        </w:rPr>
        <w:t>1</w:t>
      </w:r>
      <w:r>
        <w:rPr>
          <w:rFonts w:hint="default"/>
          <w:color w:val="auto"/>
        </w:rPr>
        <w:t>990</w:t>
      </w:r>
      <w:r>
        <w:rPr>
          <w:rFonts w:hint="eastAsia"/>
          <w:color w:val="auto"/>
        </w:rPr>
        <w:t>年庞大计划</w:t>
      </w:r>
      <w:r>
        <w:rPr>
          <w:rFonts w:hint="default"/>
          <w:color w:val="auto"/>
        </w:rPr>
        <w:t>，</w:t>
      </w:r>
      <w:r>
        <w:rPr>
          <w:rFonts w:hint="eastAsia"/>
          <w:color w:val="auto"/>
        </w:rPr>
        <w:t>规定经济增长指标为 8</w:t>
      </w:r>
      <w:r>
        <w:rPr>
          <w:rFonts w:hint="default"/>
          <w:color w:val="auto"/>
        </w:rPr>
        <w:t>~</w:t>
      </w:r>
      <w:r>
        <w:rPr>
          <w:rFonts w:hint="eastAsia"/>
          <w:color w:val="auto"/>
        </w:rPr>
        <w:t>10 % , 仅核电站工程和四个现代化港口投资额就</w:t>
      </w:r>
      <w:r>
        <w:rPr>
          <w:rFonts w:hint="default"/>
          <w:color w:val="auto"/>
        </w:rPr>
        <w:t>高</w:t>
      </w:r>
      <w:r>
        <w:rPr>
          <w:rFonts w:hint="eastAsia"/>
          <w:color w:val="auto"/>
        </w:rPr>
        <w:t>达60亿美元</w:t>
      </w:r>
      <w:r>
        <w:rPr>
          <w:rFonts w:hint="default"/>
          <w:color w:val="auto"/>
        </w:rPr>
        <w:t>，</w:t>
      </w:r>
      <w:r>
        <w:rPr>
          <w:rFonts w:hint="eastAsia"/>
          <w:color w:val="auto"/>
        </w:rPr>
        <w:t>秘鲁中央银行对内投资</w:t>
      </w:r>
      <w:r>
        <w:rPr>
          <w:rFonts w:hint="default"/>
          <w:color w:val="auto"/>
        </w:rPr>
        <w:t>1986</w:t>
      </w:r>
      <w:r>
        <w:rPr>
          <w:rFonts w:hint="eastAsia"/>
          <w:color w:val="auto"/>
        </w:rPr>
        <w:t>年比</w:t>
      </w:r>
      <w:r>
        <w:rPr>
          <w:rFonts w:hint="default"/>
          <w:color w:val="auto"/>
        </w:rPr>
        <w:t>1985</w:t>
      </w:r>
      <w:r>
        <w:rPr>
          <w:rFonts w:hint="eastAsia"/>
          <w:color w:val="auto"/>
        </w:rPr>
        <w:t>年增长</w:t>
      </w:r>
      <w:r>
        <w:rPr>
          <w:rFonts w:hint="default"/>
          <w:color w:val="auto"/>
        </w:rPr>
        <w:t>170</w:t>
      </w:r>
      <w:r>
        <w:rPr>
          <w:rFonts w:hint="eastAsia"/>
          <w:color w:val="auto"/>
        </w:rPr>
        <w:t xml:space="preserve">% </w:t>
      </w:r>
      <w:r>
        <w:rPr>
          <w:rFonts w:hint="default"/>
          <w:color w:val="auto"/>
        </w:rPr>
        <w:t>，1987</w:t>
      </w:r>
      <w:r>
        <w:rPr>
          <w:rFonts w:hint="eastAsia"/>
          <w:color w:val="auto"/>
        </w:rPr>
        <w:t>年又比</w:t>
      </w:r>
      <w:r>
        <w:rPr>
          <w:rFonts w:hint="default"/>
          <w:color w:val="auto"/>
        </w:rPr>
        <w:t>1986</w:t>
      </w:r>
      <w:r>
        <w:rPr>
          <w:rFonts w:hint="eastAsia"/>
          <w:color w:val="auto"/>
        </w:rPr>
        <w:t>年增长</w:t>
      </w:r>
      <w:r>
        <w:rPr>
          <w:rFonts w:hint="default"/>
          <w:color w:val="auto"/>
        </w:rPr>
        <w:t>140</w:t>
      </w:r>
      <w:r>
        <w:rPr>
          <w:rFonts w:hint="eastAsia"/>
          <w:color w:val="auto"/>
        </w:rPr>
        <w:t xml:space="preserve">% </w:t>
      </w:r>
      <w:r>
        <w:rPr>
          <w:rFonts w:hint="default"/>
          <w:color w:val="auto"/>
        </w:rPr>
        <w:t>，</w:t>
      </w:r>
      <w:r>
        <w:rPr>
          <w:rFonts w:hint="eastAsia"/>
          <w:color w:val="auto"/>
        </w:rPr>
        <w:t>这些支出均超出国家经济能力,使政府背上沉重的包袱</w:t>
      </w:r>
      <w:r>
        <w:rPr>
          <w:rFonts w:hint="default"/>
          <w:color w:val="auto"/>
        </w:rPr>
        <w:t>。</w:t>
      </w:r>
      <w:r>
        <w:rPr>
          <w:rStyle w:val="5"/>
          <w:rFonts w:hint="default"/>
          <w:color w:val="auto"/>
        </w:rPr>
        <w:footnoteReference w:id="0"/>
      </w:r>
      <w:r>
        <w:rPr>
          <w:rFonts w:hint="default"/>
          <w:color w:val="auto"/>
        </w:rPr>
        <w:t>因此</w:t>
      </w:r>
      <w:r>
        <w:t>拉美国家</w:t>
      </w:r>
      <w:r>
        <w:t>只能通过借外债来弥补，于是陷入了负债的困境。又因为投资过高，国民收入无法正常吸收，引起了恶性的通货膨胀。</w:t>
      </w:r>
    </w:p>
    <w:p>
      <w:r>
        <w:t>为了维持经济的快速增长，拉美国家不得不增加各种商品的</w:t>
      </w:r>
      <w:r>
        <w:rPr>
          <w:color w:val="auto"/>
        </w:rPr>
        <w:t>进口</w:t>
      </w:r>
      <w:r>
        <w:t>量，进口的增多导致外贸</w:t>
      </w:r>
      <w:r>
        <w:rPr>
          <w:color w:val="000000" w:themeColor="text1"/>
          <w14:textFill>
            <w14:solidFill>
              <w14:schemeClr w14:val="tx1"/>
            </w14:solidFill>
          </w14:textFill>
        </w:rPr>
        <w:t>赤字</w:t>
      </w:r>
      <w:r>
        <w:t>持续扩大。同时，进口产品价格的上升和出口产品价格的下降导致外贸赤字，严重影响了拉美的国际收支平衡。</w:t>
      </w:r>
    </w:p>
    <w:p>
      <w:pPr>
        <w:pStyle w:val="9"/>
        <w:bidi w:val="0"/>
      </w:pPr>
      <w:r>
        <w:t>2.2 汇率调低、本币贬值</w:t>
      </w:r>
    </w:p>
    <w:p>
      <w:r>
        <w:t>为了促进出口并减缓本国资金的外流，拉丁美洲的一些国家不断下调本币对外币的比价，比如阿根廷的货币奥斯特拉尔对美元的比价在1985年是80：100，到1987年就被调低至351：100了。货币的贬值也在这场通货膨胀中发挥了作用。</w:t>
      </w:r>
    </w:p>
    <w:p>
      <w:pPr>
        <w:rPr>
          <w:rFonts w:hint="eastAsia"/>
        </w:rPr>
      </w:pPr>
      <w:r>
        <w:rPr>
          <w:rFonts w:hint="default"/>
        </w:rPr>
        <w:t>汇率的变动也加重了成本的负担。以智利为例，其官方汇率在1973年贬值531%，1974年又贬值近800%，如此惊人的贬值带来了进口商品价格的大幅上涨，在1973年增长580%，在1974年更是达到了惊人的1350%。成本负担的大幅加重也让本就不景气的经济雪上加霜。</w:t>
      </w:r>
    </w:p>
    <w:p>
      <w:pPr>
        <w:pStyle w:val="9"/>
        <w:bidi w:val="0"/>
        <w:rPr>
          <w:color w:val="auto"/>
        </w:rPr>
      </w:pPr>
      <w:r>
        <w:t xml:space="preserve">2.3 </w:t>
      </w:r>
      <w:r>
        <w:rPr>
          <w:color w:val="auto"/>
        </w:rPr>
        <w:t>外债与财政赤字</w:t>
      </w:r>
    </w:p>
    <w:p>
      <w:r>
        <w:t>20世纪70年代，拉美国家始终奉行着凯恩斯的赤字政策和信用膨胀政策，以期加速工业化进程并实现经济增长。但由于高水平的投资和持续增加的公共开支投入导致的财政赤字状态，拉美的通货膨胀率始终居高不下。在80年代初期，拉美有将近二十个国家出现了财政赤字。</w:t>
      </w:r>
      <w:r>
        <w:rPr>
          <w:rFonts w:hint="default"/>
        </w:rPr>
        <w:t>以墨西哥为例，为了加强国家对经济的干预力度，墨西哥公共部门投资大幅度上升。1965~1970年公共部门投资的年平均增长率仅有4%，但在1971~1976年间，公共投资增长率3.8倍。后来，一大批由发展石油战略指导的工程如火如荼地开展起来，公共投资额直线上升，然而，国家的财政收入又难以支付开支，财政赤字大幅上升。1970年，公共卫生部门赤字占墨西哥国内生产总值的1.58%，在1977年增长至10%，又在1983年上升到16%。</w:t>
      </w:r>
      <w:r>
        <w:rPr>
          <w:rFonts w:hint="default"/>
        </w:rPr>
        <w:t>不断上涨的开支使得财政赤字持续扩大。</w:t>
      </w:r>
      <w:r>
        <w:t>为了弥补财政赤字，拉美大量地增印钞票，使货币陷入极度的混乱状态。货币流通量的极速增长造成的物价上涨。同时，拉美国家也举借了大量外债来弥补</w:t>
      </w:r>
      <w:r>
        <w:rPr>
          <w:color w:val="auto"/>
        </w:rPr>
        <w:t>财政赤字</w:t>
      </w:r>
      <w:r>
        <w:t>，沉重的外债使得通货膨胀进一步加剧。</w:t>
      </w:r>
    </w:p>
    <w:p>
      <w:pPr>
        <w:pStyle w:val="9"/>
        <w:bidi w:val="0"/>
      </w:pPr>
      <w:r>
        <w:t>2.4 经济结构失调</w:t>
      </w:r>
    </w:p>
    <w:p>
      <w:r>
        <w:t>拉美国家国民经济在二战后仍然保持</w:t>
      </w:r>
      <w:r>
        <w:rPr>
          <w:color w:val="auto"/>
        </w:rPr>
        <w:t>着单一经济的</w:t>
      </w:r>
      <w:r>
        <w:t>态势，初级产品的生产和出口依旧在国民经济中占有重要的地位。农业、能源等部门发展缓慢加剧了农村的贫困问题，并且加重了粮食问题。粮食的短缺又迫使拉美国家大量进口粮食和食品，引起粮食等商品的价格上涨，进而通过替代效应等引起其他商品价格的上涨。</w:t>
      </w:r>
    </w:p>
    <w:p>
      <w:r>
        <w:t>这种单一经济使得拉美地区经济发展的</w:t>
      </w:r>
      <w:r>
        <w:rPr>
          <w:color w:val="auto"/>
        </w:rPr>
        <w:t>对外依赖性</w:t>
      </w:r>
      <w:r>
        <w:t>很强。于是，无论是石油价格的上涨、西方工业国为反通货膨胀而对拉美国家的进口限制，还是美国采取的一系列的贸易保护措施都在一定程度上损害了拉美经济的良性发展，从而加剧并加速了拉美地区的通货膨胀水平。</w:t>
      </w:r>
    </w:p>
    <w:p>
      <w:r>
        <w:t>同时，经济结构因拉美地区严重的土地问题而难以得到优化，土地问题是拉美社会的沉疴，涉及许多社会和政治因素，不是单单依靠经济手段就能够轻易解决的。难以解决的土地问题加上拉美国家基础设施的落后情况，使得通货膨胀即使暂时暂时解决了，也仍然存在着很大的反复可能。</w:t>
      </w:r>
    </w:p>
    <w:p>
      <w:pPr>
        <w:pStyle w:val="9"/>
        <w:bidi w:val="0"/>
      </w:pPr>
      <w:r>
        <w:t>2.5 国营企业抬高商品价格与市场垄断</w:t>
      </w:r>
    </w:p>
    <w:p>
      <w:r>
        <w:t>为了在减少国营企业的亏损的同时实现财政补贴的下降，拉美国家采取了提高国营企业商品价格和服务费用的方式。然而，油费、电费、能源价格等的提升，直接导致了许多商品的价格上涨，间接造成物价的普遍上涨。而国营企业产品提价的作用又被全面的物价上涨所抵消，于是国营企业进一步提价，加剧通货膨胀，形成并陷入“产品提价——物价上涨——产品提价”的恶性循环。</w:t>
      </w:r>
    </w:p>
    <w:p>
      <w:r>
        <w:t>二战后，拉美国家的资本主义生产关系得到较快的发展，较大程度地实现了资本集中和生产集中。期间产生的垄断的大企业能够操控产品的市场价格，来确保自己获得高额的垄断利润。这种垄断厂商人为制造的价格上涨也在一定程度上促进了通货膨胀的发生。</w:t>
      </w:r>
    </w:p>
    <w:p>
      <w:pPr>
        <w:pStyle w:val="9"/>
        <w:bidi w:val="0"/>
      </w:pPr>
      <w:r>
        <w:t>2.6 需求压力</w:t>
      </w:r>
    </w:p>
    <w:p>
      <w:r>
        <w:t>拉美国家食品和耐用品的消费水平在发展中国家里位居前列，这与拉美民众长期的超前消费习惯密切相关。超前消费虽然可以刺激经济，但过度的超前消费带来了市场供应紧张的问题，造成供需失衡和物价失衡。社会需求亢进和供给短缺的难以调和的矛盾使得物价失控并上涨。</w:t>
      </w:r>
    </w:p>
    <w:p>
      <w:r>
        <w:t>此外，拉美国家高度的城市化和日益明显的社会断层增加了城市消费和社会开支，也加重了需求的压力，加之宏观经济政策调控的失误，大多数拉美国家被巨大的需求压力卷入了这次恶性的通货膨胀。</w:t>
      </w:r>
    </w:p>
    <w:p>
      <w:pPr>
        <w:pStyle w:val="9"/>
        <w:bidi w:val="0"/>
      </w:pPr>
      <w:r>
        <w:t>2.7 通货膨胀预期</w:t>
      </w:r>
    </w:p>
    <w:p>
      <w:r>
        <w:t>持续的通货膨胀导致人们对通货膨胀率的预期也达到并保持在较高的水平。早在20世纪70年代初，智利的厂商和经销商们在制定价格时就将3个月后的预期价格涨幅划入考虑范围。通货膨胀的压力在这种预期之下陡然加大。</w:t>
      </w:r>
    </w:p>
    <w:p>
      <w:pPr>
        <w:rPr>
          <w:rFonts w:hint="default"/>
        </w:rPr>
      </w:pPr>
      <w:r>
        <w:t>在政府反通货膨胀的经济政策收效不显，或者呈现“朝令夕改”的状况之下，消费者的通货膨胀预期也会增加，增长的通货膨胀预期又反作用于</w:t>
      </w:r>
      <w:r>
        <w:t>反通货膨胀的经济政策</w:t>
      </w:r>
      <w:r>
        <w:t>，削减政策效果，使经济又陷入了一种恶性循环。如1985年巴西削减预算赤字，由于</w:t>
      </w:r>
      <w:r>
        <w:rPr>
          <w:rFonts w:hint="eastAsia"/>
        </w:rPr>
        <w:t>通货膨胀预期</w:t>
      </w:r>
      <w:r>
        <w:rPr>
          <w:rFonts w:hint="default"/>
        </w:rPr>
        <w:t>居高不下，这一政策没能够延缓通货膨胀的进一步加剧。</w:t>
      </w:r>
    </w:p>
    <w:p>
      <w:pPr>
        <w:pStyle w:val="9"/>
        <w:bidi w:val="0"/>
        <w:rPr>
          <w:rFonts w:hint="default"/>
        </w:rPr>
      </w:pPr>
      <w:r>
        <w:rPr>
          <w:rFonts w:hint="default"/>
        </w:rPr>
        <w:t>2.8 国外通货膨胀的传导因素</w:t>
      </w:r>
    </w:p>
    <w:p>
      <w:pPr>
        <w:rPr>
          <w:rFonts w:hint="default"/>
        </w:rPr>
      </w:pPr>
      <w:r>
        <w:rPr>
          <w:rFonts w:hint="default"/>
        </w:rPr>
        <w:t>在经济全球化的趋势之下，各国的经济波动都会通过进出口贸易、资本流动和人员往来传导给与之有或直接或间接的经济来往的国家。在这一传导过程中，处于不利地位的通常是经济实力较弱和在经济交往中处于被动地位的国家。以美国和墨西哥为例，贸易往来密切的两国的价格变化有明显的相互影响。但是，多数时候美国的通货膨胀率是低于墨西哥的，通货膨胀大多数时候是从美国单项传导到墨西哥的。这其中既有墨西哥经济实力不足以抵御国外通货膨胀传导因素的原因，也有墨西哥在美国的对外贸易中占比远低于美国在墨西哥对外贸易中占比的作用。</w:t>
      </w:r>
    </w:p>
    <w:p>
      <w:pPr>
        <w:rPr>
          <w:rFonts w:hint="default"/>
        </w:rPr>
      </w:pPr>
      <w:r>
        <w:rPr>
          <w:rFonts w:hint="default"/>
        </w:rPr>
        <w:t>由于拉美国家在对外贸易中常处于较为被动的地位，且经济实力相对较弱，所以更容易受到贸易国通货膨胀传导因素的影响。因此，在长期的单向被影响的作用下，拉美国家陷入恶性通货膨胀也就不足为奇了。</w:t>
      </w:r>
    </w:p>
    <w:p>
      <w:pPr>
        <w:pStyle w:val="9"/>
        <w:bidi w:val="0"/>
        <w:rPr>
          <w:rFonts w:hint="default"/>
        </w:rPr>
      </w:pPr>
      <w:r>
        <w:rPr>
          <w:rFonts w:hint="default"/>
        </w:rPr>
        <w:t>2.9 货币发行量</w:t>
      </w:r>
    </w:p>
    <w:p>
      <w:pPr>
        <w:rPr>
          <w:rFonts w:hint="default"/>
        </w:rPr>
      </w:pPr>
      <w:r>
        <w:rPr>
          <w:rFonts w:hint="default"/>
        </w:rPr>
        <w:t>拉美国家的通货膨胀与货币发行量之间存在着明显的正相关关系，</w:t>
      </w:r>
      <w:r>
        <w:rPr>
          <w:rFonts w:hint="default"/>
          <w:color w:val="auto"/>
        </w:rPr>
        <w:t>如表2所示</w:t>
      </w:r>
      <w:r>
        <w:rPr>
          <w:rFonts w:hint="default"/>
        </w:rPr>
        <w:t>。</w:t>
      </w:r>
    </w:p>
    <w:p>
      <w:pPr>
        <w:pStyle w:val="8"/>
        <w:bidi w:val="0"/>
        <w:rPr>
          <w:rFonts w:hint="default"/>
          <w:sz w:val="21"/>
          <w:szCs w:val="21"/>
        </w:rPr>
      </w:pPr>
      <w:r>
        <w:rPr>
          <w:rFonts w:hint="default"/>
          <w:sz w:val="21"/>
          <w:szCs w:val="21"/>
        </w:rPr>
        <w:t>表2  1955~1985年拉美国家的通货膨胀率和货币增长率 (%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通货膨胀率</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货币增长率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玻利维亚</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528.1</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360.2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阿根廷</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137.3</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120.9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智利</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82.1</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巴西</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62.1</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乌拉圭</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53.4</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秘鲁</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36.4</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墨西哥</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19.7</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哥伦比亚</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17.1</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哥斯达黎加</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12.4</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厄瓜多尔</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12.1</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巴拉圭</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9.8</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多米尼亚</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7.9</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帕尔瓦多</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7.3</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海地</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6.8</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委内瑞拉</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5.9</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危地马拉</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5.5</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洪都拉斯</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asciiTheme="minorAscii" w:hAnsiTheme="minorAscii" w:eastAsiaTheme="minorEastAsia" w:cstheme="minorBidi"/>
                <w:kern w:val="2"/>
                <w:sz w:val="21"/>
                <w:szCs w:val="24"/>
                <w:vertAlign w:val="baseline"/>
                <w:lang w:eastAsia="zh-CN" w:bidi="ar-SA"/>
              </w:rPr>
            </w:pPr>
            <w:r>
              <w:rPr>
                <w:rFonts w:hint="default"/>
                <w:vertAlign w:val="baseline"/>
              </w:rPr>
              <w:t>5.3</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巴拿马</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3.9</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vertAlign w:val="baseline"/>
              </w:rPr>
            </w:pPr>
            <w:r>
              <w:rPr>
                <w:rFonts w:hint="default"/>
                <w:vertAlign w:val="baseline"/>
              </w:rPr>
              <w:t>9.1</w:t>
            </w:r>
          </w:p>
        </w:tc>
      </w:tr>
    </w:tbl>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asciiTheme="minorAscii" w:hAnsiTheme="minorAscii" w:eastAsiaTheme="minorEastAsia" w:cstheme="minorBidi"/>
          <w:kern w:val="2"/>
          <w:sz w:val="18"/>
          <w:szCs w:val="24"/>
          <w:lang w:eastAsia="zh-CN" w:bidi="ar-SA"/>
        </w:rPr>
      </w:pPr>
      <w:r>
        <w:rPr>
          <w:rFonts w:hint="default" w:asciiTheme="minorAscii" w:hAnsiTheme="minorAscii" w:eastAsiaTheme="minorEastAsia" w:cstheme="minorBidi"/>
          <w:kern w:val="2"/>
          <w:sz w:val="18"/>
          <w:szCs w:val="24"/>
          <w:lang w:eastAsia="zh-CN" w:bidi="ar-SA"/>
        </w:rPr>
        <w:t>资料来源: 国际货币基金组织《国际金融统计》,转</w:t>
      </w:r>
      <w:r>
        <w:rPr>
          <w:rFonts w:hint="default" w:cstheme="minorBidi"/>
          <w:kern w:val="2"/>
          <w:sz w:val="18"/>
          <w:szCs w:val="24"/>
          <w:lang w:eastAsia="zh-CN" w:bidi="ar-SA"/>
        </w:rPr>
        <w:t>引</w:t>
      </w:r>
      <w:r>
        <w:rPr>
          <w:rFonts w:hint="default" w:asciiTheme="minorAscii" w:hAnsiTheme="minorAscii" w:eastAsiaTheme="minorEastAsia" w:cstheme="minorBidi"/>
          <w:kern w:val="2"/>
          <w:sz w:val="18"/>
          <w:szCs w:val="24"/>
          <w:lang w:eastAsia="zh-CN" w:bidi="ar-SA"/>
        </w:rPr>
        <w:t>自E . 卡多索: 《拉丁美洲经济: 多样性</w:t>
      </w:r>
      <w:r>
        <w:rPr>
          <w:rFonts w:hint="default" w:cstheme="minorBidi"/>
          <w:kern w:val="2"/>
          <w:sz w:val="18"/>
          <w:szCs w:val="24"/>
          <w:lang w:eastAsia="zh-CN" w:bidi="ar-SA"/>
        </w:rPr>
        <w:t>、</w:t>
      </w:r>
      <w:r>
        <w:rPr>
          <w:rFonts w:hint="default" w:asciiTheme="minorAscii" w:hAnsiTheme="minorAscii" w:eastAsiaTheme="minorEastAsia" w:cstheme="minorBidi"/>
          <w:kern w:val="2"/>
          <w:sz w:val="18"/>
          <w:szCs w:val="24"/>
          <w:lang w:eastAsia="zh-CN" w:bidi="ar-SA"/>
        </w:rPr>
        <w:t>趋势和冲突》 , 美国麻省理工学院出版社199</w:t>
      </w:r>
      <w:r>
        <w:rPr>
          <w:rFonts w:hint="default" w:cstheme="minorBidi"/>
          <w:kern w:val="2"/>
          <w:sz w:val="18"/>
          <w:szCs w:val="24"/>
          <w:lang w:eastAsia="zh-CN" w:bidi="ar-SA"/>
        </w:rPr>
        <w:t>2</w:t>
      </w:r>
      <w:r>
        <w:rPr>
          <w:rFonts w:hint="default" w:asciiTheme="minorAscii" w:hAnsiTheme="minorAscii" w:eastAsiaTheme="minorEastAsia" w:cstheme="minorBidi"/>
          <w:kern w:val="2"/>
          <w:sz w:val="18"/>
          <w:szCs w:val="24"/>
          <w:lang w:eastAsia="zh-CN" w:bidi="ar-SA"/>
        </w:rPr>
        <w:t>年版, 第14页。</w:t>
      </w:r>
    </w:p>
    <w:p>
      <w:pPr>
        <w:rPr>
          <w:rFonts w:hint="default"/>
        </w:rPr>
      </w:pPr>
      <w:r>
        <w:rPr>
          <w:rFonts w:hint="default"/>
        </w:rPr>
        <w:t>利用发行货币的方式来提升财政收入的典型有20世纪80年代的尼加瓜拉。内战使生产活动陷入半停滞状态，人民生活水平也急剧下降，于是难以获得税收有饱受反政府武装力量困扰的尼加瓜拉政府选择了印刷纸币来获得财政收入的办法。但是年通胀率从1978年 的 4%上升到1986年 的747% , 1988年达到33603%</w:t>
      </w:r>
      <w:r>
        <w:rPr>
          <w:rStyle w:val="5"/>
          <w:rFonts w:hint="default"/>
        </w:rPr>
        <w:footnoteReference w:id="1"/>
      </w:r>
      <w:r>
        <w:rPr>
          <w:rFonts w:hint="default"/>
        </w:rPr>
        <w:t>。</w:t>
      </w:r>
    </w:p>
    <w:p>
      <w:pPr>
        <w:pStyle w:val="8"/>
        <w:numPr>
          <w:ilvl w:val="0"/>
          <w:numId w:val="0"/>
        </w:numPr>
        <w:bidi w:val="0"/>
        <w:jc w:val="center"/>
        <w:rPr>
          <w:szCs w:val="22"/>
        </w:rPr>
      </w:pPr>
      <w:r>
        <w:rPr>
          <w:szCs w:val="22"/>
        </w:rPr>
        <w:t>3. 后果</w:t>
      </w:r>
    </w:p>
    <w:p>
      <w:pPr>
        <w:pStyle w:val="9"/>
        <w:bidi w:val="0"/>
        <w:rPr>
          <w:color w:val="auto"/>
        </w:rPr>
      </w:pPr>
      <w:r>
        <w:t>3.1</w:t>
      </w:r>
      <w:r>
        <w:rPr>
          <w:color w:val="FF0000"/>
        </w:rPr>
        <w:t xml:space="preserve"> </w:t>
      </w:r>
      <w:r>
        <w:rPr>
          <w:color w:val="auto"/>
        </w:rPr>
        <w:t>经济增长率下降</w:t>
      </w:r>
    </w:p>
    <w:p>
      <w:r>
        <w:rPr>
          <w:color w:val="auto"/>
        </w:rPr>
        <w:t>恶性的通货膨胀导致本处于经济高速发展的拉美地区的经济增长率大幅下滑。以数据说明，在1980—1987年的8年中，拉美地区国内生产总值增长10.7%，平均每年只增长1个百分点。1988年拉美地区国内生产总值仅增长0.7%，人均产值下降了1.5%</w:t>
      </w:r>
      <w:r>
        <w:rPr>
          <w:rStyle w:val="5"/>
          <w:color w:val="auto"/>
        </w:rPr>
        <w:footnoteReference w:id="2"/>
      </w:r>
      <w:r>
        <w:rPr>
          <w:color w:val="auto"/>
        </w:rPr>
        <w:t>。</w:t>
      </w:r>
    </w:p>
    <w:p>
      <w:pPr>
        <w:pStyle w:val="9"/>
        <w:bidi w:val="0"/>
      </w:pPr>
      <w:r>
        <w:t xml:space="preserve">3.2  </w:t>
      </w:r>
      <w:r>
        <w:rPr>
          <w:color w:val="auto"/>
        </w:rPr>
        <w:t>资金外流</w:t>
      </w:r>
    </w:p>
    <w:p>
      <w:r>
        <w:t>恶性的通货膨胀使得拉美国家物价呈上涨态，在部分国家冻结工资等宏观调节政策之下，职工的</w:t>
      </w:r>
      <w:r>
        <w:rPr>
          <w:color w:val="auto"/>
        </w:rPr>
        <w:t>实际收入减少和，同时国民的购买力呈现</w:t>
      </w:r>
      <w:r>
        <w:t>下降态势。</w:t>
      </w:r>
      <w:r>
        <w:t>又</w:t>
      </w:r>
      <w:r>
        <w:t>由于拉美国家的货币普遍在这场恶性通货膨胀中不断贬值</w:t>
      </w:r>
      <w:r>
        <w:t>，人们对存储本国货币的意愿下降，且更希望将本国货币兑换为美元。于是抢购美元的风气渐起，而外汇黑市也开始猖獗。例如，墨西哥的墨美边境就成了外汇黑市交易所。汇率的不稳定和资金的大量外流大大影响了拉美国家的经济恢复状况。</w:t>
      </w:r>
      <w:bookmarkStart w:id="0" w:name="_GoBack"/>
      <w:bookmarkEnd w:id="0"/>
    </w:p>
    <w:p>
      <w:pPr>
        <w:pStyle w:val="9"/>
        <w:bidi w:val="0"/>
      </w:pPr>
      <w:r>
        <w:t xml:space="preserve">3.3 </w:t>
      </w:r>
      <w:r>
        <w:rPr>
          <w:color w:val="auto"/>
        </w:rPr>
        <w:t>投机活动猖獗</w:t>
      </w:r>
    </w:p>
    <w:p>
      <w:r>
        <w:t>物价的波动给了中间商囤货居奇的机会。低价买进、高价卖出让中间商赚得了大量的资金，生产者和消费者的利益不可避免地受到了损害。这使得拉美的贫富差距进一步扩大，挫伤了生产者的生产积极性，也影响了社会的长治久安。</w:t>
      </w:r>
    </w:p>
    <w:p>
      <w:pPr>
        <w:pStyle w:val="9"/>
        <w:bidi w:val="0"/>
      </w:pPr>
      <w:r>
        <w:t>3.4 尖锐的社会矛盾</w:t>
      </w:r>
    </w:p>
    <w:p>
      <w:r>
        <w:t>物价飞涨、经济增长放缓、失业率上升，这引发了工人的不满情绪，于是罢工等抗议活动在拉丁美洲上此起彼伏。1987年墨西哥发生120余起较大规模的罢工，1988年秘鲁发动48小时大罢工，1989年委内瑞拉发生大规模流血事件。社会矛盾之尖锐可见一斑。</w:t>
      </w:r>
    </w:p>
    <w:p>
      <w:pPr>
        <w:pStyle w:val="9"/>
        <w:bidi w:val="0"/>
      </w:pPr>
      <w:r>
        <w:t>3.5 恶性循环</w:t>
      </w:r>
    </w:p>
    <w:p>
      <w:r>
        <w:t>结合第2部分的原因分析，这场恶性通货膨胀至少与两种恶性循环密切相关。第一种是“</w:t>
      </w:r>
      <w:r>
        <w:t>产品提价——物价上涨——产品提价</w:t>
      </w:r>
      <w:r>
        <w:t>”的恶性循环，第二种是“政策效果差——通货膨胀预期增加——政策效果差”的恶性循环。</w:t>
      </w:r>
    </w:p>
    <w:p/>
    <w:p>
      <w:pPr>
        <w:pStyle w:val="8"/>
        <w:numPr>
          <w:ilvl w:val="0"/>
          <w:numId w:val="0"/>
        </w:numPr>
        <w:bidi w:val="0"/>
        <w:jc w:val="center"/>
      </w:pPr>
      <w:r>
        <w:rPr>
          <w:szCs w:val="22"/>
        </w:rPr>
        <w:t>4. 启示</w:t>
      </w:r>
    </w:p>
    <w:p>
      <w:pPr>
        <w:pStyle w:val="9"/>
        <w:bidi w:val="0"/>
        <w:rPr>
          <w:color w:val="auto"/>
        </w:rPr>
      </w:pPr>
      <w:r>
        <w:rPr>
          <w:color w:val="auto"/>
        </w:rPr>
        <w:t>4.1 关注物价变动</w:t>
      </w:r>
    </w:p>
    <w:p>
      <w:pPr>
        <w:rPr>
          <w:color w:val="auto"/>
        </w:rPr>
      </w:pPr>
      <w:r>
        <w:rPr>
          <w:color w:val="auto"/>
        </w:rPr>
        <w:t>通货膨胀常常伴随着物价的飞涨，关注物价变动，可以及时发现宏观经济政策的问题和宏观经济的状况，以便及时采取适宜的政策来调整，以期避免潜在的危机。通过控制经济增长速度、防止资金外流、减少财政赤字等手段来调节宏观经济的平稳运行，避免承担恶性通货膨胀带来的尖锐社会矛盾等问题。</w:t>
      </w:r>
    </w:p>
    <w:p>
      <w:pPr>
        <w:pStyle w:val="9"/>
        <w:bidi w:val="0"/>
        <w:rPr>
          <w:color w:val="auto"/>
        </w:rPr>
      </w:pPr>
      <w:r>
        <w:rPr>
          <w:color w:val="auto"/>
        </w:rPr>
        <w:t>4.2 践行大众认可的反通货膨胀计划</w:t>
      </w:r>
    </w:p>
    <w:p>
      <w:pPr>
        <w:rPr>
          <w:color w:val="auto"/>
        </w:rPr>
      </w:pPr>
      <w:r>
        <w:rPr>
          <w:color w:val="auto"/>
        </w:rPr>
        <w:t>假如通货膨胀已经发生，那么国家需要采取</w:t>
      </w:r>
      <w:r>
        <w:rPr>
          <w:rFonts w:hint="eastAsia"/>
          <w:color w:val="auto"/>
        </w:rPr>
        <w:t>反通货膨胀计划</w:t>
      </w:r>
      <w:r>
        <w:rPr>
          <w:rFonts w:hint="default"/>
          <w:color w:val="auto"/>
        </w:rPr>
        <w:t>，并且这个计划需要得到社会各界的广泛支持。从拉美国家治理这次恶性通货膨胀的经验来看，具有广泛代表性的宏观经济政策效果较佳，而没有得到社会各界支持的反通货膨胀计划则没有得到实施。前者有合理协调多方利益、团结大多数的墨西哥社会契约，后者有缺乏支持的“克鲁扎多极化”和“布雷塞尔计划”等。可见实施反通货膨胀的计划不能离开社会大众的支持。</w:t>
      </w:r>
    </w:p>
    <w:p>
      <w:pPr>
        <w:pStyle w:val="9"/>
        <w:bidi w:val="0"/>
        <w:rPr>
          <w:color w:val="auto"/>
        </w:rPr>
      </w:pPr>
      <w:r>
        <w:rPr>
          <w:color w:val="auto"/>
        </w:rPr>
        <w:t>4.3 实施配套的货币、财政双紧缩政策</w:t>
      </w:r>
    </w:p>
    <w:p>
      <w:pPr>
        <w:rPr>
          <w:color w:val="auto"/>
        </w:rPr>
      </w:pPr>
      <w:r>
        <w:rPr>
          <w:color w:val="auto"/>
        </w:rPr>
        <w:t>阿根廷和巴西等过曾依赖发行货币、冻结物价和工资的方法来遏制通货膨胀，但这种手段收效甚微，往往只能实现一时的物价下降，物价回升速度很快。同时，人为地干预物价即影响了生产积极性也不免削弱了市场自发调节的作用，这样供求矛盾被进一步激化，而物价也会变得扭曲。反观重视综合治理的玻利维亚推行的新经济政策，采取了财政、货币双紧缩的措施，较好地控制了通货膨胀率。由此观之，综合使用货币和财政政策是一种更好的选择。</w:t>
      </w:r>
    </w:p>
    <w:p>
      <w:pPr>
        <w:pStyle w:val="9"/>
        <w:bidi w:val="0"/>
        <w:rPr>
          <w:color w:val="auto"/>
        </w:rPr>
      </w:pPr>
      <w:r>
        <w:rPr>
          <w:color w:val="auto"/>
        </w:rPr>
        <w:t>4.4 提高生产力</w:t>
      </w:r>
    </w:p>
    <w:p>
      <w:pPr>
        <w:rPr>
          <w:color w:val="auto"/>
        </w:rPr>
      </w:pPr>
      <w:r>
        <w:rPr>
          <w:color w:val="auto"/>
        </w:rPr>
        <w:t>经济失调的根本原因还在于生产力的发展上。大力发展生产、提高生产效率是拉丁美洲遏制通货膨胀中被实践验证的有效经验。凡是注重生产力发展的国家，其反通货膨胀计划的实施效果就更好，社会更安定，人民的生活也更美好。从生产力的根源着手，是治理通货膨胀的拉美经验。</w:t>
      </w:r>
    </w:p>
    <w:p>
      <w:pPr>
        <w:pStyle w:val="9"/>
        <w:bidi w:val="0"/>
      </w:pPr>
      <w:r>
        <w:rPr>
          <w:color w:val="auto"/>
        </w:rPr>
        <w:t>4.5 维持社会稳定</w:t>
      </w:r>
    </w:p>
    <w:p>
      <w:r>
        <w:t>社会的和谐稳定与通货膨胀的发生息息相关。通货膨胀通过影响实际工资、减缓经济增长等方式影响社会中每一个个体的利益。但通货膨胀发生时，利益受损的社会个体会产生不满情绪，从而减少对政府的信任并消极怠工，甚至直接罢工游行。意识到这一点的西班牙政府从改善人们生活条件入手，制定了提高工资、控制生活必需品价格等一系列从人民利益出发的政策，维持了社会的安定，而安定的社会又会对治理通货膨胀产生积极的作用。所以说，为了遏制通货膨胀、保证宏观经济平稳运行，政府需要维持社会的稳定与和谐。</w:t>
      </w:r>
    </w:p>
    <w:p>
      <w:pPr>
        <w:pStyle w:val="9"/>
        <w:bidi w:val="0"/>
      </w:pPr>
      <w:r>
        <w:t>4.6 打破恶性循环</w:t>
      </w:r>
    </w:p>
    <w:p>
      <w:r>
        <w:t>前文的论述中提到恶性通货膨胀中提到的两种恶性循环。基于这样的理解之上，在为通货膨胀制定宏观经济政策时，政府和经济学家们可以着眼于打破循环的连接，以期达到走出这种恶性循环的目的。比如可以在</w:t>
      </w:r>
      <w:r>
        <w:t>“产品提价——物价上涨——产品提价”</w:t>
      </w:r>
      <w:r>
        <w:t>的循环中通过宏观调控遏制产品价格的异常上涨，又比如</w:t>
      </w:r>
      <w:r>
        <w:t>“政策效果差——通货膨胀预期增加——政策效果差”</w:t>
      </w:r>
      <w:r>
        <w:t>的循环中通过社会宣传等手段提升人们对政府管控的信心，从而降低人们对未来通货膨胀率的预期，以此来打破并走出恶性循环的魔咒。</w:t>
      </w:r>
    </w:p>
    <w:p>
      <w:pPr>
        <w:pStyle w:val="8"/>
        <w:numPr>
          <w:ilvl w:val="0"/>
          <w:numId w:val="0"/>
        </w:numPr>
        <w:bidi w:val="0"/>
        <w:jc w:val="center"/>
        <w:rPr>
          <w:rFonts w:hint="eastAsia"/>
        </w:rPr>
      </w:pPr>
      <w:r>
        <w:rPr>
          <w:szCs w:val="22"/>
        </w:rPr>
        <w:t>参考文献</w:t>
      </w:r>
    </w:p>
    <w:p>
      <w:pPr>
        <w:rPr>
          <w:rFonts w:hint="eastAsia"/>
        </w:rPr>
      </w:pPr>
      <w:r>
        <w:rPr>
          <w:rFonts w:hint="eastAsia"/>
        </w:rPr>
        <w:t>[1]方幼封.拉美国家高通货膨胀剖析[J].世界经济文汇,1990,(1): 43-48</w:t>
      </w:r>
    </w:p>
    <w:p>
      <w:pPr>
        <w:rPr>
          <w:rFonts w:hint="eastAsia"/>
        </w:rPr>
      </w:pPr>
      <w:r>
        <w:rPr>
          <w:rFonts w:hint="eastAsia"/>
        </w:rPr>
        <w:t>[2]江时学.论拉美国家通货膨胀问题的根源[J].拉丁美洲研究,1995,第17卷(3): 1-7+63</w:t>
      </w:r>
    </w:p>
    <w:p>
      <w:pPr>
        <w:rPr>
          <w:rFonts w:hint="eastAsia"/>
        </w:rPr>
      </w:pPr>
      <w:r>
        <w:rPr>
          <w:rFonts w:hint="eastAsia"/>
        </w:rPr>
        <w:t>[3]普·托列斯·瓦尔加斯，胡孝文，刘德光.当代拉丁美洲国家的通货膨胀[J].国际经济评论,1987,(3): 46-50</w:t>
      </w:r>
    </w:p>
    <w:p>
      <w:pPr>
        <w:rPr>
          <w:rFonts w:hint="eastAsia"/>
        </w:rPr>
      </w:pPr>
      <w:r>
        <w:rPr>
          <w:rFonts w:hint="eastAsia"/>
        </w:rPr>
        <w:t>[4]阎玉贞.拉丁美洲国家的通货膨胀问题[J].现代国际关系,1987,(4): 37-41,64-65</w:t>
      </w:r>
    </w:p>
    <w:p>
      <w:pPr>
        <w:rPr>
          <w:rFonts w:hint="eastAsia"/>
        </w:rPr>
      </w:pPr>
      <w:r>
        <w:rPr>
          <w:rFonts w:hint="eastAsia"/>
        </w:rPr>
        <w:t>[5]张宝宇.拉美国家反通货膨胀的有益经验[J].国际金融研究,1995,(5): 32</w:t>
      </w:r>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B5">
    <w:altName w:val="苹方-简"/>
    <w:panose1 w:val="00000000000000000000"/>
    <w:charset w:val="00"/>
    <w:family w:val="auto"/>
    <w:pitch w:val="default"/>
    <w:sig w:usb0="00000000" w:usb1="00000000" w:usb2="00000000" w:usb3="00000000" w:csb0="00000000" w:csb1="00000000"/>
  </w:font>
  <w:font w:name="B4">
    <w:altName w:val="苹方-简"/>
    <w:panose1 w:val="00000000000000000000"/>
    <w:charset w:val="00"/>
    <w:family w:val="auto"/>
    <w:pitch w:val="default"/>
    <w:sig w:usb0="00000000" w:usb1="00000000" w:usb2="00000000" w:usb3="00000000" w:csb0="00000000" w:csb1="00000000"/>
  </w:font>
  <w:font w:name="B6">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5"/>
        </w:rPr>
        <w:footnoteRef/>
      </w:r>
      <w:r>
        <w:t xml:space="preserve"> </w:t>
      </w:r>
      <w:r>
        <w:rPr>
          <w:rFonts w:hint="eastAsia"/>
        </w:rPr>
        <w:t>美洲开发银行: 《拉美的经济和接会进步</w:t>
      </w:r>
      <w:r>
        <w:rPr>
          <w:rFonts w:hint="default"/>
        </w:rPr>
        <w:t>：1987</w:t>
      </w:r>
      <w:r>
        <w:rPr>
          <w:rFonts w:hint="eastAsia"/>
        </w:rPr>
        <w:t>年报告》。</w:t>
      </w:r>
    </w:p>
  </w:footnote>
  <w:footnote w:id="1">
    <w:p>
      <w:pPr>
        <w:pStyle w:val="3"/>
        <w:snapToGrid w:val="0"/>
      </w:pPr>
      <w:r>
        <w:rPr>
          <w:rStyle w:val="5"/>
        </w:rPr>
        <w:footnoteRef/>
      </w:r>
      <w:r>
        <w:t xml:space="preserve"> </w:t>
      </w:r>
      <w:r>
        <w:rPr>
          <w:rFonts w:hint="eastAsia"/>
        </w:rPr>
        <w:t>E . 卡多索等著</w:t>
      </w:r>
      <w:r>
        <w:rPr>
          <w:rFonts w:hint="default"/>
        </w:rPr>
        <w:t>：《拉丁美洲经济》</w:t>
      </w:r>
      <w:r>
        <w:rPr>
          <w:rFonts w:hint="eastAsia"/>
        </w:rPr>
        <w:t xml:space="preserve"> , 美国麻省理工学院出版社 1992年版</w:t>
      </w:r>
      <w:r>
        <w:rPr>
          <w:rFonts w:hint="default"/>
        </w:rPr>
        <w:t>，</w:t>
      </w:r>
      <w:r>
        <w:rPr>
          <w:rFonts w:hint="eastAsia"/>
        </w:rPr>
        <w:t>第214页</w:t>
      </w:r>
    </w:p>
  </w:footnote>
  <w:footnote w:id="2">
    <w:p>
      <w:pPr>
        <w:pStyle w:val="3"/>
        <w:snapToGrid w:val="0"/>
      </w:pPr>
      <w:r>
        <w:rPr>
          <w:rStyle w:val="5"/>
        </w:rPr>
        <w:footnoteRef/>
      </w:r>
      <w:r>
        <w:t xml:space="preserve"> </w:t>
      </w:r>
      <w:r>
        <w:rPr>
          <w:rFonts w:hint="eastAsia"/>
        </w:rPr>
        <w:t>方幼封.拉美国家高通货膨胀剖析[J].世界经济文汇,1990,(1): 43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3D8C7F"/>
    <w:rsid w:val="3E3ED072"/>
    <w:rsid w:val="4D7F8566"/>
    <w:rsid w:val="6EAC62E6"/>
    <w:rsid w:val="6FEAF4DD"/>
    <w:rsid w:val="77F97918"/>
    <w:rsid w:val="79BF2439"/>
    <w:rsid w:val="7A7B4F07"/>
    <w:rsid w:val="ADB5C2DA"/>
    <w:rsid w:val="DBF54CAF"/>
    <w:rsid w:val="EBF77100"/>
    <w:rsid w:val="F73D8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ind w:firstLine="721" w:firstLineChars="200"/>
      <w:jc w:val="both"/>
    </w:pPr>
    <w:rPr>
      <w:rFonts w:asciiTheme="minorAscii" w:hAnsiTheme="minorAsci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note text"/>
    <w:basedOn w:val="1"/>
    <w:uiPriority w:val="0"/>
    <w:pPr>
      <w:snapToGrid w:val="0"/>
      <w:jc w:val="left"/>
    </w:pPr>
    <w:rPr>
      <w:sz w:val="18"/>
    </w:rPr>
  </w:style>
  <w:style w:type="character" w:styleId="5">
    <w:name w:val="footnote reference"/>
    <w:basedOn w:val="4"/>
    <w:uiPriority w:val="0"/>
    <w:rPr>
      <w:vertAlign w:val="superscript"/>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读史一级"/>
    <w:next w:val="1"/>
    <w:qFormat/>
    <w:uiPriority w:val="0"/>
    <w:pPr>
      <w:spacing w:before="100" w:beforeLines="100" w:after="100" w:afterLines="100"/>
      <w:jc w:val="center"/>
    </w:pPr>
    <w:rPr>
      <w:rFonts w:ascii="Times New Roman" w:hAnsi="Times New Roman" w:eastAsia="黑体-简" w:cstheme="minorBidi"/>
      <w:b/>
      <w:sz w:val="32"/>
    </w:rPr>
  </w:style>
  <w:style w:type="paragraph" w:customStyle="1" w:styleId="9">
    <w:name w:val="读史二级"/>
    <w:next w:val="1"/>
    <w:qFormat/>
    <w:uiPriority w:val="0"/>
    <w:pPr>
      <w:spacing w:before="100" w:beforeLines="100" w:after="100" w:afterLines="100"/>
    </w:pPr>
    <w:rPr>
      <w:rFonts w:ascii="Times New Roman" w:hAnsi="Times New Roman" w:eastAsia="黑体-简" w:cstheme="minorBidi"/>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2020-07-14T13:47:00Z</dcterms:created>
  <dc:creator>lin</dc:creator>
  <cp:lastModifiedBy>lin</cp:lastModifiedBy>
  <dcterms:modified xsi:type="dcterms:W3CDTF">2020-07-15T23:02:04Z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