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ind w:firstLine="420"/>
        <w:rPr>
          <w:szCs w:val="21"/>
        </w:rPr>
      </w:pPr>
      <w:r>
        <w:rPr>
          <w:rFonts w:hint="eastAsia"/>
          <w:szCs w:val="21"/>
        </w:rPr>
        <w:t xml:space="preserve">                     </w:t>
      </w:r>
    </w:p>
    <w:p>
      <w:pPr>
        <w:snapToGrid w:val="0"/>
        <w:spacing w:line="300" w:lineRule="auto"/>
        <w:ind w:firstLine="420"/>
        <w:rPr>
          <w:szCs w:val="21"/>
        </w:rPr>
      </w:pPr>
    </w:p>
    <w:p>
      <w:pPr>
        <w:snapToGrid w:val="0"/>
        <w:spacing w:line="300" w:lineRule="auto"/>
        <w:jc w:val="center"/>
        <w:rPr>
          <w:szCs w:val="21"/>
        </w:rPr>
      </w:pPr>
      <w:r>
        <w:rPr>
          <w:szCs w:val="21"/>
        </w:rPr>
        <w:drawing>
          <wp:inline distT="0" distB="0" distL="0" distR="0">
            <wp:extent cx="3154680" cy="2110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54680" cy="2110740"/>
                    </a:xfrm>
                    <a:prstGeom prst="rect">
                      <a:avLst/>
                    </a:prstGeom>
                    <a:noFill/>
                    <a:ln>
                      <a:noFill/>
                    </a:ln>
                  </pic:spPr>
                </pic:pic>
              </a:graphicData>
            </a:graphic>
          </wp:inline>
        </w:drawing>
      </w:r>
    </w:p>
    <w:p>
      <w:pPr>
        <w:snapToGrid w:val="0"/>
        <w:spacing w:line="300" w:lineRule="auto"/>
        <w:ind w:firstLine="420"/>
        <w:rPr>
          <w:szCs w:val="21"/>
        </w:rPr>
      </w:pPr>
    </w:p>
    <w:p>
      <w:pPr>
        <w:snapToGrid w:val="0"/>
        <w:spacing w:line="300" w:lineRule="auto"/>
        <w:ind w:firstLine="420"/>
        <w:rPr>
          <w:szCs w:val="21"/>
        </w:rPr>
      </w:pPr>
    </w:p>
    <w:p>
      <w:pPr>
        <w:snapToGrid w:val="0"/>
        <w:spacing w:line="300" w:lineRule="auto"/>
        <w:jc w:val="center"/>
        <w:rPr>
          <w:rFonts w:ascii="黑体" w:hAnsi="黑体" w:eastAsia="黑体"/>
          <w:b/>
          <w:sz w:val="56"/>
          <w:szCs w:val="56"/>
        </w:rPr>
      </w:pPr>
      <w:r>
        <w:rPr>
          <w:rFonts w:hint="eastAsia" w:ascii="黑体" w:hAnsi="黑体" w:eastAsia="黑体"/>
          <w:b/>
          <w:sz w:val="56"/>
          <w:szCs w:val="56"/>
        </w:rPr>
        <w:t>研究生课程论文</w:t>
      </w:r>
    </w:p>
    <w:p>
      <w:pPr>
        <w:snapToGrid w:val="0"/>
        <w:spacing w:line="300" w:lineRule="auto"/>
        <w:jc w:val="center"/>
        <w:rPr>
          <w:rFonts w:ascii="宋体" w:hAnsi="宋体"/>
          <w:b/>
          <w:sz w:val="56"/>
          <w:szCs w:val="56"/>
        </w:rPr>
      </w:pPr>
    </w:p>
    <w:p>
      <w:pPr>
        <w:jc w:val="center"/>
        <w:rPr>
          <w:rFonts w:ascii="仿宋" w:hAnsi="仿宋" w:eastAsia="仿宋" w:cs="仿宋"/>
          <w:sz w:val="32"/>
          <w:szCs w:val="32"/>
        </w:rPr>
      </w:pPr>
      <w:r>
        <w:rPr>
          <w:rFonts w:hint="eastAsia" w:ascii="宋体" w:hAnsi="宋体"/>
          <w:b/>
          <w:sz w:val="32"/>
          <w:szCs w:val="32"/>
        </w:rPr>
        <w:t>论文题目：</w:t>
      </w:r>
      <w:r>
        <w:rPr>
          <w:rFonts w:hint="eastAsia" w:ascii="宋体" w:hAnsi="宋体"/>
          <w:b/>
          <w:sz w:val="32"/>
          <w:szCs w:val="32"/>
          <w:u w:val="single"/>
        </w:rPr>
        <w:t>共同富裕目标下的国有企业薪酬制度改革问题</w:t>
      </w:r>
    </w:p>
    <w:p>
      <w:pPr>
        <w:snapToGrid w:val="0"/>
        <w:spacing w:line="300" w:lineRule="auto"/>
        <w:ind w:firstLine="1601" w:firstLineChars="500"/>
        <w:rPr>
          <w:rFonts w:ascii="宋体" w:hAnsi="宋体"/>
          <w:b/>
          <w:sz w:val="32"/>
          <w:szCs w:val="32"/>
        </w:rPr>
      </w:pPr>
    </w:p>
    <w:p>
      <w:pPr>
        <w:snapToGrid w:val="0"/>
        <w:spacing w:line="300" w:lineRule="auto"/>
        <w:ind w:firstLine="1601" w:firstLineChars="500"/>
        <w:rPr>
          <w:rFonts w:ascii="宋体" w:hAnsi="宋体"/>
          <w:b/>
          <w:sz w:val="32"/>
          <w:szCs w:val="32"/>
        </w:rPr>
      </w:pPr>
    </w:p>
    <w:p>
      <w:pPr>
        <w:snapToGrid w:val="0"/>
        <w:spacing w:line="300" w:lineRule="auto"/>
        <w:ind w:firstLine="1601" w:firstLineChars="500"/>
        <w:rPr>
          <w:rFonts w:ascii="宋体" w:hAnsi="宋体"/>
          <w:b/>
          <w:sz w:val="32"/>
          <w:szCs w:val="32"/>
          <w:u w:val="single"/>
        </w:rPr>
      </w:pPr>
      <w:r>
        <w:rPr>
          <w:rFonts w:hint="eastAsia" w:ascii="宋体" w:hAnsi="宋体"/>
          <w:b/>
          <w:sz w:val="32"/>
          <w:szCs w:val="32"/>
        </w:rPr>
        <w:t>学    院：</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经济学院</w:t>
      </w:r>
      <w:r>
        <w:rPr>
          <w:rFonts w:ascii="宋体" w:hAnsi="宋体"/>
          <w:b/>
          <w:sz w:val="32"/>
          <w:szCs w:val="32"/>
          <w:u w:val="single"/>
        </w:rPr>
        <w:t xml:space="preserve"> </w:t>
      </w:r>
      <w:r>
        <w:rPr>
          <w:rFonts w:hint="eastAsia" w:ascii="宋体" w:hAnsi="宋体"/>
          <w:b/>
          <w:sz w:val="32"/>
          <w:szCs w:val="32"/>
          <w:u w:val="single"/>
        </w:rPr>
        <w:t xml:space="preserve">        </w:t>
      </w:r>
    </w:p>
    <w:p>
      <w:pPr>
        <w:snapToGrid w:val="0"/>
        <w:spacing w:line="300" w:lineRule="auto"/>
        <w:ind w:firstLine="1601" w:firstLineChars="500"/>
        <w:rPr>
          <w:rFonts w:ascii="宋体" w:hAnsi="宋体"/>
          <w:b/>
          <w:sz w:val="32"/>
          <w:szCs w:val="32"/>
          <w:u w:val="single"/>
        </w:rPr>
      </w:pPr>
      <w:r>
        <w:rPr>
          <w:rFonts w:hint="eastAsia" w:ascii="宋体" w:hAnsi="宋体"/>
          <w:b/>
          <w:sz w:val="32"/>
          <w:szCs w:val="32"/>
        </w:rPr>
        <w:t>专    业：</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政治经济学  </w:t>
      </w:r>
      <w:r>
        <w:rPr>
          <w:rFonts w:ascii="宋体" w:hAnsi="宋体"/>
          <w:b/>
          <w:sz w:val="32"/>
          <w:szCs w:val="32"/>
          <w:u w:val="single"/>
        </w:rPr>
        <w:t xml:space="preserve"> </w:t>
      </w:r>
      <w:r>
        <w:rPr>
          <w:rFonts w:hint="eastAsia" w:ascii="宋体" w:hAnsi="宋体"/>
          <w:b/>
          <w:sz w:val="32"/>
          <w:szCs w:val="32"/>
          <w:u w:val="single"/>
        </w:rPr>
        <w:t xml:space="preserve">     </w:t>
      </w:r>
    </w:p>
    <w:p>
      <w:pPr>
        <w:snapToGrid w:val="0"/>
        <w:spacing w:line="300" w:lineRule="auto"/>
        <w:ind w:firstLine="1601" w:firstLineChars="500"/>
        <w:rPr>
          <w:rFonts w:ascii="宋体" w:hAnsi="宋体"/>
          <w:b/>
          <w:sz w:val="32"/>
          <w:szCs w:val="32"/>
          <w:u w:val="single"/>
        </w:rPr>
      </w:pPr>
      <w:r>
        <w:rPr>
          <w:rFonts w:hint="eastAsia" w:ascii="宋体" w:hAnsi="宋体"/>
          <w:b/>
          <w:sz w:val="32"/>
          <w:szCs w:val="32"/>
        </w:rPr>
        <w:t>年    级：</w:t>
      </w:r>
      <w:r>
        <w:rPr>
          <w:rFonts w:ascii="宋体" w:hAnsi="宋体"/>
          <w:b/>
          <w:sz w:val="32"/>
          <w:szCs w:val="32"/>
          <w:u w:val="single"/>
        </w:rPr>
        <w:t xml:space="preserve">    </w:t>
      </w:r>
      <w:r>
        <w:rPr>
          <w:rFonts w:hint="eastAsia" w:ascii="宋体" w:hAnsi="宋体"/>
          <w:b/>
          <w:sz w:val="32"/>
          <w:szCs w:val="32"/>
          <w:u w:val="single"/>
        </w:rPr>
        <w:t xml:space="preserve">    硕士</w:t>
      </w:r>
      <w:r>
        <w:rPr>
          <w:rFonts w:hint="eastAsia" w:ascii="宋体" w:hAnsi="宋体"/>
          <w:b/>
          <w:sz w:val="32"/>
          <w:szCs w:val="32"/>
          <w:u w:val="single"/>
          <w:lang w:val="en-US" w:eastAsia="zh-CN"/>
        </w:rPr>
        <w:t>二</w:t>
      </w:r>
      <w:r>
        <w:rPr>
          <w:rFonts w:hint="eastAsia" w:ascii="宋体" w:hAnsi="宋体"/>
          <w:b/>
          <w:sz w:val="32"/>
          <w:szCs w:val="32"/>
          <w:u w:val="single"/>
        </w:rPr>
        <w:t xml:space="preserve">年级       </w:t>
      </w:r>
      <w:r>
        <w:rPr>
          <w:rFonts w:ascii="宋体" w:hAnsi="宋体"/>
          <w:b/>
          <w:sz w:val="32"/>
          <w:szCs w:val="32"/>
          <w:u w:val="single"/>
        </w:rPr>
        <w:t xml:space="preserve"> </w:t>
      </w:r>
    </w:p>
    <w:p>
      <w:pPr>
        <w:snapToGrid w:val="0"/>
        <w:spacing w:line="300" w:lineRule="auto"/>
        <w:ind w:firstLine="1601" w:firstLineChars="500"/>
        <w:rPr>
          <w:rFonts w:ascii="宋体" w:hAnsi="宋体"/>
          <w:b/>
          <w:sz w:val="32"/>
          <w:szCs w:val="32"/>
          <w:u w:val="single"/>
        </w:rPr>
      </w:pPr>
      <w:r>
        <w:rPr>
          <w:rFonts w:hint="eastAsia" w:ascii="宋体" w:hAnsi="宋体"/>
          <w:b/>
          <w:sz w:val="32"/>
          <w:szCs w:val="32"/>
        </w:rPr>
        <w:t>学    号：</w:t>
      </w:r>
      <w:r>
        <w:rPr>
          <w:rFonts w:ascii="宋体" w:hAnsi="宋体"/>
          <w:b/>
          <w:sz w:val="32"/>
          <w:szCs w:val="32"/>
          <w:u w:val="single"/>
        </w:rPr>
        <w:t xml:space="preserve">     </w:t>
      </w:r>
      <w:r>
        <w:rPr>
          <w:rFonts w:hint="eastAsia" w:ascii="宋体" w:hAnsi="宋体"/>
          <w:b/>
          <w:sz w:val="32"/>
          <w:szCs w:val="32"/>
          <w:u w:val="single"/>
        </w:rPr>
        <w:t xml:space="preserve">   </w:t>
      </w:r>
      <w:r>
        <w:rPr>
          <w:rFonts w:ascii="宋体" w:hAnsi="宋体"/>
          <w:b/>
          <w:sz w:val="32"/>
          <w:szCs w:val="32"/>
          <w:u w:val="single"/>
        </w:rPr>
        <w:t>202110</w:t>
      </w:r>
      <w:r>
        <w:rPr>
          <w:rFonts w:hint="eastAsia" w:ascii="宋体" w:hAnsi="宋体"/>
          <w:b/>
          <w:sz w:val="32"/>
          <w:szCs w:val="32"/>
          <w:u w:val="single"/>
        </w:rPr>
        <w:t xml:space="preserve">2015        </w:t>
      </w:r>
    </w:p>
    <w:p>
      <w:pPr>
        <w:snapToGrid w:val="0"/>
        <w:spacing w:line="300" w:lineRule="auto"/>
        <w:ind w:firstLine="1601" w:firstLineChars="500"/>
        <w:rPr>
          <w:rFonts w:ascii="宋体" w:hAnsi="宋体"/>
          <w:b/>
          <w:sz w:val="32"/>
          <w:szCs w:val="32"/>
          <w:u w:val="single"/>
        </w:rPr>
      </w:pPr>
      <w:r>
        <w:rPr>
          <w:rFonts w:hint="eastAsia" w:ascii="宋体" w:hAnsi="宋体"/>
          <w:b/>
          <w:sz w:val="32"/>
          <w:szCs w:val="32"/>
        </w:rPr>
        <w:t>姓    名：</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郑豪杰          </w:t>
      </w:r>
    </w:p>
    <w:p>
      <w:pPr>
        <w:snapToGrid w:val="0"/>
        <w:spacing w:line="300" w:lineRule="auto"/>
        <w:ind w:firstLine="1601" w:firstLineChars="500"/>
        <w:rPr>
          <w:b/>
          <w:sz w:val="28"/>
          <w:szCs w:val="28"/>
        </w:rPr>
        <w:sectPr>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hint="eastAsia" w:ascii="宋体" w:hAnsi="宋体"/>
          <w:b/>
          <w:sz w:val="32"/>
          <w:szCs w:val="32"/>
        </w:rPr>
        <w:t>完成日期：</w:t>
      </w:r>
      <w:r>
        <w:rPr>
          <w:rFonts w:hint="eastAsia" w:ascii="宋体" w:hAnsi="宋体"/>
          <w:b/>
          <w:sz w:val="32"/>
          <w:szCs w:val="32"/>
          <w:u w:val="single"/>
        </w:rPr>
        <w:t xml:space="preserve">        </w:t>
      </w:r>
      <w:r>
        <w:rPr>
          <w:rFonts w:ascii="宋体" w:hAnsi="宋体"/>
          <w:b/>
          <w:sz w:val="32"/>
          <w:szCs w:val="32"/>
          <w:u w:val="single"/>
        </w:rPr>
        <w:t>202</w:t>
      </w:r>
      <w:r>
        <w:rPr>
          <w:rFonts w:hint="eastAsia" w:ascii="宋体" w:hAnsi="宋体"/>
          <w:b/>
          <w:sz w:val="32"/>
          <w:szCs w:val="32"/>
          <w:u w:val="single"/>
          <w:lang w:val="en-US" w:eastAsia="zh-CN"/>
        </w:rPr>
        <w:t>2</w:t>
      </w:r>
      <w:r>
        <w:rPr>
          <w:rFonts w:hint="eastAsia" w:ascii="宋体" w:hAnsi="宋体"/>
          <w:b/>
          <w:sz w:val="32"/>
          <w:szCs w:val="32"/>
          <w:u w:val="single"/>
        </w:rPr>
        <w:t>.</w:t>
      </w:r>
      <w:r>
        <w:rPr>
          <w:rFonts w:ascii="宋体" w:hAnsi="宋体"/>
          <w:b/>
          <w:sz w:val="32"/>
          <w:szCs w:val="32"/>
          <w:u w:val="single"/>
        </w:rPr>
        <w:t>12</w:t>
      </w:r>
      <w:r>
        <w:rPr>
          <w:rFonts w:hint="eastAsia" w:ascii="宋体" w:hAnsi="宋体"/>
          <w:b/>
          <w:sz w:val="32"/>
          <w:szCs w:val="32"/>
          <w:u w:val="single"/>
        </w:rPr>
        <w:t>.</w:t>
      </w:r>
      <w:r>
        <w:rPr>
          <w:rFonts w:ascii="宋体" w:hAnsi="宋体"/>
          <w:b/>
          <w:sz w:val="32"/>
          <w:szCs w:val="32"/>
          <w:u w:val="single"/>
        </w:rPr>
        <w:t>30</w:t>
      </w:r>
      <w:r>
        <w:rPr>
          <w:rFonts w:hint="eastAsia" w:ascii="宋体" w:hAnsi="宋体"/>
          <w:b/>
          <w:sz w:val="32"/>
          <w:szCs w:val="32"/>
          <w:u w:val="single"/>
        </w:rPr>
        <w:t xml:space="preserve">        </w:t>
      </w:r>
    </w:p>
    <w:p>
      <w:pPr>
        <w:widowControl/>
        <w:jc w:val="left"/>
        <w:rPr>
          <w:rFonts w:ascii="仿宋" w:hAnsi="仿宋" w:eastAsia="仿宋" w:cs="仿宋"/>
          <w:sz w:val="32"/>
          <w:szCs w:val="32"/>
        </w:rPr>
      </w:pPr>
    </w:p>
    <w:p>
      <w:pPr>
        <w:jc w:val="center"/>
        <w:rPr>
          <w:rFonts w:ascii="仿宋" w:hAnsi="仿宋" w:eastAsia="仿宋" w:cs="仿宋"/>
          <w:sz w:val="32"/>
          <w:szCs w:val="32"/>
        </w:rPr>
        <w:sectPr>
          <w:headerReference r:id="rId5" w:type="default"/>
          <w:footerReference r:id="rId6" w:type="default"/>
          <w:pgSz w:w="11906" w:h="16838"/>
          <w:pgMar w:top="1440" w:right="1800" w:bottom="1440" w:left="1800" w:header="851" w:footer="992" w:gutter="0"/>
          <w:cols w:space="425" w:num="1"/>
          <w:docGrid w:type="lines" w:linePitch="312" w:charSpace="0"/>
        </w:sectPr>
      </w:pPr>
      <w:bookmarkStart w:id="0" w:name="_GoBack"/>
      <w:bookmarkEnd w:id="0"/>
    </w:p>
    <w:p>
      <w:pPr>
        <w:jc w:val="center"/>
        <w:rPr>
          <w:rFonts w:hint="default" w:ascii="仿宋" w:hAnsi="仿宋" w:eastAsia="仿宋" w:cs="仿宋"/>
          <w:bCs/>
          <w:sz w:val="32"/>
          <w:szCs w:val="32"/>
          <w:lang w:val="en-US"/>
        </w:rPr>
      </w:pPr>
      <w:r>
        <w:rPr>
          <w:rFonts w:hint="eastAsia" w:ascii="仿宋" w:hAnsi="仿宋" w:eastAsia="仿宋" w:cs="仿宋"/>
          <w:bCs/>
          <w:sz w:val="32"/>
          <w:szCs w:val="32"/>
          <w:lang w:val="en-US" w:eastAsia="zh-CN"/>
        </w:rPr>
        <w:t>共同富裕目标下的国有企业薪酬制度改革问题</w:t>
      </w:r>
    </w:p>
    <w:p>
      <w:pPr>
        <w:spacing w:line="360" w:lineRule="auto"/>
        <w:jc w:val="center"/>
        <w:rPr>
          <w:rFonts w:ascii="宋体" w:hAnsi="宋体" w:eastAsia="宋体" w:cs="宋体"/>
          <w:sz w:val="28"/>
          <w:szCs w:val="28"/>
        </w:rPr>
      </w:pPr>
      <w:r>
        <w:rPr>
          <w:rFonts w:hint="eastAsia" w:ascii="宋体" w:hAnsi="宋体" w:eastAsia="宋体" w:cs="宋体"/>
          <w:sz w:val="28"/>
          <w:szCs w:val="28"/>
        </w:rPr>
        <w:t>郑豪杰</w:t>
      </w:r>
    </w:p>
    <w:p>
      <w:pPr>
        <w:ind w:firstLine="420"/>
        <w:rPr>
          <w:rFonts w:ascii="宋体" w:hAnsi="宋体" w:eastAsia="宋体" w:cs="宋体"/>
          <w:szCs w:val="21"/>
        </w:rPr>
      </w:pPr>
      <w:r>
        <w:rPr>
          <w:rFonts w:hint="eastAsia" w:ascii="黑体" w:hAnsi="黑体" w:eastAsia="黑体" w:cs="黑体"/>
          <w:b/>
          <w:bCs/>
          <w:szCs w:val="21"/>
        </w:rPr>
        <w:t>内容提要：</w:t>
      </w:r>
      <w:r>
        <w:rPr>
          <w:rFonts w:hint="eastAsia" w:ascii="宋体" w:hAnsi="宋体" w:eastAsia="宋体" w:cs="宋体"/>
          <w:szCs w:val="21"/>
        </w:rPr>
        <w:t>本文从政治经济学视角，就国有企业</w:t>
      </w:r>
      <w:r>
        <w:rPr>
          <w:rFonts w:hint="eastAsia" w:ascii="宋体" w:hAnsi="宋体" w:eastAsia="宋体" w:cs="宋体"/>
          <w:szCs w:val="21"/>
          <w:lang w:eastAsia="zh-CN"/>
        </w:rPr>
        <w:t>薪酬制度</w:t>
      </w:r>
      <w:r>
        <w:rPr>
          <w:rFonts w:hint="eastAsia" w:ascii="宋体" w:hAnsi="宋体" w:eastAsia="宋体" w:cs="宋体"/>
          <w:szCs w:val="21"/>
        </w:rPr>
        <w:t>改革展开了研究。本文认为通过</w:t>
      </w:r>
      <w:r>
        <w:rPr>
          <w:rFonts w:hint="eastAsia" w:ascii="Calibri" w:hAnsi="Calibri" w:eastAsia="宋体" w:cs="宋体"/>
          <w:szCs w:val="21"/>
        </w:rPr>
        <w:t>调整员工收入比例，使得收入分配体现有效率的公平正义原则，可以在规避直接测算劳动价值的复杂性的同时，符合按劳分配的基本内涵，适应社会生产力的实际发展水平。</w:t>
      </w:r>
      <w:r>
        <w:rPr>
          <w:rFonts w:hint="eastAsia" w:ascii="宋体" w:hAnsi="宋体" w:eastAsia="宋体" w:cs="宋体"/>
          <w:szCs w:val="21"/>
        </w:rPr>
        <w:t>本文认为国有企业应该根据实际情况选择公平主导型收入分配改革或效率主导型收入分配改革，抓住透明性和流动性两个关键点，实现收入分配有效率的公平正义，引领社会走向共同富裕。</w:t>
      </w:r>
    </w:p>
    <w:p>
      <w:pPr>
        <w:spacing w:line="360" w:lineRule="auto"/>
        <w:ind w:firstLine="422" w:firstLineChars="200"/>
        <w:rPr>
          <w:rFonts w:hint="eastAsia" w:ascii="宋体" w:hAnsi="宋体" w:eastAsia="宋体" w:cs="宋体"/>
          <w:szCs w:val="21"/>
          <w:lang w:val="en-US" w:eastAsia="zh-CN"/>
        </w:rPr>
      </w:pPr>
      <w:r>
        <w:rPr>
          <w:rFonts w:hint="eastAsia" w:ascii="黑体" w:hAnsi="黑体" w:eastAsia="黑体" w:cs="黑体"/>
          <w:b/>
          <w:bCs/>
          <w:szCs w:val="21"/>
        </w:rPr>
        <w:t>关键词：</w:t>
      </w:r>
      <w:r>
        <w:rPr>
          <w:rFonts w:hint="eastAsia" w:ascii="宋体" w:hAnsi="宋体" w:eastAsia="宋体" w:cs="宋体"/>
          <w:szCs w:val="21"/>
        </w:rPr>
        <w:t xml:space="preserve">国有企业 </w:t>
      </w:r>
      <w:r>
        <w:rPr>
          <w:rFonts w:ascii="宋体" w:hAnsi="宋体" w:eastAsia="宋体" w:cs="宋体"/>
          <w:szCs w:val="21"/>
        </w:rPr>
        <w:t xml:space="preserve"> </w:t>
      </w:r>
      <w:r>
        <w:rPr>
          <w:rFonts w:hint="eastAsia" w:ascii="宋体" w:hAnsi="宋体" w:eastAsia="宋体" w:cs="宋体"/>
          <w:szCs w:val="21"/>
          <w:lang w:val="en-US" w:eastAsia="zh-CN"/>
        </w:rPr>
        <w:t>薪酬制度</w:t>
      </w:r>
      <w:r>
        <w:rPr>
          <w:rFonts w:hint="eastAsia" w:ascii="宋体" w:hAnsi="宋体" w:eastAsia="宋体" w:cs="宋体"/>
          <w:szCs w:val="21"/>
        </w:rPr>
        <w:t xml:space="preserve">  </w:t>
      </w:r>
      <w:r>
        <w:rPr>
          <w:rFonts w:hint="eastAsia" w:ascii="宋体" w:hAnsi="宋体" w:eastAsia="宋体" w:cs="宋体"/>
          <w:szCs w:val="21"/>
          <w:lang w:val="en-US" w:eastAsia="zh-CN"/>
        </w:rPr>
        <w:t>共同富裕</w:t>
      </w:r>
    </w:p>
    <w:p>
      <w:pPr>
        <w:spacing w:before="156" w:beforeLines="50" w:after="156" w:afterLines="50" w:line="360" w:lineRule="auto"/>
        <w:jc w:val="center"/>
        <w:rPr>
          <w:rFonts w:ascii="宋体" w:hAnsi="宋体" w:eastAsia="宋体" w:cs="宋体"/>
          <w:sz w:val="24"/>
          <w:szCs w:val="24"/>
        </w:rPr>
      </w:pPr>
      <w:r>
        <w:rPr>
          <w:rFonts w:hint="eastAsia" w:ascii="宋体" w:hAnsi="宋体" w:eastAsia="宋体" w:cs="宋体"/>
          <w:sz w:val="24"/>
          <w:szCs w:val="24"/>
        </w:rPr>
        <w:t>一、引言</w:t>
      </w:r>
    </w:p>
    <w:p>
      <w:pPr>
        <w:ind w:firstLine="420" w:firstLineChars="200"/>
        <w:rPr>
          <w:rFonts w:ascii="宋体" w:hAnsi="宋体" w:eastAsia="宋体" w:cs="宋体"/>
          <w:szCs w:val="21"/>
          <w:highlight w:val="yellow"/>
        </w:rPr>
      </w:pPr>
      <w:r>
        <w:rPr>
          <w:rFonts w:hint="eastAsia" w:ascii="Calibri" w:hAnsi="Calibri" w:eastAsia="宋体" w:cs="宋体"/>
          <w:szCs w:val="21"/>
          <w:highlight w:val="none"/>
        </w:rPr>
        <w:t>2020</w:t>
      </w:r>
      <w:r>
        <w:rPr>
          <w:rFonts w:hint="eastAsia" w:ascii="宋体" w:hAnsi="宋体" w:eastAsia="宋体" w:cs="宋体"/>
          <w:szCs w:val="21"/>
          <w:highlight w:val="none"/>
        </w:rPr>
        <w:t>年</w:t>
      </w:r>
      <w:r>
        <w:rPr>
          <w:rFonts w:hint="eastAsia" w:ascii="Calibri" w:hAnsi="Calibri" w:eastAsia="宋体" w:cs="宋体"/>
          <w:szCs w:val="21"/>
          <w:highlight w:val="none"/>
        </w:rPr>
        <w:t>10</w:t>
      </w:r>
      <w:r>
        <w:rPr>
          <w:rFonts w:hint="eastAsia" w:ascii="宋体" w:hAnsi="宋体" w:eastAsia="宋体" w:cs="宋体"/>
          <w:szCs w:val="21"/>
          <w:highlight w:val="none"/>
        </w:rPr>
        <w:t>月</w:t>
      </w:r>
      <w:r>
        <w:rPr>
          <w:rFonts w:hint="eastAsia" w:ascii="Calibri" w:hAnsi="Calibri" w:eastAsia="宋体" w:cs="宋体"/>
          <w:szCs w:val="21"/>
          <w:highlight w:val="none"/>
        </w:rPr>
        <w:t>29</w:t>
      </w:r>
      <w:r>
        <w:rPr>
          <w:rFonts w:hint="eastAsia" w:ascii="宋体" w:hAnsi="宋体" w:eastAsia="宋体" w:cs="宋体"/>
          <w:szCs w:val="21"/>
          <w:highlight w:val="none"/>
        </w:rPr>
        <w:t>日，《</w:t>
      </w:r>
      <w:r>
        <w:rPr>
          <w:rFonts w:hint="eastAsia" w:ascii="宋体" w:hAnsi="宋体" w:eastAsia="宋体" w:cs="宋体"/>
          <w:szCs w:val="21"/>
          <w:highlight w:val="none"/>
          <w:lang w:val="en-US" w:eastAsia="zh-CN"/>
        </w:rPr>
        <w:t>中共</w:t>
      </w:r>
      <w:r>
        <w:rPr>
          <w:rFonts w:hint="eastAsia" w:ascii="宋体" w:hAnsi="宋体" w:eastAsia="宋体" w:cs="宋体"/>
          <w:szCs w:val="21"/>
          <w:highlight w:val="none"/>
        </w:rPr>
        <w:t>中央关于制定国民经济和社会发展第十四个五年规划和二〇三五年远景目标的建议》（简称《建议》）经中国共产党第十九届中央委员会第五次全体会议审议通过。</w:t>
      </w:r>
      <w:r>
        <w:rPr>
          <w:rFonts w:hint="eastAsia" w:ascii="宋体" w:hAnsi="宋体" w:eastAsia="宋体" w:cs="宋体"/>
          <w:strike w:val="0"/>
          <w:dstrike w:val="0"/>
          <w:szCs w:val="21"/>
          <w:highlight w:val="none"/>
        </w:rPr>
        <w:t>《建议》首次将把全体人民共同富裕取得更加明显地实质性进展作为远景目标提出。</w:t>
      </w:r>
      <w:r>
        <w:rPr>
          <w:rFonts w:hint="eastAsia" w:ascii="宋体" w:hAnsi="宋体" w:eastAsia="宋体" w:cs="宋体"/>
          <w:strike w:val="0"/>
          <w:dstrike w:val="0"/>
          <w:szCs w:val="21"/>
          <w:highlight w:val="none"/>
          <w:lang w:val="en-US" w:eastAsia="zh-CN"/>
        </w:rPr>
        <w:t>而中国共产党第二十次全国代表大会上的报告（简称《报告》）也进一步强调，中国式现代化是全体人民共同富裕的现代化，实现全体人民共同富裕是中国式现代化的本质要求。党</w:t>
      </w:r>
      <w:r>
        <w:rPr>
          <w:rFonts w:hint="eastAsia" w:ascii="宋体" w:hAnsi="宋体" w:eastAsia="宋体" w:cs="宋体"/>
          <w:szCs w:val="21"/>
          <w:highlight w:val="none"/>
        </w:rPr>
        <w:t>中央</w:t>
      </w:r>
      <w:r>
        <w:rPr>
          <w:rFonts w:hint="eastAsia" w:ascii="宋体" w:hAnsi="宋体" w:eastAsia="宋体" w:cs="宋体"/>
          <w:szCs w:val="21"/>
          <w:highlight w:val="none"/>
          <w:lang w:val="en-US" w:eastAsia="zh-CN"/>
        </w:rPr>
        <w:t>的</w:t>
      </w:r>
      <w:r>
        <w:rPr>
          <w:rFonts w:hint="eastAsia" w:ascii="宋体" w:hAnsi="宋体" w:eastAsia="宋体" w:cs="宋体"/>
          <w:szCs w:val="21"/>
          <w:highlight w:val="none"/>
        </w:rPr>
        <w:t>一系列</w:t>
      </w:r>
      <w:r>
        <w:rPr>
          <w:rFonts w:hint="eastAsia" w:ascii="宋体" w:hAnsi="宋体" w:eastAsia="宋体" w:cs="宋体"/>
          <w:szCs w:val="21"/>
          <w:highlight w:val="none"/>
          <w:lang w:val="en-US" w:eastAsia="zh-CN"/>
        </w:rPr>
        <w:t>重要</w:t>
      </w:r>
      <w:r>
        <w:rPr>
          <w:rFonts w:hint="eastAsia" w:ascii="宋体" w:hAnsi="宋体" w:eastAsia="宋体" w:cs="宋体"/>
          <w:szCs w:val="21"/>
          <w:highlight w:val="none"/>
        </w:rPr>
        <w:t>文件，无</w:t>
      </w:r>
      <w:r>
        <w:rPr>
          <w:rFonts w:hint="eastAsia" w:ascii="宋体" w:hAnsi="宋体" w:eastAsia="宋体" w:cs="宋体"/>
          <w:szCs w:val="21"/>
          <w:highlight w:val="none"/>
          <w:lang w:val="en-US" w:eastAsia="zh-CN"/>
        </w:rPr>
        <w:t>一</w:t>
      </w:r>
      <w:r>
        <w:rPr>
          <w:rFonts w:hint="eastAsia" w:ascii="宋体" w:hAnsi="宋体" w:eastAsia="宋体" w:cs="宋体"/>
          <w:szCs w:val="21"/>
          <w:highlight w:val="none"/>
        </w:rPr>
        <w:t>不体现</w:t>
      </w:r>
      <w:r>
        <w:rPr>
          <w:rFonts w:hint="eastAsia" w:ascii="宋体" w:hAnsi="宋体" w:eastAsia="宋体" w:cs="宋体"/>
          <w:szCs w:val="21"/>
          <w:highlight w:val="none"/>
          <w:lang w:val="en-US" w:eastAsia="zh-CN"/>
        </w:rPr>
        <w:t>着</w:t>
      </w:r>
      <w:r>
        <w:rPr>
          <w:rFonts w:hint="eastAsia" w:ascii="宋体" w:hAnsi="宋体" w:eastAsia="宋体" w:cs="宋体"/>
          <w:szCs w:val="21"/>
          <w:highlight w:val="none"/>
        </w:rPr>
        <w:t>党和国家对实现全体人民共同富裕的重视和</w:t>
      </w:r>
      <w:r>
        <w:rPr>
          <w:rFonts w:hint="eastAsia" w:ascii="宋体" w:hAnsi="宋体" w:eastAsia="宋体" w:cs="宋体"/>
          <w:szCs w:val="21"/>
          <w:highlight w:val="none"/>
          <w:lang w:val="en-US" w:eastAsia="zh-CN"/>
        </w:rPr>
        <w:t>追求。</w:t>
      </w:r>
      <w:r>
        <w:rPr>
          <w:rFonts w:hint="eastAsia" w:ascii="宋体" w:hAnsi="宋体" w:eastAsia="宋体" w:cs="宋体"/>
          <w:szCs w:val="21"/>
          <w:highlight w:val="none"/>
        </w:rPr>
        <w:t>其中，收入分配问题对共同富裕目标的实现起着举足轻重的作用</w:t>
      </w:r>
      <w:r>
        <w:rPr>
          <w:rFonts w:hint="eastAsia" w:ascii="宋体" w:hAnsi="宋体" w:eastAsia="宋体" w:cs="宋体"/>
          <w:szCs w:val="21"/>
          <w:highlight w:val="none"/>
          <w:lang w:eastAsia="zh-CN"/>
        </w:rPr>
        <w:t>，</w:t>
      </w:r>
      <w:r>
        <w:rPr>
          <w:rFonts w:hint="eastAsia" w:ascii="宋体" w:hAnsi="宋体" w:eastAsia="宋体" w:cs="宋体"/>
          <w:szCs w:val="21"/>
          <w:highlight w:val="none"/>
        </w:rPr>
        <w:t>在上述文件中多次提到。《建议》指出，今后五年要实现更加充分更高质量就业，居民收入增长和经济增长基本同步，分配结构明显改善。《</w:t>
      </w:r>
      <w:r>
        <w:rPr>
          <w:rFonts w:hint="eastAsia" w:ascii="宋体" w:hAnsi="宋体" w:eastAsia="宋体" w:cs="宋体"/>
          <w:szCs w:val="21"/>
          <w:highlight w:val="none"/>
          <w:lang w:val="en-US" w:eastAsia="zh-CN"/>
        </w:rPr>
        <w:t>报告</w:t>
      </w:r>
      <w:r>
        <w:rPr>
          <w:rFonts w:hint="eastAsia" w:ascii="宋体" w:hAnsi="宋体" w:eastAsia="宋体" w:cs="宋体"/>
          <w:szCs w:val="21"/>
          <w:highlight w:val="none"/>
        </w:rPr>
        <w:t>》中</w:t>
      </w:r>
      <w:r>
        <w:rPr>
          <w:rFonts w:hint="eastAsia" w:ascii="宋体" w:hAnsi="宋体" w:eastAsia="宋体" w:cs="宋体"/>
          <w:szCs w:val="21"/>
          <w:highlight w:val="none"/>
          <w:lang w:val="en-US" w:eastAsia="zh-CN"/>
        </w:rPr>
        <w:t>强调</w:t>
      </w:r>
      <w:r>
        <w:rPr>
          <w:rFonts w:hint="eastAsia" w:ascii="宋体" w:hAnsi="宋体" w:eastAsia="宋体" w:cs="宋体"/>
          <w:szCs w:val="21"/>
          <w:highlight w:val="none"/>
        </w:rPr>
        <w:t>，要完善分配制度．坚持按劳分配为主体、多种分配方式并存，坚持多劳多得，鼓励勤劳致富，促进机会公平，增加低收入者收入，扩大中等收入群体，规范收入分配秩序，规范财富积累机制。</w:t>
      </w:r>
    </w:p>
    <w:p>
      <w:pPr>
        <w:ind w:firstLine="420" w:firstLineChars="200"/>
        <w:rPr>
          <w:rFonts w:hint="eastAsia" w:ascii="宋体" w:hAnsi="宋体" w:eastAsia="宋体" w:cs="宋体"/>
          <w:szCs w:val="21"/>
          <w:lang w:val="en-US" w:eastAsia="zh-CN"/>
        </w:rPr>
      </w:pPr>
      <w:r>
        <w:rPr>
          <w:rFonts w:hint="eastAsia" w:ascii="宋体" w:hAnsi="宋体" w:eastAsia="宋体" w:cs="宋体"/>
          <w:szCs w:val="21"/>
        </w:rPr>
        <w:t>作为公有制经济的主体，国有</w:t>
      </w:r>
      <w:r>
        <w:rPr>
          <w:rFonts w:hint="eastAsia" w:ascii="宋体" w:hAnsi="宋体" w:eastAsia="宋体" w:cs="宋体"/>
          <w:szCs w:val="21"/>
          <w:lang w:val="en-US" w:eastAsia="zh-CN"/>
        </w:rPr>
        <w:t>企业在调节</w:t>
      </w:r>
      <w:r>
        <w:rPr>
          <w:rFonts w:hint="eastAsia" w:ascii="宋体" w:hAnsi="宋体" w:eastAsia="宋体" w:cs="宋体"/>
          <w:szCs w:val="21"/>
        </w:rPr>
        <w:t>收入分配</w:t>
      </w:r>
      <w:r>
        <w:rPr>
          <w:rFonts w:hint="eastAsia" w:ascii="宋体" w:hAnsi="宋体" w:eastAsia="宋体" w:cs="宋体"/>
          <w:szCs w:val="21"/>
          <w:lang w:eastAsia="zh-CN"/>
        </w:rPr>
        <w:t>、</w:t>
      </w:r>
      <w:r>
        <w:rPr>
          <w:rFonts w:hint="eastAsia" w:ascii="宋体" w:hAnsi="宋体" w:eastAsia="宋体" w:cs="宋体"/>
          <w:szCs w:val="21"/>
        </w:rPr>
        <w:t>推动</w:t>
      </w:r>
      <w:r>
        <w:rPr>
          <w:rFonts w:hint="eastAsia" w:ascii="宋体" w:hAnsi="宋体" w:eastAsia="宋体" w:cs="宋体"/>
          <w:szCs w:val="21"/>
          <w:lang w:val="en-US" w:eastAsia="zh-CN"/>
        </w:rPr>
        <w:t>实现</w:t>
      </w:r>
      <w:r>
        <w:rPr>
          <w:rFonts w:hint="eastAsia" w:ascii="宋体" w:hAnsi="宋体" w:eastAsia="宋体" w:cs="宋体"/>
          <w:szCs w:val="21"/>
        </w:rPr>
        <w:t>共同富裕</w:t>
      </w:r>
      <w:r>
        <w:rPr>
          <w:rFonts w:hint="eastAsia" w:ascii="宋体" w:hAnsi="宋体" w:eastAsia="宋体" w:cs="宋体"/>
          <w:szCs w:val="21"/>
          <w:lang w:val="en-US" w:eastAsia="zh-CN"/>
        </w:rPr>
        <w:t>的过程</w:t>
      </w:r>
      <w:r>
        <w:rPr>
          <w:rFonts w:hint="eastAsia" w:ascii="宋体" w:hAnsi="宋体" w:eastAsia="宋体" w:cs="宋体"/>
          <w:szCs w:val="21"/>
        </w:rPr>
        <w:t>中扮演着重要角色。</w:t>
      </w:r>
      <w:r>
        <w:rPr>
          <w:rFonts w:hint="eastAsia" w:ascii="宋体" w:hAnsi="宋体" w:eastAsia="宋体" w:cs="宋体"/>
          <w:szCs w:val="21"/>
          <w:lang w:val="en-US" w:eastAsia="zh-CN"/>
        </w:rPr>
        <w:t>当前</w:t>
      </w:r>
      <w:r>
        <w:rPr>
          <w:rFonts w:hint="eastAsia" w:ascii="宋体" w:hAnsi="宋体" w:eastAsia="宋体" w:cs="宋体"/>
          <w:szCs w:val="21"/>
        </w:rPr>
        <w:t>国有企业</w:t>
      </w:r>
      <w:r>
        <w:rPr>
          <w:rFonts w:hint="eastAsia" w:ascii="宋体" w:hAnsi="宋体" w:eastAsia="宋体" w:cs="宋体"/>
          <w:szCs w:val="21"/>
          <w:lang w:val="en-US" w:eastAsia="zh-CN"/>
        </w:rPr>
        <w:t>薪酬制度仍有一些不足和缺陷，对其进行科学改革</w:t>
      </w:r>
      <w:r>
        <w:rPr>
          <w:rFonts w:hint="eastAsia" w:ascii="宋体" w:hAnsi="宋体" w:eastAsia="宋体" w:cs="宋体"/>
          <w:szCs w:val="21"/>
        </w:rPr>
        <w:t>，是缩小收入差距，实现收入公平</w:t>
      </w:r>
      <w:r>
        <w:rPr>
          <w:rFonts w:hint="eastAsia" w:ascii="宋体" w:hAnsi="宋体" w:eastAsia="宋体" w:cs="宋体"/>
          <w:szCs w:val="21"/>
          <w:lang w:val="en-US" w:eastAsia="zh-CN"/>
        </w:rPr>
        <w:t>与效率</w:t>
      </w:r>
      <w:r>
        <w:rPr>
          <w:rFonts w:hint="eastAsia" w:ascii="宋体" w:hAnsi="宋体" w:eastAsia="宋体" w:cs="宋体"/>
          <w:szCs w:val="21"/>
        </w:rPr>
        <w:t>的</w:t>
      </w:r>
      <w:r>
        <w:rPr>
          <w:rFonts w:hint="eastAsia" w:ascii="宋体" w:hAnsi="宋体" w:eastAsia="宋体" w:cs="宋体"/>
          <w:szCs w:val="21"/>
          <w:lang w:val="en-US" w:eastAsia="zh-CN"/>
        </w:rPr>
        <w:t>重要一环，是实现全体人民共同富裕的必由之路</w:t>
      </w:r>
      <w:r>
        <w:rPr>
          <w:rFonts w:hint="eastAsia" w:ascii="宋体" w:hAnsi="宋体" w:eastAsia="宋体" w:cs="宋体"/>
          <w:szCs w:val="21"/>
        </w:rPr>
        <w:t>。因次，</w:t>
      </w:r>
      <w:r>
        <w:rPr>
          <w:rFonts w:hint="eastAsia" w:ascii="宋体" w:hAnsi="宋体" w:eastAsia="宋体" w:cs="宋体"/>
          <w:szCs w:val="21"/>
          <w:lang w:val="en-US" w:eastAsia="zh-CN"/>
        </w:rPr>
        <w:t>本文将从实现</w:t>
      </w:r>
      <w:r>
        <w:rPr>
          <w:rFonts w:hint="eastAsia" w:ascii="宋体" w:hAnsi="宋体" w:eastAsia="宋体" w:cs="宋体"/>
          <w:szCs w:val="21"/>
        </w:rPr>
        <w:t>共同富裕</w:t>
      </w:r>
      <w:r>
        <w:rPr>
          <w:rFonts w:hint="eastAsia" w:ascii="宋体" w:hAnsi="宋体" w:eastAsia="宋体" w:cs="宋体"/>
          <w:szCs w:val="21"/>
          <w:lang w:val="en-US" w:eastAsia="zh-CN"/>
        </w:rPr>
        <w:t>的</w:t>
      </w:r>
      <w:r>
        <w:rPr>
          <w:rFonts w:hint="eastAsia" w:ascii="宋体" w:hAnsi="宋体" w:eastAsia="宋体" w:cs="宋体"/>
          <w:szCs w:val="21"/>
        </w:rPr>
        <w:t>目标</w:t>
      </w:r>
      <w:r>
        <w:rPr>
          <w:rFonts w:hint="eastAsia" w:ascii="宋体" w:hAnsi="宋体" w:eastAsia="宋体" w:cs="宋体"/>
          <w:szCs w:val="21"/>
          <w:lang w:val="en-US" w:eastAsia="zh-CN"/>
        </w:rPr>
        <w:t>出发，分析当前</w:t>
      </w:r>
      <w:r>
        <w:rPr>
          <w:rFonts w:hint="eastAsia" w:ascii="宋体" w:hAnsi="宋体" w:eastAsia="宋体" w:cs="宋体"/>
          <w:szCs w:val="21"/>
        </w:rPr>
        <w:t>国有企业薪酬制度</w:t>
      </w:r>
      <w:r>
        <w:rPr>
          <w:rFonts w:hint="eastAsia" w:ascii="宋体" w:hAnsi="宋体" w:eastAsia="宋体" w:cs="宋体"/>
          <w:szCs w:val="21"/>
          <w:lang w:val="en-US" w:eastAsia="zh-CN"/>
        </w:rPr>
        <w:t>的不足，并提出相应的政策建议。</w:t>
      </w:r>
    </w:p>
    <w:p>
      <w:pPr>
        <w:spacing w:before="156" w:beforeLines="50" w:after="156" w:afterLines="50" w:line="36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二</w:t>
      </w:r>
      <w:r>
        <w:rPr>
          <w:rFonts w:hint="eastAsia" w:ascii="宋体" w:hAnsi="宋体" w:eastAsia="宋体" w:cs="宋体"/>
          <w:sz w:val="24"/>
          <w:szCs w:val="24"/>
        </w:rPr>
        <w:t>、</w:t>
      </w:r>
      <w:r>
        <w:rPr>
          <w:rFonts w:hint="eastAsia" w:ascii="宋体" w:hAnsi="宋体" w:eastAsia="宋体" w:cs="宋体"/>
          <w:sz w:val="24"/>
          <w:szCs w:val="24"/>
          <w:lang w:val="en-US" w:eastAsia="zh-CN"/>
        </w:rPr>
        <w:t>当前</w:t>
      </w:r>
      <w:r>
        <w:rPr>
          <w:rFonts w:hint="eastAsia" w:ascii="宋体" w:hAnsi="宋体" w:eastAsia="宋体" w:cs="宋体"/>
          <w:sz w:val="24"/>
          <w:szCs w:val="24"/>
        </w:rPr>
        <w:t>国有企业薪酬制度</w:t>
      </w:r>
      <w:r>
        <w:rPr>
          <w:rFonts w:hint="eastAsia" w:ascii="宋体" w:hAnsi="宋体" w:eastAsia="宋体" w:cs="宋体"/>
          <w:sz w:val="24"/>
          <w:szCs w:val="24"/>
          <w:lang w:val="en-US" w:eastAsia="zh-CN"/>
        </w:rPr>
        <w:t>的不足</w:t>
      </w:r>
    </w:p>
    <w:p>
      <w:pPr>
        <w:ind w:firstLine="420"/>
        <w:rPr>
          <w:rFonts w:ascii="Calibri" w:hAnsi="Calibri" w:eastAsia="宋体" w:cs="宋体"/>
          <w:szCs w:val="21"/>
        </w:rPr>
      </w:pPr>
      <w:r>
        <w:rPr>
          <w:rFonts w:hint="eastAsia" w:ascii="Calibri" w:hAnsi="Calibri" w:eastAsia="宋体" w:cs="宋体"/>
          <w:szCs w:val="21"/>
        </w:rPr>
        <w:t>为推动社会主义市场经济体制的建立和完善，国有企业市场化改革越走越远，步入深水区。受市场竞争影响，国有企业</w:t>
      </w:r>
      <w:r>
        <w:rPr>
          <w:rFonts w:hint="eastAsia" w:ascii="Calibri" w:hAnsi="Calibri" w:eastAsia="宋体" w:cs="宋体"/>
          <w:szCs w:val="21"/>
          <w:lang w:eastAsia="zh-CN"/>
        </w:rPr>
        <w:t>薪酬制度</w:t>
      </w:r>
      <w:r>
        <w:rPr>
          <w:rFonts w:hint="eastAsia" w:ascii="Calibri" w:hAnsi="Calibri" w:eastAsia="宋体" w:cs="宋体"/>
          <w:szCs w:val="21"/>
        </w:rPr>
        <w:t>与按劳分配制度发生偏离，甚至扭曲，</w:t>
      </w:r>
      <w:r>
        <w:rPr>
          <w:rFonts w:hint="eastAsia" w:ascii="宋体" w:hAnsi="宋体" w:eastAsia="宋体" w:cs="宋体"/>
          <w:szCs w:val="21"/>
        </w:rPr>
        <w:t>主要体现在收入分配</w:t>
      </w:r>
      <w:r>
        <w:rPr>
          <w:rFonts w:hint="eastAsia" w:ascii="宋体" w:hAnsi="宋体" w:eastAsia="宋体" w:cs="宋体"/>
          <w:szCs w:val="21"/>
          <w:lang w:val="en-US" w:eastAsia="zh-CN"/>
        </w:rPr>
        <w:t>没有很好兼顾效率与公平</w:t>
      </w:r>
      <w:r>
        <w:rPr>
          <w:rFonts w:hint="eastAsia" w:ascii="宋体" w:hAnsi="宋体" w:eastAsia="宋体" w:cs="宋体"/>
          <w:szCs w:val="21"/>
        </w:rPr>
        <w:t>、雇员</w:t>
      </w:r>
      <w:r>
        <w:rPr>
          <w:rFonts w:hint="eastAsia" w:ascii="宋体" w:hAnsi="宋体" w:eastAsia="宋体" w:cs="宋体"/>
          <w:szCs w:val="21"/>
          <w:lang w:val="en-US" w:eastAsia="zh-CN"/>
        </w:rPr>
        <w:t>冗余</w:t>
      </w:r>
      <w:r>
        <w:rPr>
          <w:rFonts w:hint="eastAsia" w:ascii="宋体" w:hAnsi="宋体" w:eastAsia="宋体" w:cs="宋体"/>
          <w:szCs w:val="21"/>
        </w:rPr>
        <w:t>、部分国有企业员工</w:t>
      </w:r>
      <w:r>
        <w:rPr>
          <w:rFonts w:hint="eastAsia" w:ascii="宋体" w:hAnsi="宋体" w:eastAsia="宋体" w:cs="宋体"/>
          <w:szCs w:val="21"/>
          <w:lang w:val="en-US" w:eastAsia="zh-CN"/>
        </w:rPr>
        <w:t>薪酬不合理</w:t>
      </w:r>
      <w:r>
        <w:rPr>
          <w:rFonts w:hint="eastAsia" w:ascii="宋体" w:hAnsi="宋体" w:eastAsia="宋体" w:cs="宋体"/>
          <w:szCs w:val="21"/>
        </w:rPr>
        <w:t>、不同行业间国有企业薪酬差距较大等方面。</w:t>
      </w:r>
    </w:p>
    <w:p>
      <w:pPr>
        <w:ind w:firstLine="420"/>
        <w:rPr>
          <w:rFonts w:ascii="宋体" w:hAnsi="宋体" w:eastAsia="宋体" w:cs="宋体"/>
          <w:szCs w:val="21"/>
        </w:rPr>
      </w:pPr>
      <w:r>
        <w:rPr>
          <w:rFonts w:hint="eastAsia" w:ascii="宋体" w:hAnsi="宋体" w:eastAsia="宋体" w:cs="宋体"/>
          <w:szCs w:val="21"/>
        </w:rPr>
        <w:t>随着国有企业改革不断深入，员工持股计划得到越来越广泛地应用。国有企业以往“干多干少一个样，干好干坏一个一样”、“混日子”等收入分配与效率脱钩的现象得到了一定的改善，但我们需要清楚的认识到收入分配与效率联系不紧密的问题仍然没有完全解决。辛清泉和谭伟强（</w:t>
      </w:r>
      <w:r>
        <w:rPr>
          <w:rFonts w:hint="eastAsia" w:ascii="Calibri" w:hAnsi="Calibri" w:eastAsia="宋体" w:cs="宋体"/>
          <w:szCs w:val="21"/>
        </w:rPr>
        <w:t>2009</w:t>
      </w:r>
      <w:r>
        <w:rPr>
          <w:rFonts w:hint="eastAsia" w:ascii="宋体" w:hAnsi="宋体" w:eastAsia="宋体" w:cs="宋体"/>
          <w:szCs w:val="21"/>
        </w:rPr>
        <w:t>）通过实证研究发现，随着市场化程度加深，国有企业经理对企业业绩越来越敏感。但与此同时，行业保护和政府控制影响了市场决定国企经历薪酬的能力。沈红波、华凌昊和许基集（</w:t>
      </w:r>
      <w:r>
        <w:rPr>
          <w:rFonts w:hint="eastAsia" w:ascii="Calibri" w:hAnsi="Calibri" w:eastAsia="宋体" w:cs="宋体"/>
          <w:szCs w:val="21"/>
        </w:rPr>
        <w:t>2018</w:t>
      </w:r>
      <w:r>
        <w:rPr>
          <w:rFonts w:hint="eastAsia" w:ascii="宋体" w:hAnsi="宋体" w:eastAsia="宋体" w:cs="宋体"/>
          <w:szCs w:val="21"/>
        </w:rPr>
        <w:t>）研究发现，国有企业高管在员工持股计划中的参与比例显著低于民营企业，而且同民营企业相比，国有企业的员工持股计划对降低代理成本、提高投资效率和减少超额雇员等治理问题的改善并不显著。</w:t>
      </w:r>
    </w:p>
    <w:p>
      <w:pPr>
        <w:ind w:firstLine="420"/>
        <w:rPr>
          <w:rFonts w:ascii="宋体" w:hAnsi="宋体" w:eastAsia="宋体" w:cs="宋体"/>
          <w:szCs w:val="21"/>
        </w:rPr>
      </w:pPr>
      <w:r>
        <w:rPr>
          <w:rFonts w:hint="eastAsia" w:ascii="宋体" w:hAnsi="宋体" w:eastAsia="宋体" w:cs="宋体"/>
          <w:szCs w:val="21"/>
        </w:rPr>
        <w:t>此外，国有企业由于缺少明确的裁员机制，员工入职国有企业等于获得了“铁饭碗”。同时受预算软约束和投资过度等道德风险问题影响，部分国有企业存在养懒人、养闲人的超额雇员问题。廖冠民和沈红波（</w:t>
      </w:r>
      <w:r>
        <w:rPr>
          <w:rFonts w:hint="eastAsia" w:ascii="Calibri" w:hAnsi="Calibri" w:eastAsia="宋体" w:cs="宋体"/>
          <w:szCs w:val="21"/>
        </w:rPr>
        <w:t>2014</w:t>
      </w:r>
      <w:r>
        <w:rPr>
          <w:rFonts w:hint="eastAsia" w:ascii="宋体" w:hAnsi="宋体" w:eastAsia="宋体" w:cs="宋体"/>
          <w:szCs w:val="21"/>
        </w:rPr>
        <w:t>）利用超额雇员率=（企业员工人数-行业平均员工人数×企业销售收入/行业平均销售收入）/企业员工人数的计算方法，统计得到</w:t>
      </w:r>
      <w:r>
        <w:rPr>
          <w:rFonts w:hint="eastAsia" w:ascii="Calibri" w:hAnsi="Calibri" w:eastAsia="宋体" w:cs="宋体"/>
          <w:szCs w:val="21"/>
        </w:rPr>
        <w:t>2005</w:t>
      </w:r>
      <w:r>
        <w:rPr>
          <w:rFonts w:hint="eastAsia" w:ascii="宋体" w:hAnsi="宋体" w:eastAsia="宋体" w:cs="宋体"/>
          <w:szCs w:val="21"/>
        </w:rPr>
        <w:t>-</w:t>
      </w:r>
      <w:r>
        <w:rPr>
          <w:rFonts w:hint="eastAsia" w:ascii="Calibri" w:hAnsi="Calibri" w:eastAsia="宋体" w:cs="宋体"/>
          <w:szCs w:val="21"/>
        </w:rPr>
        <w:t>2011</w:t>
      </w:r>
      <w:r>
        <w:rPr>
          <w:rFonts w:hint="eastAsia" w:ascii="宋体" w:hAnsi="宋体" w:eastAsia="宋体" w:cs="宋体"/>
          <w:szCs w:val="21"/>
        </w:rPr>
        <w:t>年中国</w:t>
      </w:r>
      <w:r>
        <w:rPr>
          <w:rFonts w:hint="eastAsia" w:ascii="Calibri" w:hAnsi="Calibri" w:eastAsia="宋体" w:cs="宋体"/>
          <w:szCs w:val="21"/>
        </w:rPr>
        <w:t>A</w:t>
      </w:r>
      <w:r>
        <w:rPr>
          <w:rFonts w:hint="eastAsia" w:ascii="宋体" w:hAnsi="宋体" w:eastAsia="宋体" w:cs="宋体"/>
          <w:szCs w:val="21"/>
        </w:rPr>
        <w:t>股非金融业国有上市公司的超额雇员率中位数为</w:t>
      </w:r>
      <w:r>
        <w:rPr>
          <w:rFonts w:hint="eastAsia" w:ascii="Calibri" w:hAnsi="Calibri" w:eastAsia="宋体" w:cs="宋体"/>
          <w:szCs w:val="21"/>
        </w:rPr>
        <w:t>19</w:t>
      </w:r>
      <w:r>
        <w:rPr>
          <w:rFonts w:hint="eastAsia" w:ascii="宋体" w:hAnsi="宋体" w:eastAsia="宋体" w:cs="宋体"/>
          <w:szCs w:val="21"/>
        </w:rPr>
        <w:t>.</w:t>
      </w:r>
      <w:r>
        <w:rPr>
          <w:rFonts w:hint="eastAsia" w:ascii="Calibri" w:hAnsi="Calibri" w:eastAsia="宋体" w:cs="宋体"/>
          <w:szCs w:val="21"/>
        </w:rPr>
        <w:t>6</w:t>
      </w:r>
      <w:r>
        <w:rPr>
          <w:rFonts w:hint="eastAsia" w:ascii="宋体" w:hAnsi="宋体" w:eastAsia="宋体" w:cs="宋体"/>
          <w:szCs w:val="21"/>
        </w:rPr>
        <w:t>%。</w:t>
      </w:r>
    </w:p>
    <w:p>
      <w:pPr>
        <w:ind w:firstLine="420"/>
        <w:rPr>
          <w:rFonts w:hint="eastAsia" w:ascii="宋体" w:hAnsi="宋体" w:eastAsia="宋体" w:cs="宋体"/>
          <w:szCs w:val="21"/>
        </w:rPr>
      </w:pPr>
      <w:r>
        <w:rPr>
          <w:rFonts w:hint="eastAsia" w:ascii="宋体" w:hAnsi="宋体" w:eastAsia="宋体" w:cs="宋体"/>
          <w:szCs w:val="21"/>
        </w:rPr>
        <w:t>除上述与效率直接相关的收入分配问题外，国有企业还有部分国有企业员工收入过高、不同行业间国有企业薪酬差距较大、“同工不同酬”等收入分配不公平问题。褚敏和靳涛（</w:t>
      </w:r>
      <w:r>
        <w:rPr>
          <w:rFonts w:hint="eastAsia" w:ascii="Calibri" w:hAnsi="Calibri" w:eastAsia="宋体" w:cs="宋体"/>
          <w:szCs w:val="21"/>
        </w:rPr>
        <w:t>2013</w:t>
      </w:r>
      <w:r>
        <w:rPr>
          <w:rFonts w:hint="eastAsia" w:ascii="宋体" w:hAnsi="宋体" w:eastAsia="宋体" w:cs="宋体"/>
          <w:szCs w:val="21"/>
        </w:rPr>
        <w:t>）通过对国家统计局和国资委数据整理分析，发现全国</w:t>
      </w:r>
      <w:r>
        <w:rPr>
          <w:rFonts w:hint="eastAsia" w:ascii="Calibri" w:hAnsi="Calibri" w:eastAsia="宋体" w:cs="宋体"/>
          <w:szCs w:val="21"/>
        </w:rPr>
        <w:t>7</w:t>
      </w:r>
      <w:r>
        <w:rPr>
          <w:rFonts w:hint="eastAsia" w:ascii="宋体" w:hAnsi="宋体" w:eastAsia="宋体" w:cs="宋体"/>
          <w:szCs w:val="21"/>
        </w:rPr>
        <w:t>个垄断行业有员工</w:t>
      </w:r>
      <w:r>
        <w:rPr>
          <w:rFonts w:hint="eastAsia" w:ascii="Calibri" w:hAnsi="Calibri" w:eastAsia="宋体" w:cs="宋体"/>
          <w:szCs w:val="21"/>
        </w:rPr>
        <w:t>2833</w:t>
      </w:r>
      <w:r>
        <w:rPr>
          <w:rFonts w:hint="eastAsia" w:ascii="宋体" w:hAnsi="宋体" w:eastAsia="宋体" w:cs="宋体"/>
          <w:szCs w:val="21"/>
        </w:rPr>
        <w:t>万人，不到全国职工人数的</w:t>
      </w:r>
      <w:r>
        <w:rPr>
          <w:rFonts w:hint="eastAsia" w:ascii="Calibri" w:hAnsi="Calibri" w:eastAsia="宋体" w:cs="宋体"/>
          <w:szCs w:val="21"/>
        </w:rPr>
        <w:t>8</w:t>
      </w:r>
      <w:r>
        <w:rPr>
          <w:rFonts w:hint="eastAsia" w:ascii="宋体" w:hAnsi="宋体" w:eastAsia="宋体" w:cs="宋体"/>
          <w:szCs w:val="21"/>
        </w:rPr>
        <w:t>%，但工资和工资外收入则占全国职工年工资总额的</w:t>
      </w:r>
      <w:r>
        <w:rPr>
          <w:rFonts w:hint="eastAsia" w:ascii="Calibri" w:hAnsi="Calibri" w:eastAsia="宋体" w:cs="宋体"/>
          <w:szCs w:val="21"/>
        </w:rPr>
        <w:t>55</w:t>
      </w:r>
      <w:r>
        <w:rPr>
          <w:rFonts w:hint="eastAsia" w:ascii="宋体" w:hAnsi="宋体" w:eastAsia="宋体" w:cs="宋体"/>
          <w:szCs w:val="21"/>
        </w:rPr>
        <w:t>%，全国</w:t>
      </w:r>
      <w:r>
        <w:rPr>
          <w:rFonts w:hint="eastAsia" w:ascii="Calibri" w:hAnsi="Calibri" w:eastAsia="宋体" w:cs="宋体"/>
          <w:szCs w:val="21"/>
        </w:rPr>
        <w:t>40</w:t>
      </w:r>
      <w:r>
        <w:rPr>
          <w:rFonts w:hint="eastAsia" w:ascii="宋体" w:hAnsi="宋体" w:eastAsia="宋体" w:cs="宋体"/>
          <w:szCs w:val="21"/>
        </w:rPr>
        <w:t xml:space="preserve"> 家国有垄断企业平分了</w:t>
      </w:r>
      <w:r>
        <w:rPr>
          <w:rFonts w:hint="eastAsia" w:ascii="Calibri" w:hAnsi="Calibri" w:eastAsia="宋体" w:cs="宋体"/>
          <w:szCs w:val="21"/>
        </w:rPr>
        <w:t>169</w:t>
      </w:r>
      <w:r>
        <w:rPr>
          <w:rFonts w:hint="eastAsia" w:ascii="宋体" w:hAnsi="宋体" w:eastAsia="宋体" w:cs="宋体"/>
          <w:szCs w:val="21"/>
        </w:rPr>
        <w:t xml:space="preserve"> 家中央企业总利润的</w:t>
      </w:r>
      <w:r>
        <w:rPr>
          <w:rFonts w:hint="eastAsia" w:ascii="Calibri" w:hAnsi="Calibri" w:eastAsia="宋体" w:cs="宋体"/>
          <w:szCs w:val="21"/>
        </w:rPr>
        <w:t>95</w:t>
      </w:r>
      <w:r>
        <w:rPr>
          <w:rFonts w:hint="eastAsia" w:ascii="宋体" w:hAnsi="宋体" w:eastAsia="宋体" w:cs="宋体"/>
          <w:szCs w:val="21"/>
        </w:rPr>
        <w:t>%，其中以石油、石化、通信、煤炭、交通运输和电力系统为主的</w:t>
      </w:r>
      <w:r>
        <w:rPr>
          <w:rFonts w:hint="eastAsia" w:ascii="Calibri" w:hAnsi="Calibri" w:eastAsia="宋体" w:cs="宋体"/>
          <w:szCs w:val="21"/>
        </w:rPr>
        <w:t>12</w:t>
      </w:r>
      <w:r>
        <w:rPr>
          <w:rFonts w:hint="eastAsia" w:ascii="宋体" w:hAnsi="宋体" w:eastAsia="宋体" w:cs="宋体"/>
          <w:szCs w:val="21"/>
        </w:rPr>
        <w:t xml:space="preserve"> 家垄断企业的利润超过了</w:t>
      </w:r>
      <w:r>
        <w:rPr>
          <w:rFonts w:hint="eastAsia" w:ascii="Calibri" w:hAnsi="Calibri" w:eastAsia="宋体" w:cs="宋体"/>
          <w:szCs w:val="21"/>
        </w:rPr>
        <w:t>100</w:t>
      </w:r>
      <w:r>
        <w:rPr>
          <w:rFonts w:hint="eastAsia" w:ascii="宋体" w:hAnsi="宋体" w:eastAsia="宋体" w:cs="宋体"/>
          <w:szCs w:val="21"/>
        </w:rPr>
        <w:t xml:space="preserve"> 亿元，囊括了中央企业总利润的</w:t>
      </w:r>
      <w:r>
        <w:rPr>
          <w:rFonts w:hint="eastAsia" w:ascii="Calibri" w:hAnsi="Calibri" w:eastAsia="宋体" w:cs="宋体"/>
          <w:szCs w:val="21"/>
        </w:rPr>
        <w:t>78</w:t>
      </w:r>
      <w:r>
        <w:rPr>
          <w:rFonts w:hint="eastAsia" w:ascii="宋体" w:hAnsi="宋体" w:eastAsia="宋体" w:cs="宋体"/>
          <w:szCs w:val="21"/>
        </w:rPr>
        <w:t>.</w:t>
      </w:r>
      <w:r>
        <w:rPr>
          <w:rFonts w:hint="eastAsia" w:ascii="Calibri" w:hAnsi="Calibri" w:eastAsia="宋体" w:cs="宋体"/>
          <w:szCs w:val="21"/>
        </w:rPr>
        <w:t>8</w:t>
      </w:r>
      <w:r>
        <w:rPr>
          <w:rFonts w:hint="eastAsia" w:ascii="宋体" w:hAnsi="宋体" w:eastAsia="宋体" w:cs="宋体"/>
          <w:szCs w:val="21"/>
        </w:rPr>
        <w:t>%。陆正飞、王雄元和张鹏（</w:t>
      </w:r>
      <w:r>
        <w:rPr>
          <w:rFonts w:hint="eastAsia" w:ascii="Calibri" w:hAnsi="Calibri" w:eastAsia="宋体" w:cs="宋体"/>
          <w:szCs w:val="21"/>
        </w:rPr>
        <w:t>2012</w:t>
      </w:r>
      <w:r>
        <w:rPr>
          <w:rFonts w:hint="eastAsia" w:ascii="宋体" w:hAnsi="宋体" w:eastAsia="宋体" w:cs="宋体"/>
          <w:szCs w:val="21"/>
        </w:rPr>
        <w:t>）以</w:t>
      </w:r>
      <w:r>
        <w:rPr>
          <w:rFonts w:hint="eastAsia" w:ascii="Calibri" w:hAnsi="Calibri" w:eastAsia="宋体" w:cs="宋体"/>
          <w:szCs w:val="21"/>
        </w:rPr>
        <w:t>1999</w:t>
      </w:r>
      <w:r>
        <w:rPr>
          <w:rFonts w:hint="eastAsia" w:ascii="宋体" w:hAnsi="宋体" w:eastAsia="宋体" w:cs="宋体"/>
          <w:szCs w:val="21"/>
        </w:rPr>
        <w:t>—</w:t>
      </w:r>
      <w:r>
        <w:rPr>
          <w:rFonts w:hint="eastAsia" w:ascii="Calibri" w:hAnsi="Calibri" w:eastAsia="宋体" w:cs="宋体"/>
          <w:szCs w:val="21"/>
        </w:rPr>
        <w:t>2009</w:t>
      </w:r>
      <w:r>
        <w:rPr>
          <w:rFonts w:hint="eastAsia" w:ascii="宋体" w:hAnsi="宋体" w:eastAsia="宋体" w:cs="宋体"/>
          <w:szCs w:val="21"/>
        </w:rPr>
        <w:t xml:space="preserve"> 年间我国</w:t>
      </w:r>
      <w:r>
        <w:rPr>
          <w:rFonts w:hint="eastAsia" w:ascii="Calibri" w:hAnsi="Calibri" w:eastAsia="宋体" w:cs="宋体"/>
          <w:szCs w:val="21"/>
        </w:rPr>
        <w:t>A</w:t>
      </w:r>
      <w:r>
        <w:rPr>
          <w:rFonts w:hint="eastAsia" w:ascii="宋体" w:hAnsi="宋体" w:eastAsia="宋体" w:cs="宋体"/>
          <w:szCs w:val="21"/>
        </w:rPr>
        <w:t xml:space="preserve"> 股上市企业为样本，在控制了行政垄断、企业规模和职工教育背景等因素的情况下，发现国有企业支付了更高的职工工资。而且与非国有企业相比，国有企业普通职工工资显著更高。此外，国有企业劳动用工具有显著的“二元结构”，即体制内职工和劳务派遣员工二元分立，两类员工群体的入职途径不同，在薪酬、劳动保障、社会地位等诸多方面相差甚远。尤其在企业基层，两类员工常常从事着同样的工作，收入差距却十分巨大，产生了“同工不同酬”的怪相。</w:t>
      </w:r>
    </w:p>
    <w:p>
      <w:pPr>
        <w:ind w:firstLine="420"/>
        <w:rPr>
          <w:rFonts w:hint="eastAsia" w:ascii="宋体" w:hAnsi="宋体" w:eastAsia="宋体" w:cs="宋体"/>
          <w:szCs w:val="21"/>
        </w:rPr>
      </w:pPr>
      <w:r>
        <w:rPr>
          <w:rFonts w:hint="eastAsia" w:ascii="宋体" w:hAnsi="宋体" w:eastAsia="宋体" w:cs="宋体"/>
          <w:szCs w:val="21"/>
        </w:rPr>
        <w:t>最后，在国有企业员工收入分配改革过程中，我们同样需要警惕可能会出现的过度重视效率而忽视公平的问题，出现收入分配差距拉大，劳动者权利保障缺失，加班成风等“过犹不及”的问题。国有企业员工收入分配必须体现“按劳分配”原则，坚持按劳分配为主，多种所有分配方式并存的基本分配制度。完全倒向按要素进行分配，既不符合收入分配公平的要求，也严重偏离了国有企业的所有制性质。</w:t>
      </w:r>
    </w:p>
    <w:p>
      <w:pPr>
        <w:spacing w:before="156" w:beforeLines="50" w:after="156" w:afterLines="50" w:line="360" w:lineRule="auto"/>
        <w:jc w:val="center"/>
        <w:rPr>
          <w:rFonts w:ascii="宋体" w:hAnsi="宋体" w:eastAsia="宋体" w:cs="宋体"/>
          <w:sz w:val="24"/>
          <w:szCs w:val="24"/>
        </w:rPr>
      </w:pPr>
      <w:r>
        <w:rPr>
          <w:rFonts w:hint="eastAsia" w:ascii="宋体" w:hAnsi="宋体" w:eastAsia="宋体" w:cs="宋体"/>
          <w:sz w:val="24"/>
          <w:szCs w:val="24"/>
          <w:lang w:val="en-US" w:eastAsia="zh-CN"/>
        </w:rPr>
        <w:t>三</w:t>
      </w:r>
      <w:r>
        <w:rPr>
          <w:rFonts w:hint="eastAsia" w:ascii="宋体" w:hAnsi="宋体" w:eastAsia="宋体" w:cs="宋体"/>
          <w:sz w:val="24"/>
          <w:szCs w:val="24"/>
        </w:rPr>
        <w:t>、国有企业员工</w:t>
      </w:r>
      <w:r>
        <w:rPr>
          <w:rFonts w:hint="eastAsia" w:ascii="宋体" w:hAnsi="宋体" w:eastAsia="宋体" w:cs="宋体"/>
          <w:sz w:val="24"/>
          <w:szCs w:val="24"/>
          <w:lang w:val="en-US" w:eastAsia="zh-CN"/>
        </w:rPr>
        <w:t>薪酬</w:t>
      </w:r>
      <w:r>
        <w:rPr>
          <w:rFonts w:hint="eastAsia" w:ascii="宋体" w:hAnsi="宋体" w:eastAsia="宋体" w:cs="宋体"/>
          <w:sz w:val="24"/>
          <w:szCs w:val="24"/>
        </w:rPr>
        <w:t>的政治经济学分析</w:t>
      </w:r>
    </w:p>
    <w:p>
      <w:pPr>
        <w:ind w:firstLine="420"/>
        <w:rPr>
          <w:rFonts w:ascii="Calibri" w:hAnsi="Calibri" w:eastAsia="宋体" w:cs="宋体"/>
          <w:szCs w:val="21"/>
        </w:rPr>
      </w:pPr>
      <w:r>
        <w:rPr>
          <w:rFonts w:hint="eastAsia" w:ascii="Calibri" w:hAnsi="Calibri" w:eastAsia="宋体" w:cs="宋体"/>
          <w:szCs w:val="21"/>
          <w:lang w:val="en-US" w:eastAsia="zh-CN"/>
        </w:rPr>
        <w:t>当前</w:t>
      </w:r>
      <w:r>
        <w:rPr>
          <w:rFonts w:hint="eastAsia" w:ascii="Calibri" w:hAnsi="Calibri" w:eastAsia="宋体" w:cs="宋体"/>
          <w:szCs w:val="21"/>
        </w:rPr>
        <w:t>中国的基本分配制度是按劳分配为主体、多种分配方式并存，这是由我国的社会主义初级阶段基本国情，和坚持和完善公有制为主体、多种所有制经济共同发展的经济制度决定的。国有企业作为公有制经济的重要组成部分，按照其所有制性质，理应实行按劳分配。</w:t>
      </w:r>
      <w:r>
        <w:rPr>
          <w:rFonts w:ascii="Calibri" w:hAnsi="Calibri" w:eastAsia="宋体" w:cs="宋体"/>
          <w:szCs w:val="21"/>
        </w:rPr>
        <w:t>按劳分配是分配个人消费品的社会主义原则，即在</w:t>
      </w:r>
      <w:r>
        <w:rPr>
          <w:rFonts w:hint="eastAsia" w:ascii="Calibri" w:hAnsi="Calibri" w:eastAsia="宋体" w:cs="宋体"/>
          <w:szCs w:val="21"/>
        </w:rPr>
        <w:t>生产资料社会主义公有制</w:t>
      </w:r>
      <w:r>
        <w:rPr>
          <w:rFonts w:ascii="Calibri" w:hAnsi="Calibri" w:eastAsia="宋体" w:cs="宋体"/>
          <w:szCs w:val="21"/>
        </w:rPr>
        <w:t>条件下，对</w:t>
      </w:r>
      <w:r>
        <w:rPr>
          <w:rFonts w:hint="eastAsia" w:ascii="Calibri" w:hAnsi="Calibri" w:eastAsia="宋体" w:cs="宋体"/>
          <w:szCs w:val="21"/>
        </w:rPr>
        <w:t>社会总产品</w:t>
      </w:r>
      <w:r>
        <w:rPr>
          <w:rFonts w:ascii="Calibri" w:hAnsi="Calibri" w:eastAsia="宋体" w:cs="宋体"/>
          <w:szCs w:val="21"/>
        </w:rPr>
        <w:t>作各项必要的社会扣除以后，按照个人提供给社会的劳动的数量和质量分配个人消费品。</w:t>
      </w:r>
      <w:r>
        <w:rPr>
          <w:rFonts w:hint="eastAsia" w:ascii="Calibri" w:hAnsi="Calibri" w:eastAsia="宋体" w:cs="宋体"/>
          <w:szCs w:val="21"/>
        </w:rPr>
        <w:t>在中国特色社会主义市场经济体制下，企业是参与市场经济运行的主体，那么国有企业的按劳分配原则，应该体现为</w:t>
      </w:r>
      <w:r>
        <w:rPr>
          <w:rFonts w:ascii="Calibri" w:hAnsi="Calibri" w:eastAsia="宋体" w:cs="宋体"/>
          <w:szCs w:val="21"/>
        </w:rPr>
        <w:t>对</w:t>
      </w:r>
      <w:r>
        <w:rPr>
          <w:rFonts w:hint="eastAsia" w:ascii="Calibri" w:hAnsi="Calibri" w:eastAsia="宋体" w:cs="宋体"/>
          <w:szCs w:val="21"/>
        </w:rPr>
        <w:t>国有企业所得新价值</w:t>
      </w:r>
      <w:r>
        <w:rPr>
          <w:rFonts w:ascii="Calibri" w:hAnsi="Calibri" w:eastAsia="宋体" w:cs="宋体"/>
          <w:szCs w:val="21"/>
        </w:rPr>
        <w:t>作各项必要的扣除以后，按照</w:t>
      </w:r>
      <w:r>
        <w:rPr>
          <w:rFonts w:hint="eastAsia" w:ascii="Calibri" w:hAnsi="Calibri" w:eastAsia="宋体" w:cs="宋体"/>
          <w:szCs w:val="21"/>
        </w:rPr>
        <w:t>员工</w:t>
      </w:r>
      <w:r>
        <w:rPr>
          <w:rFonts w:ascii="Calibri" w:hAnsi="Calibri" w:eastAsia="宋体" w:cs="宋体"/>
          <w:szCs w:val="21"/>
        </w:rPr>
        <w:t>提供给</w:t>
      </w:r>
      <w:r>
        <w:rPr>
          <w:rFonts w:hint="eastAsia" w:ascii="Calibri" w:hAnsi="Calibri" w:eastAsia="宋体" w:cs="宋体"/>
          <w:szCs w:val="21"/>
        </w:rPr>
        <w:t>国有企业</w:t>
      </w:r>
      <w:r>
        <w:rPr>
          <w:rFonts w:ascii="Calibri" w:hAnsi="Calibri" w:eastAsia="宋体" w:cs="宋体"/>
          <w:szCs w:val="21"/>
        </w:rPr>
        <w:t>的劳动的数量和质量分配</w:t>
      </w:r>
      <w:r>
        <w:rPr>
          <w:rFonts w:hint="eastAsia" w:ascii="Calibri" w:hAnsi="Calibri" w:eastAsia="宋体" w:cs="宋体"/>
          <w:szCs w:val="21"/>
        </w:rPr>
        <w:t>收入</w:t>
      </w:r>
      <w:r>
        <w:rPr>
          <w:rFonts w:ascii="Calibri" w:hAnsi="Calibri" w:eastAsia="宋体" w:cs="宋体"/>
          <w:szCs w:val="21"/>
        </w:rPr>
        <w:t>。</w:t>
      </w:r>
      <w:r>
        <w:rPr>
          <w:rFonts w:hint="eastAsia" w:ascii="Calibri" w:hAnsi="Calibri" w:eastAsia="宋体" w:cs="宋体"/>
          <w:szCs w:val="21"/>
        </w:rPr>
        <w:t>按劳分配原则要求我们准确衡量每个劳动者付出的劳动时间、劳动强度和自乘系数，但在现实世界中，这些因素是难以实际测量的，这就导致对企业员工在按劳分配原则下应得收入的计算是困难的。尤其在以企业为主体参与市场活动的情况下，企业员工的收入往往受市场配置机制、所在企业的实际发展状况、法律法规等因素的影响。此外，在收入多样化的今天，企业员工凭借劳动获得的收入不仅仅体现在工资收入上，而且体现在岗位福利、劳动权益保障、退休津贴、社会地位等诸多方面，因此要准确衡量企业员工的实得收入也是困难的。</w:t>
      </w:r>
    </w:p>
    <w:p>
      <w:pPr>
        <w:ind w:firstLine="420"/>
        <w:rPr>
          <w:rFonts w:hint="eastAsia" w:ascii="Calibri" w:hAnsi="Calibri" w:eastAsia="宋体" w:cs="宋体"/>
          <w:szCs w:val="21"/>
        </w:rPr>
      </w:pPr>
      <w:r>
        <w:rPr>
          <w:rFonts w:hint="eastAsia" w:ascii="Calibri" w:hAnsi="Calibri" w:eastAsia="宋体" w:cs="宋体"/>
          <w:szCs w:val="21"/>
        </w:rPr>
        <w:t>那么，在国有企业员工的应得收入和实得收入都难以准确测算的情况下，我们应该如何在收入分配中体现按劳分配原则呢？较为可行的方式是调整国有企业员工之间、国有企业员工和其他企业员工之间的收入比例，使得收入分配体现有效率的公平正义原则，即多劳多得，少劳少得，不劳不得。这样既符合按劳分配的基本内涵，又适应了社会生产力的实际发展水平，同时还可以规避直接测算的复杂性。</w:t>
      </w:r>
    </w:p>
    <w:p>
      <w:pPr>
        <w:ind w:firstLine="420"/>
        <w:rPr>
          <w:rFonts w:ascii="宋体" w:hAnsi="宋体" w:eastAsia="宋体" w:cs="宋体"/>
          <w:szCs w:val="21"/>
        </w:rPr>
      </w:pPr>
      <w:r>
        <w:rPr>
          <w:rFonts w:hint="eastAsia" w:ascii="Calibri" w:hAnsi="Calibri" w:eastAsia="宋体" w:cs="宋体"/>
          <w:szCs w:val="21"/>
        </w:rPr>
        <w:t>不同于以企业剩余最大化为目标的私有制企业，国有企业的经营目标具有多样性，不仅有逆周期稳定国家宏观经济运行、提供社会需要的公共品和公益品等功能，而且有提供就业岗位、保障劳动者权益、引导产品、就业市场健康有序竞争等社会义务。国有企业目标的多元性和社会性，为国有企业员工在社会生产力水平还未高度发达的当下，率先实现收入按劳分配提供了可能。</w:t>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w:t>
      </w:r>
      <w:r>
        <w:rPr>
          <w:rFonts w:hint="eastAsia" w:ascii="宋体" w:hAnsi="宋体" w:eastAsia="宋体" w:cs="宋体"/>
          <w:sz w:val="24"/>
          <w:szCs w:val="24"/>
        </w:rPr>
        <w:t>、</w:t>
      </w:r>
      <w:r>
        <w:rPr>
          <w:rFonts w:hint="eastAsia" w:ascii="宋体" w:hAnsi="宋体" w:eastAsia="宋体" w:cs="宋体"/>
          <w:sz w:val="24"/>
          <w:szCs w:val="24"/>
          <w:lang w:val="en-US" w:eastAsia="zh-CN"/>
        </w:rPr>
        <w:t>当前研究的不足</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现有关于国有企业员工</w:t>
      </w:r>
      <w:r>
        <w:rPr>
          <w:rFonts w:hint="eastAsia" w:ascii="宋体" w:hAnsi="宋体" w:eastAsia="宋体" w:cs="宋体"/>
          <w:szCs w:val="21"/>
          <w:lang w:val="en-US" w:eastAsia="zh-CN"/>
        </w:rPr>
        <w:t>薪酬制度</w:t>
      </w:r>
      <w:r>
        <w:rPr>
          <w:rFonts w:hint="eastAsia" w:ascii="宋体" w:hAnsi="宋体" w:eastAsia="宋体" w:cs="宋体"/>
          <w:szCs w:val="21"/>
        </w:rPr>
        <w:t>改革的研究，主要有一下几个方面的不足：</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第一，许多学者及其研究将收入分配问题视作国有企业所有制结构、治理结构的副产物，缺少直接针对收入分配机制的改革研究。导致在公平与效率的天平上，不断将砝码放置于效率一侧。在增量改革中，效率与公平的矛盾并不激烈，效率的提升可以提高所有人的实际生活水平，从而淡化公平问题；但在存量改革中，效率与公平的矛盾会不断加剧，此时再将收入分配问题作为效率问题的副产物显然是不合理的。卫兴华（</w:t>
      </w:r>
      <w:r>
        <w:rPr>
          <w:rFonts w:hint="eastAsia" w:ascii="Calibri" w:hAnsi="Calibri" w:eastAsia="宋体" w:cs="宋体"/>
          <w:szCs w:val="21"/>
        </w:rPr>
        <w:t>2017</w:t>
      </w:r>
      <w:r>
        <w:rPr>
          <w:rFonts w:hint="eastAsia" w:ascii="宋体" w:hAnsi="宋体" w:eastAsia="宋体" w:cs="宋体"/>
          <w:szCs w:val="21"/>
        </w:rPr>
        <w:t>）主张效率与公平应该并重，生产重效率，分配重公平。他指出，在生产领域，讲效率优先没错，应是优先于产值和速度，但不能错位地优先于分配领域的公平。</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本文在遵循卫兴华的观点的基础上，将收入分配改革划分为效率主导型收入分配改革和公平主导型收入分配改革，且两者在本质上不存在矛盾。效率主导型收入分配改革专注于员工的收入激励机制，重点在于将国有企业治理效率与员工收入分配进行捆绑，使企业与员工的利益趋于一致，从根本上来说，效率主导型收入分配改革研究的是收入分配形式的问题，即是以绩效工资形式、股权形式，还是退休津贴等其他形式发放的问题。而公平主导型收入分配改革则专注于收入分配量的问题，这里的量不仅是指员工个人收入的绝对量的问题，而是不同群体间收入的相对量的问题。由此，可以将公平主导型收入分配问题大体分为三类，一是不同企业，同层级、同类型劳动者间的收入分配问题，本文称为横向收入分配问题；二是同个企业内，不同层级、不同类型劳动者的收入分配问题，本文称为纵向收入分配问题；三是劳动者群体在不同时期获得的实际收入的增长实现问题。前两类收入分配问题主要研究收入的相对量问题，是狭义的公平主导型收入分配问题。而广义的公平主导型收入分配问题还应包括第三类收入分配问题，即收入的绝对量的问题，因为随着社会生产率的不断提高，员工创造的总价值会不断提高，且伴随着中国特色社会主义不断发展，按劳分配的比重在较长的历史阶段上应该呈现向上的趋势。因次，作为价值的创造者，企业员工的实际收入随着时间增长是公平合理的，是一种更高层次的公平分配追求。</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第二，没有区分国有企业在产品市场和要素市场上的不同处境。在国有企业改革前，竞争性国有企业由于具有软预算约束、特殊绩效考评机制等特点，缺乏生产运营效率，导致在产品市场上与私有企业相比缺乏竞争性；但是在要素市场，尤其是劳动力市场上，情况截然相反，国有企业具有员工薪资稳定、劳动者权利保障完善、辞退风险低等诸多优势，在相当长的时间，尤其是在宏观经济形势严峻时期，和私有企业相比具有显著的竞争力。</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第三，对国有企业收入分配问题的认识局限于部分国有企业、尤其是垄断性国有企业员工薪资过高的问题上，缺少对薪资为什么“过高的剖析”。本文将国有企业员工显著高于私有企业员工的薪资称为“超额薪资”，这部分“超额薪资”包括两部分，一部分是国有企业由于缺少成本意识，凭借垄断地位分配给员工的超额的不合理的收入，这也是大多数学者的共识，但另一部分却被许多学者忽略。所谓“市场化”的私有企业的员工薪酬受按生产要素进行分配的分配方式的制约，没有得到按劳分配原则下应得的收入，这也是“同工不同酬”的部分原因。这部分“被剥削”的收入，就构成了国有企业员工“超额薪资”的另一部分，这是正当合理的，不仅应该受到保护，而且应该进行推广。</w:t>
      </w:r>
    </w:p>
    <w:p>
      <w:pP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第四，没有考虑国有企业不同于私有企业的特殊身份。国有企业是社会主义公有制经济的重要构成，在我国社会经济中起主导地位，控制着整个国民经济的发展方向。在收入分配改革中，国有企业不仅要改善国有企业内员工的收入分配格局，还应该承担起改善全社会劳动者劳动状况的社会责任，即推动整个社会的劳动力市场向前发展，在保障劳动者权利、缩小收入差距、减少过度加班等方面有所进步。</w:t>
      </w:r>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五</w:t>
      </w:r>
      <w:r>
        <w:rPr>
          <w:rFonts w:hint="eastAsia" w:ascii="宋体" w:hAnsi="宋体" w:eastAsia="宋体" w:cs="宋体"/>
          <w:sz w:val="24"/>
          <w:szCs w:val="24"/>
        </w:rPr>
        <w:t>、</w:t>
      </w:r>
      <w:r>
        <w:rPr>
          <w:rFonts w:hint="eastAsia" w:ascii="宋体" w:hAnsi="宋体" w:eastAsia="宋体" w:cs="宋体"/>
          <w:sz w:val="24"/>
          <w:szCs w:val="24"/>
          <w:lang w:val="en-US" w:eastAsia="zh-CN"/>
        </w:rPr>
        <w:t>政策建议</w:t>
      </w:r>
    </w:p>
    <w:p>
      <w:pPr>
        <w:ind w:firstLine="420"/>
        <w:rPr>
          <w:rFonts w:ascii="宋体" w:hAnsi="宋体" w:eastAsia="宋体" w:cs="宋体"/>
          <w:szCs w:val="21"/>
        </w:rPr>
      </w:pPr>
      <w:r>
        <w:rPr>
          <w:rFonts w:hint="eastAsia" w:ascii="宋体" w:hAnsi="宋体" w:eastAsia="宋体" w:cs="宋体"/>
          <w:szCs w:val="21"/>
        </w:rPr>
        <w:t>国有企业员工收入分配改革首要的是明确改革目标，根据具体实际需要采取合理有效的收入分配改革方式。对于治理效率低下或仍处于快速扩张发展期的国有企业应该侧重效率主导型收入分配改革，辅以公平主导型收入分配改革；对于收入分配失衡或处于稳健增长发展期的国有企业应该侧重公平主导型收入分配改革，辅以效率主导型收入分配改革。以浙江省为例，浙江省作为共同富裕示范区，改革的重点在于实现全省人民共同富裕，而浙江省生产力发展水平位居全国前列，民营经济高度繁荣，国有经济稳健发展。因次，浙江省国有企业在员工收入分配改革中理应侧重公平主导型收入分配改革，兼顾效率主导型收入分配改革，这不仅适应浙江省国有企业发展的总体状况，而且可以发挥国有企业的示范作用，推动全社会收入分配公平化，早日实现共同富裕。</w:t>
      </w:r>
    </w:p>
    <w:p>
      <w:pPr>
        <w:ind w:firstLine="420"/>
        <w:rPr>
          <w:rFonts w:ascii="宋体" w:hAnsi="宋体" w:eastAsia="宋体" w:cs="宋体"/>
          <w:szCs w:val="21"/>
        </w:rPr>
      </w:pPr>
      <w:r>
        <w:rPr>
          <w:rFonts w:hint="eastAsia" w:ascii="宋体" w:hAnsi="宋体" w:eastAsia="宋体" w:cs="宋体"/>
          <w:szCs w:val="21"/>
        </w:rPr>
        <w:t>其次，国有企业在员工收入分配改革中应该抓住透明性和流动性两个关键点。透明性不仅包括招聘要求和流程的透明化，而且包括收入决定机制和劳动福利的透明化。招聘要求和流程的透明化，可以有效打击“关系户”、“萝卜坑”等招聘不公现象，进而减少由员工背景导致的收入分配不公平、不合理现象。收入决定机制和劳动福利的透明化具体包括：</w:t>
      </w:r>
      <w:r>
        <w:rPr>
          <w:rFonts w:hint="eastAsia" w:ascii="Calibri" w:hAnsi="Calibri" w:eastAsia="宋体" w:cs="宋体"/>
          <w:szCs w:val="21"/>
        </w:rPr>
        <w:t>1</w:t>
      </w:r>
      <w:r>
        <w:rPr>
          <w:rFonts w:hint="eastAsia" w:ascii="宋体" w:hAnsi="宋体" w:eastAsia="宋体" w:cs="宋体"/>
          <w:szCs w:val="21"/>
        </w:rPr>
        <w:t>、工作激励、收入奖惩机制透明化、明确化，下到基层员工，上到企业高管，都应该有明确的工资决定机制，并进行公示——一方面，充分肯定合理的收入差异，另一方面可以有效约束管理者、代理人的分配权力；</w:t>
      </w:r>
      <w:r>
        <w:rPr>
          <w:rFonts w:hint="eastAsia" w:ascii="Calibri" w:hAnsi="Calibri" w:eastAsia="宋体" w:cs="宋体"/>
          <w:szCs w:val="21"/>
        </w:rPr>
        <w:t>2</w:t>
      </w:r>
      <w:r>
        <w:rPr>
          <w:rFonts w:hint="eastAsia" w:ascii="宋体" w:hAnsi="宋体" w:eastAsia="宋体" w:cs="宋体"/>
          <w:szCs w:val="21"/>
        </w:rPr>
        <w:t>、对最终收入及构成进行公示，一方面，可以加强企业员工自我监督和外界的监督，有效打击灰色收入；另一方面，有效激励企业员工，提高工作效率，间接提高收入。流动性就是保证国有企业雇佣关系的进入和退出通道畅通，既保证国有企业员工依法依规退出国有企业的通道畅通，也保证非国有企业员工依法依规进入国有企业的通道畅通，减少人为设置的不必要的雇佣障碍。充分利用市场有效资源配置的作用，在产品市场上竞争市场化的同时，推动在要素市场上的市场化，降低劳动者在国有企业和私有企业间“跳槽”的门槛和成本，尤其是减少从私有企业向国有企业跳槽的限制。减少劳动者“跳槽”成本可以促使劳动者在市场机制的作用下用脚投票，进入可以提高自己收入水平和劳动福利的工作岗位，从而在劳动者个体总效用提高的同时，就业单位也会由于竞争压力不断提高员工待遇，进而在劳动者群体内实现一种帕累托改进。</w:t>
      </w:r>
    </w:p>
    <w:p>
      <w:pPr>
        <w:ind w:firstLine="420"/>
        <w:rPr>
          <w:rFonts w:ascii="宋体" w:hAnsi="宋体" w:eastAsia="宋体" w:cs="宋体"/>
          <w:szCs w:val="21"/>
        </w:rPr>
      </w:pPr>
      <w:r>
        <w:rPr>
          <w:rFonts w:hint="eastAsia" w:ascii="宋体" w:hAnsi="宋体" w:eastAsia="宋体" w:cs="宋体"/>
          <w:szCs w:val="21"/>
        </w:rPr>
        <w:t>国有企业员工收入分配改革还应该承担起改善全社会劳动者权利保障的社会责任。国有企业不是一般性的营利性企业，还应充当“共同富裕示范区”建设的排头兵，而“共同富裕示范区”的目标之一，就是要保障劳动者各项合法合理权利，促进收入分配公平。而国有企业相比于劳动力市场中的大多数私有企业，具有劳动力权利保障到位，收入分配体现“按劳分配”原则的优势，竞争性国有企业应该充分利用“鲇鱼效应”，薪酬决定市场化的同时，利用国有企业的出色的劳动者权利保障机制，倒逼劳动力市场中部分私有企业改善雇佣劳动者工作条件和权利保障，产生“鲇鱼效应”，让国有企业成为劳动力市场中的“鲇鱼”。</w:t>
      </w:r>
    </w:p>
    <w:p>
      <w:pPr>
        <w:numPr>
          <w:ilvl w:val="0"/>
          <w:numId w:val="0"/>
        </w:numPr>
        <w:ind w:firstLine="420" w:firstLineChars="0"/>
        <w:rPr>
          <w:rFonts w:hint="default" w:ascii="宋体" w:hAnsi="宋体" w:eastAsia="宋体" w:cs="宋体"/>
          <w:szCs w:val="21"/>
          <w:lang w:val="en-US" w:eastAsia="zh-CN"/>
        </w:rPr>
      </w:pPr>
    </w:p>
    <w:p>
      <w:pPr>
        <w:rPr>
          <w:rFonts w:ascii="黑体" w:hAnsi="黑体" w:eastAsia="黑体" w:cs="黑体"/>
          <w:b/>
          <w:bCs/>
          <w:szCs w:val="21"/>
        </w:rPr>
      </w:pPr>
      <w:r>
        <w:rPr>
          <w:rFonts w:hint="eastAsia" w:ascii="黑体" w:hAnsi="黑体" w:eastAsia="黑体" w:cs="黑体"/>
          <w:b/>
          <w:bCs/>
          <w:szCs w:val="21"/>
        </w:rPr>
        <w:t>参考文献</w:t>
      </w:r>
    </w:p>
    <w:p>
      <w:pPr>
        <w:ind w:firstLine="420"/>
        <w:jc w:val="left"/>
        <w:rPr>
          <w:rFonts w:ascii="宋体" w:hAnsi="宋体" w:eastAsia="宋体" w:cs="宋体"/>
          <w:szCs w:val="21"/>
        </w:rPr>
      </w:pPr>
      <w:r>
        <w:rPr>
          <w:rFonts w:hint="eastAsia" w:ascii="宋体" w:hAnsi="宋体" w:eastAsia="宋体" w:cs="宋体"/>
          <w:szCs w:val="21"/>
        </w:rPr>
        <w:t>沈红波、华凌昊、许基集，2018：《国有企业实施员工持股计划的经营绩效:激励相容还是激励不》，《管理世界》第11期。</w:t>
      </w:r>
    </w:p>
    <w:p>
      <w:pPr>
        <w:ind w:firstLine="420"/>
        <w:jc w:val="left"/>
        <w:rPr>
          <w:rFonts w:ascii="宋体" w:hAnsi="宋体" w:eastAsia="宋体" w:cs="宋体"/>
          <w:szCs w:val="21"/>
        </w:rPr>
      </w:pPr>
      <w:r>
        <w:rPr>
          <w:rFonts w:hint="eastAsia" w:ascii="宋体" w:hAnsi="宋体" w:eastAsia="宋体" w:cs="宋体"/>
          <w:szCs w:val="21"/>
        </w:rPr>
        <w:t>廖冠民、沈红波，2014：《国有企业的政策性负担:动因、后果及治理》，《中国工业经济》第6期。</w:t>
      </w:r>
    </w:p>
    <w:p>
      <w:pPr>
        <w:ind w:firstLine="420"/>
        <w:jc w:val="left"/>
        <w:rPr>
          <w:rFonts w:hint="eastAsia" w:ascii="宋体" w:hAnsi="宋体" w:eastAsia="宋体" w:cs="宋体"/>
          <w:szCs w:val="21"/>
        </w:rPr>
      </w:pPr>
      <w:r>
        <w:rPr>
          <w:rFonts w:ascii="宋体" w:hAnsi="宋体" w:eastAsia="宋体" w:cs="宋体"/>
          <w:szCs w:val="21"/>
        </w:rPr>
        <w:t>刘元春</w:t>
      </w:r>
      <w:r>
        <w:rPr>
          <w:rFonts w:hint="eastAsia" w:ascii="宋体" w:hAnsi="宋体" w:eastAsia="宋体" w:cs="宋体"/>
          <w:szCs w:val="21"/>
        </w:rPr>
        <w:t>，2001：《</w:t>
      </w:r>
      <w:r>
        <w:rPr>
          <w:rFonts w:ascii="宋体" w:hAnsi="宋体" w:eastAsia="宋体" w:cs="宋体"/>
          <w:szCs w:val="21"/>
        </w:rPr>
        <w:t>国有企业宏观效率论——理论及其验证</w:t>
      </w:r>
      <w:r>
        <w:rPr>
          <w:rFonts w:hint="eastAsia" w:ascii="宋体" w:hAnsi="宋体" w:eastAsia="宋体" w:cs="宋体"/>
          <w:szCs w:val="21"/>
        </w:rPr>
        <w:t>》，</w:t>
      </w:r>
      <w:r>
        <w:rPr>
          <w:rFonts w:ascii="宋体" w:hAnsi="宋体" w:eastAsia="宋体" w:cs="宋体"/>
          <w:szCs w:val="21"/>
        </w:rPr>
        <w:t>中国社会科学</w:t>
      </w:r>
      <w:r>
        <w:rPr>
          <w:rFonts w:hint="eastAsia" w:ascii="宋体" w:hAnsi="宋体" w:eastAsia="宋体" w:cs="宋体"/>
          <w:szCs w:val="21"/>
        </w:rPr>
        <w:t>第5期</w:t>
      </w:r>
    </w:p>
    <w:p>
      <w:pPr>
        <w:ind w:firstLine="420"/>
        <w:jc w:val="left"/>
        <w:rPr>
          <w:rFonts w:ascii="宋体" w:hAnsi="宋体" w:eastAsia="宋体" w:cs="宋体"/>
          <w:szCs w:val="21"/>
        </w:rPr>
      </w:pPr>
      <w:r>
        <w:rPr>
          <w:rFonts w:hint="eastAsia" w:ascii="宋体" w:hAnsi="宋体" w:eastAsia="宋体" w:cs="宋体"/>
          <w:szCs w:val="21"/>
        </w:rPr>
        <w:t>陆正飞、王雄元、张鹏，《国有企业支付了更高的职工工资吗》，《经济研究》第3期。</w:t>
      </w:r>
    </w:p>
    <w:p>
      <w:pPr>
        <w:ind w:firstLine="420"/>
        <w:jc w:val="left"/>
        <w:rPr>
          <w:rFonts w:ascii="宋体" w:hAnsi="宋体" w:eastAsia="宋体" w:cs="宋体"/>
          <w:szCs w:val="21"/>
        </w:rPr>
      </w:pPr>
      <w:r>
        <w:rPr>
          <w:rFonts w:hint="eastAsia" w:ascii="宋体" w:hAnsi="宋体" w:eastAsia="宋体" w:cs="宋体"/>
          <w:szCs w:val="21"/>
        </w:rPr>
        <w:t>苏文帅，2014：《期待劳务派遣工“同工同酬”》,《工人日报》第3期。</w:t>
      </w:r>
    </w:p>
    <w:p>
      <w:pPr>
        <w:ind w:firstLine="420"/>
        <w:jc w:val="left"/>
        <w:rPr>
          <w:rFonts w:ascii="宋体" w:hAnsi="宋体" w:eastAsia="宋体" w:cs="宋体"/>
          <w:szCs w:val="21"/>
        </w:rPr>
      </w:pPr>
      <w:r>
        <w:rPr>
          <w:rFonts w:hint="eastAsia" w:ascii="宋体" w:hAnsi="宋体" w:eastAsia="宋体" w:cs="宋体"/>
          <w:szCs w:val="21"/>
        </w:rPr>
        <w:t>辛清泉、谭伟强，2009：《市场化改革、企业业绩与国有企业经理薪酬》，《经济研究》</w:t>
      </w:r>
    </w:p>
    <w:p>
      <w:pPr>
        <w:ind w:left="420" w:leftChars="200"/>
        <w:jc w:val="left"/>
        <w:rPr>
          <w:rFonts w:ascii="宋体" w:hAnsi="宋体" w:eastAsia="宋体" w:cs="宋体"/>
          <w:szCs w:val="21"/>
        </w:rPr>
      </w:pPr>
      <w:r>
        <w:rPr>
          <w:rFonts w:hint="eastAsia" w:ascii="宋体" w:hAnsi="宋体" w:eastAsia="宋体" w:cs="宋体"/>
          <w:szCs w:val="21"/>
        </w:rPr>
        <w:t>聂海峰、岳希明，2016：《行业垄断对收入不平等影响程度的估计》、《中国工业经济》武鹏，2011：《行业垄断对中国行业收入差距的影响》，《中国工业经济》第10期。</w:t>
      </w:r>
    </w:p>
    <w:p>
      <w:pPr>
        <w:ind w:firstLine="420"/>
        <w:jc w:val="left"/>
        <w:rPr>
          <w:rFonts w:ascii="宋体" w:hAnsi="宋体" w:eastAsia="宋体" w:cs="宋体"/>
          <w:szCs w:val="21"/>
        </w:rPr>
      </w:pPr>
      <w:r>
        <w:rPr>
          <w:rFonts w:hint="eastAsia" w:ascii="宋体" w:hAnsi="宋体" w:eastAsia="宋体" w:cs="宋体"/>
          <w:szCs w:val="21"/>
        </w:rPr>
        <w:t>褚敏、靳涛，2013：《政府悖论、国有企业垄断与收入差距——基于中国转型特征的一个实证检验》，《中国工业经济》第2期。</w:t>
      </w:r>
    </w:p>
    <w:p>
      <w:pPr>
        <w:ind w:firstLine="420"/>
        <w:jc w:val="left"/>
        <w:rPr>
          <w:rFonts w:ascii="宋体" w:hAnsi="宋体" w:eastAsia="宋体" w:cs="宋体"/>
          <w:szCs w:val="21"/>
        </w:rPr>
      </w:pPr>
      <w:r>
        <w:rPr>
          <w:rFonts w:hint="eastAsia" w:ascii="宋体" w:hAnsi="宋体" w:eastAsia="宋体" w:cs="宋体"/>
          <w:szCs w:val="21"/>
        </w:rPr>
        <w:t>卫兴华，2017：《关于中国特色社会主义政治经济学的一些新思考》，《经济研究》第11期。</w:t>
      </w:r>
    </w:p>
    <w:p>
      <w:pPr>
        <w:ind w:firstLine="420"/>
        <w:jc w:val="left"/>
        <w:rPr>
          <w:rFonts w:ascii="宋体" w:hAnsi="宋体" w:eastAsia="宋体" w:cs="宋体"/>
          <w:szCs w:val="21"/>
        </w:rPr>
      </w:pPr>
      <w:r>
        <w:rPr>
          <w:rFonts w:hint="eastAsia" w:ascii="宋体" w:hAnsi="宋体" w:eastAsia="宋体" w:cs="宋体"/>
          <w:szCs w:val="21"/>
        </w:rPr>
        <w:t>《中共中央关于制定国民经济和社会发展第十四个五年规划和二〇三五年远景目标的建议》，中国政府网</w:t>
      </w:r>
    </w:p>
    <w:p>
      <w:pPr>
        <w:ind w:firstLine="420"/>
        <w:jc w:val="left"/>
        <w:rPr>
          <w:rFonts w:ascii="宋体" w:hAnsi="宋体" w:eastAsia="宋体" w:cs="宋体"/>
          <w:szCs w:val="21"/>
        </w:rPr>
      </w:pPr>
      <w:r>
        <w:rPr>
          <w:rFonts w:hint="eastAsia" w:ascii="宋体" w:hAnsi="宋体" w:eastAsia="宋体" w:cs="宋体"/>
          <w:szCs w:val="21"/>
        </w:rPr>
        <w:t>中华人民共和国国民经济和社会发展第十四个五年规划和2035年远景目标纲要.中国政府网.2021-03-13</w:t>
      </w:r>
    </w:p>
    <w:p>
      <w:pPr>
        <w:ind w:firstLine="420"/>
        <w:jc w:val="left"/>
        <w:rPr>
          <w:rFonts w:ascii="宋体" w:hAnsi="宋体" w:eastAsia="宋体" w:cs="宋体"/>
          <w:szCs w:val="21"/>
        </w:rPr>
      </w:pPr>
      <w:r>
        <w:rPr>
          <w:rFonts w:hint="eastAsia" w:ascii="宋体" w:hAnsi="宋体" w:eastAsia="宋体" w:cs="宋体"/>
          <w:szCs w:val="21"/>
        </w:rPr>
        <w:t>浙江高质量发展建设共同富裕示范区实施方案（2021—2025年）.浙江政府网.2021-07-19</w:t>
      </w:r>
    </w:p>
    <w:p>
      <w:pPr>
        <w:ind w:firstLine="420"/>
        <w:jc w:val="left"/>
        <w:rPr>
          <w:rFonts w:ascii="宋体" w:hAnsi="宋体" w:eastAsia="宋体" w:cs="宋体"/>
          <w:szCs w:val="21"/>
        </w:rPr>
      </w:pPr>
      <w:r>
        <w:rPr>
          <w:rFonts w:hint="eastAsia" w:ascii="宋体" w:hAnsi="宋体" w:eastAsia="宋体" w:cs="宋体"/>
          <w:szCs w:val="21"/>
        </w:rPr>
        <w:t>浙江杭州区域性国资国企综合改革试验实施方案.浙江省人民政府国有资产监督管理委员会.2021-09-15</w:t>
      </w:r>
    </w:p>
    <w:p>
      <w:pPr>
        <w:ind w:firstLine="420"/>
        <w:jc w:val="left"/>
        <w:rPr>
          <w:rFonts w:ascii="宋体" w:hAnsi="宋体" w:eastAsia="宋体" w:cs="宋体"/>
          <w:szCs w:val="21"/>
        </w:rPr>
      </w:pPr>
      <w:r>
        <w:rPr>
          <w:rFonts w:hint="eastAsia" w:ascii="宋体" w:hAnsi="宋体" w:eastAsia="宋体" w:cs="宋体"/>
          <w:szCs w:val="21"/>
        </w:rPr>
        <w:t>《习近平经济思想研究评述》新华网.2021-11-29.</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6262771"/>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244"/>
      </w:tabs>
      <w:jc w:val="left"/>
    </w:pPr>
    <w:r>
      <w:tab/>
    </w:r>
    <w:r>
      <w:rPr>
        <w:rFonts w:hint="eastAsia"/>
      </w:rPr>
      <w:drawing>
        <wp:inline distT="0" distB="0" distL="0" distR="0">
          <wp:extent cx="1386840" cy="3352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86840" cy="335280"/>
                  </a:xfrm>
                  <a:prstGeom prst="rect">
                    <a:avLst/>
                  </a:prstGeom>
                  <a:noFill/>
                  <a:ln>
                    <a:noFill/>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bCs/>
      </w:rPr>
    </w:pPr>
    <w:r>
      <w:rPr>
        <w:rFonts w:hint="eastAsia" w:ascii="黑体" w:hAnsi="黑体" w:eastAsia="黑体" w:cs="黑体"/>
        <w:bCs/>
      </w:rPr>
      <w:t>郑豪杰：共同富裕目标下的国有企业薪酬制度改革问题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AE"/>
    <w:rsid w:val="00034860"/>
    <w:rsid w:val="00037B6A"/>
    <w:rsid w:val="000410D9"/>
    <w:rsid w:val="00047585"/>
    <w:rsid w:val="000A1009"/>
    <w:rsid w:val="000C0C55"/>
    <w:rsid w:val="000C0CCB"/>
    <w:rsid w:val="000C6E47"/>
    <w:rsid w:val="000D13CB"/>
    <w:rsid w:val="000F03B3"/>
    <w:rsid w:val="000F538A"/>
    <w:rsid w:val="00101A27"/>
    <w:rsid w:val="0010419F"/>
    <w:rsid w:val="001237DD"/>
    <w:rsid w:val="001765A1"/>
    <w:rsid w:val="0018273E"/>
    <w:rsid w:val="001B2EFF"/>
    <w:rsid w:val="001B6D58"/>
    <w:rsid w:val="001C0087"/>
    <w:rsid w:val="001F0A07"/>
    <w:rsid w:val="00206464"/>
    <w:rsid w:val="002149ED"/>
    <w:rsid w:val="00231243"/>
    <w:rsid w:val="00296F2A"/>
    <w:rsid w:val="002B60C7"/>
    <w:rsid w:val="002C7ABC"/>
    <w:rsid w:val="00311866"/>
    <w:rsid w:val="00317325"/>
    <w:rsid w:val="003206EB"/>
    <w:rsid w:val="003242CD"/>
    <w:rsid w:val="003321D8"/>
    <w:rsid w:val="003558D5"/>
    <w:rsid w:val="0036205D"/>
    <w:rsid w:val="00372DA3"/>
    <w:rsid w:val="003B6854"/>
    <w:rsid w:val="003C4A48"/>
    <w:rsid w:val="003F317B"/>
    <w:rsid w:val="00404ACD"/>
    <w:rsid w:val="00406623"/>
    <w:rsid w:val="004163F4"/>
    <w:rsid w:val="004176B7"/>
    <w:rsid w:val="00432A3A"/>
    <w:rsid w:val="00451725"/>
    <w:rsid w:val="00453CCA"/>
    <w:rsid w:val="00457D31"/>
    <w:rsid w:val="00457FBC"/>
    <w:rsid w:val="00460367"/>
    <w:rsid w:val="004654AE"/>
    <w:rsid w:val="004827BF"/>
    <w:rsid w:val="004864CD"/>
    <w:rsid w:val="004C3B5B"/>
    <w:rsid w:val="004C6478"/>
    <w:rsid w:val="004F0CE6"/>
    <w:rsid w:val="004F4D88"/>
    <w:rsid w:val="00511769"/>
    <w:rsid w:val="00512D2B"/>
    <w:rsid w:val="00521E5C"/>
    <w:rsid w:val="0052279B"/>
    <w:rsid w:val="005471A5"/>
    <w:rsid w:val="0058289A"/>
    <w:rsid w:val="00584FB3"/>
    <w:rsid w:val="005B3404"/>
    <w:rsid w:val="005B4E6A"/>
    <w:rsid w:val="005C5DDE"/>
    <w:rsid w:val="005E2968"/>
    <w:rsid w:val="00614B5D"/>
    <w:rsid w:val="006212DE"/>
    <w:rsid w:val="006230D4"/>
    <w:rsid w:val="00641035"/>
    <w:rsid w:val="00646605"/>
    <w:rsid w:val="006471A5"/>
    <w:rsid w:val="0068487F"/>
    <w:rsid w:val="006A060A"/>
    <w:rsid w:val="006A70D3"/>
    <w:rsid w:val="006C07E5"/>
    <w:rsid w:val="006D11D4"/>
    <w:rsid w:val="006F236F"/>
    <w:rsid w:val="006F66BC"/>
    <w:rsid w:val="0071699F"/>
    <w:rsid w:val="00724AD1"/>
    <w:rsid w:val="007579E4"/>
    <w:rsid w:val="007D0D31"/>
    <w:rsid w:val="007E6280"/>
    <w:rsid w:val="008366BC"/>
    <w:rsid w:val="00867BAA"/>
    <w:rsid w:val="008818D1"/>
    <w:rsid w:val="00882374"/>
    <w:rsid w:val="008A76E1"/>
    <w:rsid w:val="008B0FAB"/>
    <w:rsid w:val="008B3A25"/>
    <w:rsid w:val="008E26F1"/>
    <w:rsid w:val="00912D77"/>
    <w:rsid w:val="009769BF"/>
    <w:rsid w:val="00982593"/>
    <w:rsid w:val="009840F4"/>
    <w:rsid w:val="009D1098"/>
    <w:rsid w:val="009E4165"/>
    <w:rsid w:val="009E5D4F"/>
    <w:rsid w:val="00A01366"/>
    <w:rsid w:val="00A53ACE"/>
    <w:rsid w:val="00A61181"/>
    <w:rsid w:val="00A641CE"/>
    <w:rsid w:val="00A6594F"/>
    <w:rsid w:val="00A8237F"/>
    <w:rsid w:val="00A90236"/>
    <w:rsid w:val="00A957AC"/>
    <w:rsid w:val="00AA3963"/>
    <w:rsid w:val="00AA3F12"/>
    <w:rsid w:val="00AB3861"/>
    <w:rsid w:val="00AC62D5"/>
    <w:rsid w:val="00B47C06"/>
    <w:rsid w:val="00B52204"/>
    <w:rsid w:val="00B63277"/>
    <w:rsid w:val="00B67CEA"/>
    <w:rsid w:val="00B87F81"/>
    <w:rsid w:val="00B947F8"/>
    <w:rsid w:val="00BA10A3"/>
    <w:rsid w:val="00BA1E7B"/>
    <w:rsid w:val="00BC2846"/>
    <w:rsid w:val="00BD4298"/>
    <w:rsid w:val="00BE6F8A"/>
    <w:rsid w:val="00C20A7A"/>
    <w:rsid w:val="00C23044"/>
    <w:rsid w:val="00C32E56"/>
    <w:rsid w:val="00C63972"/>
    <w:rsid w:val="00C830D7"/>
    <w:rsid w:val="00C85C31"/>
    <w:rsid w:val="00C94598"/>
    <w:rsid w:val="00CB0F0D"/>
    <w:rsid w:val="00CC0206"/>
    <w:rsid w:val="00CE7151"/>
    <w:rsid w:val="00D0143D"/>
    <w:rsid w:val="00D15255"/>
    <w:rsid w:val="00D1773E"/>
    <w:rsid w:val="00D24EA6"/>
    <w:rsid w:val="00D4705B"/>
    <w:rsid w:val="00D52781"/>
    <w:rsid w:val="00D65482"/>
    <w:rsid w:val="00D67CC7"/>
    <w:rsid w:val="00DB23A0"/>
    <w:rsid w:val="00DB2EC9"/>
    <w:rsid w:val="00DD3BCC"/>
    <w:rsid w:val="00DD44E2"/>
    <w:rsid w:val="00DE0C87"/>
    <w:rsid w:val="00DF16E8"/>
    <w:rsid w:val="00DF3C1F"/>
    <w:rsid w:val="00E03B7A"/>
    <w:rsid w:val="00E12F86"/>
    <w:rsid w:val="00E306A1"/>
    <w:rsid w:val="00E31358"/>
    <w:rsid w:val="00E42E19"/>
    <w:rsid w:val="00E4765C"/>
    <w:rsid w:val="00E55462"/>
    <w:rsid w:val="00E56936"/>
    <w:rsid w:val="00E73BDA"/>
    <w:rsid w:val="00E96756"/>
    <w:rsid w:val="00EA462D"/>
    <w:rsid w:val="00EB011F"/>
    <w:rsid w:val="00EC366E"/>
    <w:rsid w:val="00F5242C"/>
    <w:rsid w:val="00F6528E"/>
    <w:rsid w:val="00F66933"/>
    <w:rsid w:val="00F67035"/>
    <w:rsid w:val="00F91B54"/>
    <w:rsid w:val="00FA1C73"/>
    <w:rsid w:val="00FA32AC"/>
    <w:rsid w:val="00FA7099"/>
    <w:rsid w:val="00FC369A"/>
    <w:rsid w:val="122F63EB"/>
    <w:rsid w:val="198F6AA7"/>
    <w:rsid w:val="19B91FD9"/>
    <w:rsid w:val="27EE2596"/>
    <w:rsid w:val="2EC9063C"/>
    <w:rsid w:val="471D7622"/>
    <w:rsid w:val="54AE238E"/>
    <w:rsid w:val="6EC2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character" w:customStyle="1" w:styleId="9">
    <w:name w:val="页脚 Char"/>
    <w:uiPriority w:val="99"/>
    <w:rPr>
      <w:kern w:val="2"/>
      <w:sz w:val="18"/>
      <w:szCs w:val="18"/>
    </w:r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FDEC4-4956-4B68-8123-F3AD5B70166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1071</Words>
  <Characters>6111</Characters>
  <Lines>50</Lines>
  <Paragraphs>14</Paragraphs>
  <TotalTime>1</TotalTime>
  <ScaleCrop>false</ScaleCrop>
  <LinksUpToDate>false</LinksUpToDate>
  <CharactersWithSpaces>7168</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2021-12-03T01:17:00Z</dcterms:created>
  <dc:creator>12636</dc:creator>
  <cp:lastModifiedBy>2021102015</cp:lastModifiedBy>
  <cp:lastPrinted>2021-12-30T01:06:00Z</cp:lastPrinted>
  <dcterms:modified xsi:type="dcterms:W3CDTF">2022-12-30T05:36:49Z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1CF5DE9A796B4DC0AE00E19EF2F916E2</vt:lpwstr>
  </property>
</Properties>
</file>