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Steven Levitt may not fully believe in himself, but he does believe in this: teachers and criminals and real-estate agents may lie, and politicians, and even CIA analysts. But numbers don’t.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 incentive is a bullet, a lever, a key: an often tiny object with astonishing power to change a situation.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 incentive is simply a means of urging people to do more of a good thing and less of 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bad thing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Chicago School Test Cheating and Algorithms to detect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Paul Feldman’s bagel business was different. It did present a victim. The victim was Paul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Feldman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Is the Ku Klux Klan Like a Group of Real-Estate Agents?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study found that 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agent keeps her own house on the market an average ten extra days, waiting for a better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offer, and sells it for over 3 percent more than your house—or $10,000 on the sale of 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$300,000 house. That’s $10,000 going into her pocket that does not go into yours, a nifty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profit produced by the abuse of information and a keen understanding of incentives. The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problem is that the agent only stands to personally gain an additional $150 by selling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your house for $10,000 more, which isn’t much reward for a lot of extra work. So her job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is to convince you that a $300,000 offer is in fact a very good offer, even a generous one,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that only a fool would refuse it.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Perfect Parenting: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Molly is roughly 100 times more likely to die in a swimming accident at Imani’s house than in gunplay at Amy’.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Sandman told the New York Times, “is that the risks that scare people and the risks that kill people are very different.”s.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