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22348" w14:textId="77777777" w:rsidR="00A105E4" w:rsidRDefault="005D16D6">
      <w:pPr>
        <w:rPr>
          <w:rFonts w:asciiTheme="majorHAnsi" w:hAnsiTheme="majorHAnsi"/>
          <w:b/>
          <w:sz w:val="36"/>
          <w:szCs w:val="36"/>
        </w:rPr>
      </w:pPr>
      <w:r>
        <w:rPr>
          <w:rFonts w:asciiTheme="majorHAnsi" w:hAnsiTheme="majorHAnsi"/>
          <w:b/>
          <w:sz w:val="36"/>
          <w:szCs w:val="36"/>
        </w:rPr>
        <w:t>Economics Analysis – Daniel Holladay</w:t>
      </w:r>
    </w:p>
    <w:p w14:paraId="57206735" w14:textId="77777777" w:rsidR="005D16D6" w:rsidRDefault="005D16D6" w:rsidP="005D16D6">
      <w:pPr>
        <w:rPr>
          <w:rFonts w:asciiTheme="majorHAnsi" w:hAnsiTheme="majorHAnsi"/>
        </w:rPr>
      </w:pPr>
      <w:r>
        <w:rPr>
          <w:rFonts w:asciiTheme="majorHAnsi" w:hAnsiTheme="majorHAnsi"/>
        </w:rPr>
        <w:t xml:space="preserve">A necessary condition for commercial power reactors to operate is that they must be economically viable. There are several metrics used to determine economic viability and one of the most common is the levelized unit energy cost (LUEC). The LUEC, typically reported in units of $/MWh is a way to compare the lifetime costs of an energy system for multiple energy sources. For a commercial system, there 2 approaches to estimating the LUEC, the first of which is called bottom-up. This is a very detailed analysis that looks at the costs of every individual component, operation, repair, personnel, etc and adds all of the contributions up to taking into account the time value of money (TVM) to arrive at the LUEC. The benefit of this analysis is that it is very accurate and </w:t>
      </w:r>
      <w:r w:rsidR="00464332">
        <w:rPr>
          <w:rFonts w:asciiTheme="majorHAnsi" w:hAnsiTheme="majorHAnsi"/>
        </w:rPr>
        <w:t xml:space="preserve">detailed. </w:t>
      </w:r>
      <w:r>
        <w:rPr>
          <w:rFonts w:asciiTheme="majorHAnsi" w:hAnsiTheme="majorHAnsi"/>
        </w:rPr>
        <w:t>The other approach is called a top down approach. Rather than summing contributions, this analysis looks at similar systems and sca</w:t>
      </w:r>
      <w:r w:rsidR="005065A1">
        <w:rPr>
          <w:rFonts w:asciiTheme="majorHAnsi" w:hAnsiTheme="majorHAnsi"/>
        </w:rPr>
        <w:t>les the costs by thermal power as shown in equation (#.1)</w:t>
      </w:r>
    </w:p>
    <w:p w14:paraId="1124453B" w14:textId="77777777" w:rsidR="0063790E" w:rsidRDefault="005065A1" w:rsidP="005065A1">
      <w:pPr>
        <w:jc w:val="right"/>
        <w:rPr>
          <w:rFonts w:asciiTheme="majorHAnsi" w:hAnsiTheme="majorHAnsi"/>
        </w:rPr>
      </w:pPr>
      <w:r w:rsidRPr="0063790E">
        <w:rPr>
          <w:rFonts w:asciiTheme="majorHAnsi" w:hAnsiTheme="majorHAnsi"/>
          <w:position w:val="-6"/>
        </w:rPr>
        <w:object w:dxaOrig="1340" w:dyaOrig="320" w14:anchorId="7A921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pt;height:16pt" o:ole="">
            <v:imagedata r:id="rId5" o:title=""/>
          </v:shape>
          <o:OLEObject Type="Embed" ProgID="Equation.3" ShapeID="_x0000_i1028" DrawAspect="Content" ObjectID="_1384830157" r:id="rId6"/>
        </w:object>
      </w:r>
      <w:r>
        <w:rPr>
          <w:rFonts w:asciiTheme="majorHAnsi" w:hAnsiTheme="majorHAnsi"/>
        </w:rPr>
        <w:t xml:space="preserve">                                                           (#.1)</w:t>
      </w:r>
    </w:p>
    <w:p w14:paraId="3780AE45" w14:textId="77777777" w:rsidR="005065A1" w:rsidRDefault="005065A1" w:rsidP="005065A1">
      <w:pPr>
        <w:rPr>
          <w:rFonts w:asciiTheme="majorHAnsi" w:hAnsiTheme="majorHAnsi"/>
        </w:rPr>
      </w:pPr>
      <w:r>
        <w:rPr>
          <w:rFonts w:asciiTheme="majorHAnsi" w:hAnsiTheme="majorHAnsi"/>
        </w:rPr>
        <w:t xml:space="preserve">This model requires 3 parameters for each of the different cost categories. This approach requires far less knowledge of details about a specific system and can still estimate the cost with some accuracy. Given the current design status of our reactor system and the number of likely changes between now and the final design, a bottom up approach would be intractable and also subject to several changes. At this stage, using the less accurate, but much simpler top down approach is much more appropriate especially given the number of people on our team. The top down analysis has the accuracy necessary to determine if this system is worth the additional investigation and research that would be required to complete a more detailed </w:t>
      </w:r>
      <w:r w:rsidR="00F646C2">
        <w:rPr>
          <w:rFonts w:asciiTheme="majorHAnsi" w:hAnsiTheme="majorHAnsi"/>
        </w:rPr>
        <w:t xml:space="preserve">economic analysis. </w:t>
      </w:r>
    </w:p>
    <w:p w14:paraId="5EAA4BA1" w14:textId="77777777" w:rsidR="00F646C2" w:rsidRDefault="00F646C2" w:rsidP="005065A1">
      <w:pPr>
        <w:rPr>
          <w:rFonts w:asciiTheme="majorHAnsi" w:hAnsiTheme="majorHAnsi"/>
        </w:rPr>
      </w:pPr>
    </w:p>
    <w:p w14:paraId="46245307" w14:textId="3EAC7540" w:rsidR="00F646C2" w:rsidRDefault="00F646C2" w:rsidP="005065A1">
      <w:pPr>
        <w:rPr>
          <w:rFonts w:asciiTheme="majorHAnsi" w:hAnsiTheme="majorHAnsi"/>
        </w:rPr>
      </w:pPr>
      <w:r>
        <w:rPr>
          <w:rFonts w:asciiTheme="majorHAnsi" w:hAnsiTheme="majorHAnsi"/>
        </w:rPr>
        <w:t>The analysis was conducted using the G4-ECONS software package developed by Oak Ridge National Laboratory (ORNL) for economic analysis of fourth generation reactors</w:t>
      </w:r>
      <w:r w:rsidR="00AD2A38">
        <w:rPr>
          <w:rFonts w:asciiTheme="majorHAnsi" w:hAnsiTheme="majorHAnsi"/>
        </w:rPr>
        <w:t xml:space="preserve"> (ref)</w:t>
      </w:r>
      <w:r>
        <w:rPr>
          <w:rFonts w:asciiTheme="majorHAnsi" w:hAnsiTheme="majorHAnsi"/>
        </w:rPr>
        <w:t xml:space="preserve">. This software is meant to give small design teams the tools necessary to carry out economic analyses without needing the resources and expertise required by more detailed analyses. The software itself comes in the form of a spreadsheet with multiple examples as well as strategy </w:t>
      </w:r>
      <w:r w:rsidR="00627899">
        <w:rPr>
          <w:rFonts w:asciiTheme="majorHAnsi" w:hAnsiTheme="majorHAnsi"/>
        </w:rPr>
        <w:t>matrices that</w:t>
      </w:r>
      <w:r>
        <w:rPr>
          <w:rFonts w:asciiTheme="majorHAnsi" w:hAnsiTheme="majorHAnsi"/>
        </w:rPr>
        <w:t xml:space="preserve"> act as the inputs for both the reactor system as well as the potential for alternate uses of the heat such as desal</w:t>
      </w:r>
      <w:r w:rsidR="00627899">
        <w:rPr>
          <w:rFonts w:asciiTheme="majorHAnsi" w:hAnsiTheme="majorHAnsi"/>
        </w:rPr>
        <w:t>ination or hydrogen production. The spreadsheet came with 4 strategies both for verification/validation purposes as well as to show the user how the software works. One such example is the pebble bed modular reactor (PBMR) that operates at high temperatures for hydrogen production. I used many of their parameters initially, only replacing the fuel char</w:t>
      </w:r>
      <w:r w:rsidR="00B710C3">
        <w:rPr>
          <w:rFonts w:asciiTheme="majorHAnsi" w:hAnsiTheme="majorHAnsi"/>
        </w:rPr>
        <w:t>acteristics. However, the PBMR example had a much higher power and thus many of the capital and operations &amp; maintenance (O&amp;M) costs would be heavily overestimated. Sinc</w:t>
      </w:r>
      <w:r w:rsidR="00AD2A38">
        <w:rPr>
          <w:rFonts w:asciiTheme="majorHAnsi" w:hAnsiTheme="majorHAnsi"/>
        </w:rPr>
        <w:t>e I could not find specific fit parameters for the model in equation (#.1), I chose to modify the scaling. I arrived at the following:</w:t>
      </w:r>
    </w:p>
    <w:p w14:paraId="390276AD" w14:textId="4C6478E1" w:rsidR="00AD2A38" w:rsidRDefault="00AD2A38" w:rsidP="00AD2A38">
      <w:pPr>
        <w:jc w:val="right"/>
        <w:rPr>
          <w:rFonts w:asciiTheme="majorHAnsi" w:hAnsiTheme="majorHAnsi"/>
        </w:rPr>
      </w:pPr>
      <w:r w:rsidRPr="00AD2A38">
        <w:rPr>
          <w:rFonts w:asciiTheme="majorHAnsi" w:hAnsiTheme="majorHAnsi"/>
          <w:position w:val="-34"/>
        </w:rPr>
        <w:object w:dxaOrig="2600" w:dyaOrig="780" w14:anchorId="56FB8DA0">
          <v:shape id="_x0000_i1031" type="#_x0000_t75" style="width:130pt;height:39pt" o:ole="">
            <v:imagedata r:id="rId7" o:title=""/>
          </v:shape>
          <o:OLEObject Type="Embed" ProgID="Equation.3" ShapeID="_x0000_i1031" DrawAspect="Content" ObjectID="_1384830158" r:id="rId8"/>
        </w:object>
      </w:r>
      <w:r>
        <w:rPr>
          <w:rFonts w:asciiTheme="majorHAnsi" w:hAnsiTheme="majorHAnsi"/>
        </w:rPr>
        <w:t>.                                            (#.2)</w:t>
      </w:r>
    </w:p>
    <w:p w14:paraId="14062FCD" w14:textId="2B6F9E39" w:rsidR="00AD2A38" w:rsidRDefault="00AD2A38" w:rsidP="00AD2A38">
      <w:pPr>
        <w:rPr>
          <w:rFonts w:asciiTheme="majorHAnsi" w:hAnsiTheme="majorHAnsi"/>
        </w:rPr>
      </w:pPr>
      <w:r>
        <w:rPr>
          <w:rFonts w:asciiTheme="majorHAnsi" w:hAnsiTheme="majorHAnsi"/>
        </w:rPr>
        <w:lastRenderedPageBreak/>
        <w:t xml:space="preserve">I chose </w:t>
      </w:r>
      <w:r>
        <w:rPr>
          <w:rFonts w:ascii="Calibri" w:hAnsi="Calibri"/>
        </w:rPr>
        <w:t>α</w:t>
      </w:r>
      <w:r>
        <w:rPr>
          <w:rFonts w:asciiTheme="majorHAnsi" w:hAnsiTheme="majorHAnsi"/>
        </w:rPr>
        <w:t>=0.25 for my analyses, but this parameter can be easily changed and it will yield C</w:t>
      </w:r>
      <w:r>
        <w:rPr>
          <w:rFonts w:asciiTheme="majorHAnsi" w:hAnsiTheme="majorHAnsi"/>
          <w:vertAlign w:val="subscript"/>
        </w:rPr>
        <w:t xml:space="preserve">0 </w:t>
      </w:r>
      <w:r>
        <w:rPr>
          <w:rFonts w:asciiTheme="majorHAnsi" w:hAnsiTheme="majorHAnsi"/>
        </w:rPr>
        <w:t>if the thermal powers of the reactors are the same. The square root dependence has a higher average value on [0,1] than does linear, and many examples showed that many dependences on power were approximately square root (ref).</w:t>
      </w:r>
    </w:p>
    <w:p w14:paraId="1B97D914" w14:textId="77777777" w:rsidR="00AD2A38" w:rsidRDefault="00AD2A38" w:rsidP="00AD2A38">
      <w:pPr>
        <w:rPr>
          <w:rFonts w:asciiTheme="majorHAnsi" w:hAnsiTheme="majorHAnsi"/>
        </w:rPr>
      </w:pPr>
    </w:p>
    <w:p w14:paraId="7415AEE5" w14:textId="585005B3" w:rsidR="00AD2A38" w:rsidRDefault="00AD2A38" w:rsidP="00AD2A38">
      <w:pPr>
        <w:rPr>
          <w:rFonts w:asciiTheme="majorHAnsi" w:hAnsiTheme="majorHAnsi"/>
        </w:rPr>
      </w:pPr>
      <w:r>
        <w:rPr>
          <w:rFonts w:asciiTheme="majorHAnsi" w:hAnsiTheme="majorHAnsi"/>
        </w:rPr>
        <w:t xml:space="preserve">While </w:t>
      </w:r>
      <w:r w:rsidR="006E613E">
        <w:rPr>
          <w:rFonts w:asciiTheme="majorHAnsi" w:hAnsiTheme="majorHAnsi"/>
        </w:rPr>
        <w:t>we are able to accurately estimate the cost of much of our reactor system, the fuel costs required some rather crude assumptions due to limited capabilities of the software. The software assumes uniform enrichment for the first batch of fuel. Our design has the depleted fuel as well as the LEU fuel. The cost of the depleted fuel will likely be heavily overestimated due to the fact that we can use the tails that are produced as a byproduct of uranium enrichment. Nominally, we used a core averaged enrichment of 2.92%.  Since this approximation is likely to be incorrect, figure #.1 shows the LUEC as a function of averaged enrichment.</w:t>
      </w:r>
    </w:p>
    <w:p w14:paraId="45BBFFC5" w14:textId="061F6BB9" w:rsidR="006E613E" w:rsidRDefault="006E613E" w:rsidP="00AD2A38">
      <w:pPr>
        <w:rPr>
          <w:rFonts w:asciiTheme="majorHAnsi" w:hAnsiTheme="majorHAnsi"/>
        </w:rPr>
      </w:pPr>
      <w:r>
        <w:rPr>
          <w:rFonts w:asciiTheme="majorHAnsi" w:hAnsiTheme="majorHAnsi"/>
          <w:noProof/>
        </w:rPr>
        <w:drawing>
          <wp:inline distT="0" distB="0" distL="0" distR="0" wp14:anchorId="7E74508D" wp14:editId="1533AB12">
            <wp:extent cx="5486400" cy="446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ichme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465955"/>
                    </a:xfrm>
                    <a:prstGeom prst="rect">
                      <a:avLst/>
                    </a:prstGeom>
                  </pic:spPr>
                </pic:pic>
              </a:graphicData>
            </a:graphic>
          </wp:inline>
        </w:drawing>
      </w:r>
    </w:p>
    <w:p w14:paraId="7A369A71" w14:textId="769F2405" w:rsidR="006E613E" w:rsidRDefault="006E613E" w:rsidP="006E613E">
      <w:pPr>
        <w:jc w:val="center"/>
        <w:rPr>
          <w:rFonts w:asciiTheme="majorHAnsi" w:hAnsiTheme="majorHAnsi"/>
        </w:rPr>
      </w:pPr>
      <w:r>
        <w:rPr>
          <w:rFonts w:asciiTheme="majorHAnsi" w:hAnsiTheme="majorHAnsi"/>
        </w:rPr>
        <w:t xml:space="preserve">Figure </w:t>
      </w:r>
      <w:r w:rsidR="007D52B5">
        <w:rPr>
          <w:rFonts w:asciiTheme="majorHAnsi" w:hAnsiTheme="majorHAnsi"/>
        </w:rPr>
        <w:t>#.1: LUEC ranges from 83-92 $/MWh over the range of fuel enrichments from 1% to 13% (the enrichment of the LEU fuel assemblies)</w:t>
      </w:r>
    </w:p>
    <w:p w14:paraId="7EF27246" w14:textId="77777777" w:rsidR="0003207E" w:rsidRDefault="0003207E" w:rsidP="006E613E">
      <w:pPr>
        <w:jc w:val="center"/>
        <w:rPr>
          <w:rFonts w:asciiTheme="majorHAnsi" w:hAnsiTheme="majorHAnsi"/>
        </w:rPr>
      </w:pPr>
    </w:p>
    <w:p w14:paraId="7EF27246" w14:textId="77777777" w:rsidR="007D52B5" w:rsidRDefault="007D52B5" w:rsidP="007D52B5">
      <w:pPr>
        <w:rPr>
          <w:rFonts w:asciiTheme="majorHAnsi" w:hAnsiTheme="majorHAnsi"/>
        </w:rPr>
      </w:pPr>
      <w:r>
        <w:rPr>
          <w:rFonts w:asciiTheme="majorHAnsi" w:hAnsiTheme="majorHAnsi"/>
        </w:rPr>
        <w:t xml:space="preserve">While some sophistication exists in the spreadsheet to determine fuel cycle costs, a better estimate could be obtained using their fuel cycle tool. The fuel cycle costs are amortized assuming a fleet of 32 GWe is utilizing the fuel facilities. However, one of the many benefits of this software is this ability to rapidly calculate LUEC as a function of an input parameter. Due to a large number of changes to the fuel plate / coolant channel geometry, it also seemed a good idea to show how the LUEC changes with fuel mass per assembly as that value will likely change a number of times during the design phase, especially depending on the outcomes of natural convection analysis. Thus, figure #.2 shows said dependence. </w:t>
      </w:r>
    </w:p>
    <w:p w14:paraId="008482EB" w14:textId="5B6D8EDA" w:rsidR="007D52B5" w:rsidRDefault="00DC6462" w:rsidP="007D52B5">
      <w:pPr>
        <w:rPr>
          <w:rFonts w:asciiTheme="majorHAnsi" w:hAnsiTheme="majorHAnsi"/>
        </w:rPr>
      </w:pPr>
      <w:r>
        <w:rPr>
          <w:rFonts w:asciiTheme="majorHAnsi" w:hAnsiTheme="majorHAnsi"/>
          <w:noProof/>
        </w:rPr>
        <w:drawing>
          <wp:inline distT="0" distB="0" distL="0" distR="0" wp14:anchorId="150E1D5C" wp14:editId="5F3B810F">
            <wp:extent cx="5486400" cy="4392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92295"/>
                    </a:xfrm>
                    <a:prstGeom prst="rect">
                      <a:avLst/>
                    </a:prstGeom>
                  </pic:spPr>
                </pic:pic>
              </a:graphicData>
            </a:graphic>
          </wp:inline>
        </w:drawing>
      </w:r>
    </w:p>
    <w:p w14:paraId="08D31490" w14:textId="3DA1AACE" w:rsidR="00DC6462" w:rsidRDefault="00DC6462" w:rsidP="00DC6462">
      <w:pPr>
        <w:jc w:val="center"/>
        <w:rPr>
          <w:rFonts w:asciiTheme="majorHAnsi" w:hAnsiTheme="majorHAnsi"/>
        </w:rPr>
      </w:pPr>
      <w:r>
        <w:rPr>
          <w:rFonts w:asciiTheme="majorHAnsi" w:hAnsiTheme="majorHAnsi"/>
        </w:rPr>
        <w:t xml:space="preserve">Figure #.2 LUEC ranges from 82-87 $/MWh over the span of relevant fuel masses. </w:t>
      </w:r>
    </w:p>
    <w:p w14:paraId="617274A9" w14:textId="77777777" w:rsidR="0003207E" w:rsidRDefault="0003207E" w:rsidP="00DC6462">
      <w:pPr>
        <w:jc w:val="center"/>
        <w:rPr>
          <w:rFonts w:asciiTheme="majorHAnsi" w:hAnsiTheme="majorHAnsi"/>
        </w:rPr>
      </w:pPr>
    </w:p>
    <w:p w14:paraId="0F42864E" w14:textId="58C29F5E" w:rsidR="003519BD" w:rsidRDefault="003519BD" w:rsidP="003519BD">
      <w:pPr>
        <w:rPr>
          <w:rFonts w:asciiTheme="majorHAnsi" w:hAnsiTheme="majorHAnsi"/>
        </w:rPr>
      </w:pPr>
      <w:r>
        <w:rPr>
          <w:rFonts w:asciiTheme="majorHAnsi" w:hAnsiTheme="majorHAnsi"/>
        </w:rPr>
        <w:t>While these analyses lack non-linear features that might actually exist, the</w:t>
      </w:r>
      <w:r w:rsidR="000D32EA">
        <w:rPr>
          <w:rFonts w:asciiTheme="majorHAnsi" w:hAnsiTheme="majorHAnsi"/>
        </w:rPr>
        <w:t>y</w:t>
      </w:r>
      <w:r>
        <w:rPr>
          <w:rFonts w:asciiTheme="majorHAnsi" w:hAnsiTheme="majorHAnsi"/>
        </w:rPr>
        <w:t xml:space="preserve"> provide a range of values for the LUEC as a function of the input parameters. </w:t>
      </w:r>
      <w:r w:rsidR="000D32EA">
        <w:rPr>
          <w:rFonts w:asciiTheme="majorHAnsi" w:hAnsiTheme="majorHAnsi"/>
        </w:rPr>
        <w:t xml:space="preserve">However, results using nominal input parameters can be helpful in determining potential economic viability. While many of the approximations made in this analysis may be too egregious, this analysis is a useful litmus test for further investigation. If the results of the analysis yield a viable and highly economical design, it is likely that the reactor system in question is an excellent candidate for further investigation with more with more detail and rigor. </w:t>
      </w:r>
      <w:r w:rsidR="00EC5DD7">
        <w:rPr>
          <w:rFonts w:asciiTheme="majorHAnsi" w:hAnsiTheme="majorHAnsi"/>
        </w:rPr>
        <w:t xml:space="preserve">The results are shown in tables #.1-#.2 below. </w:t>
      </w:r>
    </w:p>
    <w:p w14:paraId="4A921668" w14:textId="77777777" w:rsidR="0003207E" w:rsidRDefault="0003207E" w:rsidP="003519BD">
      <w:pPr>
        <w:rPr>
          <w:rFonts w:asciiTheme="majorHAnsi" w:hAnsiTheme="majorHAnsi"/>
        </w:rPr>
      </w:pPr>
    </w:p>
    <w:p w14:paraId="03F41E83" w14:textId="77777777" w:rsidR="0003207E" w:rsidRDefault="0003207E" w:rsidP="003519BD">
      <w:pPr>
        <w:rPr>
          <w:rFonts w:asciiTheme="majorHAnsi" w:hAnsiTheme="majorHAnsi"/>
        </w:rPr>
      </w:pPr>
    </w:p>
    <w:p w14:paraId="47433166" w14:textId="77777777" w:rsidR="0003207E" w:rsidRDefault="0003207E" w:rsidP="003519BD">
      <w:pPr>
        <w:rPr>
          <w:rFonts w:asciiTheme="majorHAnsi" w:hAnsiTheme="majorHAnsi"/>
        </w:rPr>
      </w:pPr>
    </w:p>
    <w:p w14:paraId="77CAFD87" w14:textId="77777777" w:rsidR="0003207E" w:rsidRDefault="0003207E" w:rsidP="003519BD">
      <w:pPr>
        <w:rPr>
          <w:rFonts w:asciiTheme="majorHAnsi" w:hAnsiTheme="majorHAnsi"/>
        </w:rPr>
      </w:pPr>
    </w:p>
    <w:p w14:paraId="123140C7" w14:textId="77777777" w:rsidR="0003207E" w:rsidRDefault="0003207E" w:rsidP="003519BD">
      <w:pPr>
        <w:rPr>
          <w:rFonts w:asciiTheme="majorHAnsi" w:hAnsiTheme="majorHAnsi"/>
        </w:rPr>
      </w:pPr>
    </w:p>
    <w:p w14:paraId="068ED7FB" w14:textId="39A176AA" w:rsidR="0003207E" w:rsidRDefault="0003207E" w:rsidP="0003207E">
      <w:pPr>
        <w:jc w:val="center"/>
        <w:rPr>
          <w:rFonts w:asciiTheme="majorHAnsi" w:hAnsiTheme="majorHAnsi"/>
        </w:rPr>
      </w:pPr>
      <w:r>
        <w:rPr>
          <w:rFonts w:asciiTheme="majorHAnsi" w:hAnsiTheme="majorHAnsi"/>
        </w:rPr>
        <w:t xml:space="preserve">Table </w:t>
      </w:r>
      <w:r w:rsidR="007E0274">
        <w:rPr>
          <w:rFonts w:asciiTheme="majorHAnsi" w:hAnsiTheme="majorHAnsi"/>
        </w:rPr>
        <w:t>#.</w:t>
      </w:r>
      <w:r>
        <w:rPr>
          <w:rFonts w:asciiTheme="majorHAnsi" w:hAnsiTheme="majorHAnsi"/>
        </w:rPr>
        <w:t>1: Breakdown of Costs</w:t>
      </w:r>
    </w:p>
    <w:tbl>
      <w:tblPr>
        <w:tblW w:w="5120" w:type="dxa"/>
        <w:jc w:val="center"/>
        <w:tblInd w:w="93" w:type="dxa"/>
        <w:tblLook w:val="04A0" w:firstRow="1" w:lastRow="0" w:firstColumn="1" w:lastColumn="0" w:noHBand="0" w:noVBand="1"/>
      </w:tblPr>
      <w:tblGrid>
        <w:gridCol w:w="3860"/>
        <w:gridCol w:w="1260"/>
      </w:tblGrid>
      <w:tr w:rsidR="0003207E" w:rsidRPr="0003207E" w14:paraId="182853D9" w14:textId="77777777" w:rsidTr="0003207E">
        <w:trPr>
          <w:trHeight w:val="1110"/>
          <w:jc w:val="center"/>
        </w:trPr>
        <w:tc>
          <w:tcPr>
            <w:tcW w:w="3860" w:type="dxa"/>
            <w:tcBorders>
              <w:top w:val="nil"/>
              <w:left w:val="single" w:sz="4" w:space="0" w:color="auto"/>
              <w:bottom w:val="single" w:sz="4" w:space="0" w:color="auto"/>
              <w:right w:val="nil"/>
            </w:tcBorders>
            <w:shd w:val="clear" w:color="000000" w:fill="FFFFFF"/>
            <w:noWrap/>
            <w:vAlign w:val="bottom"/>
            <w:hideMark/>
          </w:tcPr>
          <w:p w14:paraId="13B51B83"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Description</w:t>
            </w:r>
          </w:p>
        </w:tc>
        <w:tc>
          <w:tcPr>
            <w:tcW w:w="1260" w:type="dxa"/>
            <w:tcBorders>
              <w:top w:val="nil"/>
              <w:left w:val="nil"/>
              <w:bottom w:val="single" w:sz="4" w:space="0" w:color="auto"/>
              <w:right w:val="nil"/>
            </w:tcBorders>
            <w:shd w:val="clear" w:color="000000" w:fill="FFFFFF"/>
            <w:vAlign w:val="bottom"/>
            <w:hideMark/>
          </w:tcPr>
          <w:p w14:paraId="25ED3573" w14:textId="77777777" w:rsidR="0003207E" w:rsidRPr="0003207E" w:rsidRDefault="0003207E" w:rsidP="0003207E">
            <w:pPr>
              <w:jc w:val="center"/>
              <w:rPr>
                <w:rFonts w:ascii="Book Antiqua" w:eastAsia="Times New Roman" w:hAnsi="Book Antiqua" w:cs="Arial"/>
                <w:sz w:val="20"/>
                <w:szCs w:val="20"/>
              </w:rPr>
            </w:pPr>
            <w:r w:rsidRPr="0003207E">
              <w:rPr>
                <w:rFonts w:ascii="Book Antiqua" w:eastAsia="Times New Roman" w:hAnsi="Book Antiqua" w:cs="Arial"/>
                <w:sz w:val="20"/>
                <w:szCs w:val="20"/>
              </w:rPr>
              <w:t>Value in mills/kwh or $/MWh</w:t>
            </w:r>
          </w:p>
        </w:tc>
      </w:tr>
      <w:tr w:rsidR="0003207E" w:rsidRPr="0003207E" w14:paraId="24D4C530" w14:textId="77777777" w:rsidTr="0003207E">
        <w:trPr>
          <w:trHeight w:val="260"/>
          <w:jc w:val="center"/>
        </w:trPr>
        <w:tc>
          <w:tcPr>
            <w:tcW w:w="3860" w:type="dxa"/>
            <w:tcBorders>
              <w:top w:val="nil"/>
              <w:left w:val="single" w:sz="4" w:space="0" w:color="auto"/>
              <w:bottom w:val="nil"/>
              <w:right w:val="nil"/>
            </w:tcBorders>
            <w:shd w:val="clear" w:color="000000" w:fill="FFFF99"/>
            <w:noWrap/>
            <w:vAlign w:val="bottom"/>
            <w:hideMark/>
          </w:tcPr>
          <w:p w14:paraId="5E2561DB" w14:textId="77777777" w:rsidR="0003207E" w:rsidRPr="0003207E" w:rsidRDefault="0003207E" w:rsidP="0003207E">
            <w:pPr>
              <w:rPr>
                <w:rFonts w:ascii="Book Antiqua" w:eastAsia="Times New Roman" w:hAnsi="Book Antiqua" w:cs="Arial"/>
                <w:b/>
                <w:bCs/>
                <w:sz w:val="20"/>
                <w:szCs w:val="20"/>
              </w:rPr>
            </w:pPr>
            <w:r w:rsidRPr="0003207E">
              <w:rPr>
                <w:rFonts w:ascii="Book Antiqua" w:eastAsia="Times New Roman" w:hAnsi="Book Antiqua" w:cs="Arial"/>
                <w:b/>
                <w:bCs/>
                <w:sz w:val="20"/>
                <w:szCs w:val="20"/>
              </w:rPr>
              <w:t>Total LUEC</w:t>
            </w:r>
          </w:p>
        </w:tc>
        <w:tc>
          <w:tcPr>
            <w:tcW w:w="1260" w:type="dxa"/>
            <w:tcBorders>
              <w:top w:val="nil"/>
              <w:left w:val="nil"/>
              <w:bottom w:val="nil"/>
              <w:right w:val="nil"/>
            </w:tcBorders>
            <w:shd w:val="clear" w:color="000000" w:fill="FFFF99"/>
            <w:noWrap/>
            <w:vAlign w:val="bottom"/>
            <w:hideMark/>
          </w:tcPr>
          <w:p w14:paraId="5B27E6F9" w14:textId="77777777" w:rsidR="0003207E" w:rsidRPr="0003207E" w:rsidRDefault="0003207E" w:rsidP="0003207E">
            <w:pPr>
              <w:jc w:val="center"/>
              <w:rPr>
                <w:rFonts w:ascii="Book Antiqua" w:eastAsia="Times New Roman" w:hAnsi="Book Antiqua" w:cs="Arial"/>
                <w:b/>
                <w:bCs/>
                <w:color w:val="C0504D" w:themeColor="accent2"/>
                <w:sz w:val="20"/>
                <w:szCs w:val="20"/>
              </w:rPr>
            </w:pPr>
            <w:bookmarkStart w:id="0" w:name="RANGE!D13"/>
            <w:r w:rsidRPr="0003207E">
              <w:rPr>
                <w:rFonts w:ascii="Book Antiqua" w:eastAsia="Times New Roman" w:hAnsi="Book Antiqua" w:cs="Arial"/>
                <w:b/>
                <w:bCs/>
                <w:color w:val="C0504D" w:themeColor="accent2"/>
                <w:sz w:val="20"/>
                <w:szCs w:val="20"/>
              </w:rPr>
              <w:t>84.43</w:t>
            </w:r>
            <w:bookmarkEnd w:id="0"/>
          </w:p>
        </w:tc>
      </w:tr>
      <w:tr w:rsidR="0003207E" w:rsidRPr="0003207E" w14:paraId="6C3A17F5" w14:textId="77777777" w:rsidTr="0003207E">
        <w:trPr>
          <w:trHeight w:val="260"/>
          <w:jc w:val="center"/>
        </w:trPr>
        <w:tc>
          <w:tcPr>
            <w:tcW w:w="3860" w:type="dxa"/>
            <w:tcBorders>
              <w:top w:val="nil"/>
              <w:left w:val="single" w:sz="4" w:space="0" w:color="auto"/>
              <w:bottom w:val="nil"/>
              <w:right w:val="nil"/>
            </w:tcBorders>
            <w:shd w:val="clear" w:color="000000" w:fill="FFFFFF"/>
            <w:noWrap/>
            <w:vAlign w:val="bottom"/>
            <w:hideMark/>
          </w:tcPr>
          <w:p w14:paraId="119D770A"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Capital (Including Financing)</w:t>
            </w:r>
          </w:p>
        </w:tc>
        <w:tc>
          <w:tcPr>
            <w:tcW w:w="1260" w:type="dxa"/>
            <w:tcBorders>
              <w:top w:val="nil"/>
              <w:left w:val="nil"/>
              <w:bottom w:val="nil"/>
              <w:right w:val="nil"/>
            </w:tcBorders>
            <w:shd w:val="clear" w:color="000000" w:fill="FFFFFF"/>
            <w:noWrap/>
            <w:vAlign w:val="bottom"/>
            <w:hideMark/>
          </w:tcPr>
          <w:p w14:paraId="60EC81BD" w14:textId="77777777" w:rsidR="0003207E" w:rsidRPr="0003207E" w:rsidRDefault="0003207E" w:rsidP="0003207E">
            <w:pPr>
              <w:jc w:val="center"/>
              <w:rPr>
                <w:rFonts w:ascii="Book Antiqua" w:eastAsia="Times New Roman" w:hAnsi="Book Antiqua" w:cs="Arial"/>
                <w:sz w:val="20"/>
                <w:szCs w:val="20"/>
              </w:rPr>
            </w:pPr>
            <w:r w:rsidRPr="0003207E">
              <w:rPr>
                <w:rFonts w:ascii="Book Antiqua" w:eastAsia="Times New Roman" w:hAnsi="Book Antiqua" w:cs="Arial"/>
                <w:sz w:val="20"/>
                <w:szCs w:val="20"/>
              </w:rPr>
              <w:t>69.03</w:t>
            </w:r>
          </w:p>
        </w:tc>
      </w:tr>
      <w:tr w:rsidR="0003207E" w:rsidRPr="0003207E" w14:paraId="1BC6C21B" w14:textId="77777777" w:rsidTr="0003207E">
        <w:trPr>
          <w:trHeight w:val="260"/>
          <w:jc w:val="center"/>
        </w:trPr>
        <w:tc>
          <w:tcPr>
            <w:tcW w:w="3860" w:type="dxa"/>
            <w:tcBorders>
              <w:top w:val="nil"/>
              <w:left w:val="single" w:sz="4" w:space="0" w:color="auto"/>
              <w:bottom w:val="nil"/>
              <w:right w:val="nil"/>
            </w:tcBorders>
            <w:shd w:val="clear" w:color="000000" w:fill="FFFFFF"/>
            <w:noWrap/>
            <w:vAlign w:val="bottom"/>
            <w:hideMark/>
          </w:tcPr>
          <w:p w14:paraId="0BB60C37"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Operation</w:t>
            </w:r>
          </w:p>
        </w:tc>
        <w:tc>
          <w:tcPr>
            <w:tcW w:w="1260" w:type="dxa"/>
            <w:tcBorders>
              <w:top w:val="nil"/>
              <w:left w:val="nil"/>
              <w:bottom w:val="nil"/>
              <w:right w:val="nil"/>
            </w:tcBorders>
            <w:shd w:val="clear" w:color="000000" w:fill="FFFFFF"/>
            <w:noWrap/>
            <w:vAlign w:val="bottom"/>
            <w:hideMark/>
          </w:tcPr>
          <w:p w14:paraId="61FF5758" w14:textId="77777777" w:rsidR="0003207E" w:rsidRPr="0003207E" w:rsidRDefault="0003207E" w:rsidP="0003207E">
            <w:pPr>
              <w:jc w:val="center"/>
              <w:rPr>
                <w:rFonts w:ascii="Book Antiqua" w:eastAsia="Times New Roman" w:hAnsi="Book Antiqua" w:cs="Arial"/>
                <w:sz w:val="20"/>
                <w:szCs w:val="20"/>
              </w:rPr>
            </w:pPr>
            <w:bookmarkStart w:id="1" w:name="RANGE!D15"/>
            <w:r w:rsidRPr="0003207E">
              <w:rPr>
                <w:rFonts w:ascii="Book Antiqua" w:eastAsia="Times New Roman" w:hAnsi="Book Antiqua" w:cs="Arial"/>
                <w:sz w:val="20"/>
                <w:szCs w:val="20"/>
              </w:rPr>
              <w:t>13.57</w:t>
            </w:r>
            <w:bookmarkEnd w:id="1"/>
          </w:p>
        </w:tc>
      </w:tr>
      <w:tr w:rsidR="0003207E" w:rsidRPr="0003207E" w14:paraId="25FBAAED" w14:textId="77777777" w:rsidTr="0003207E">
        <w:trPr>
          <w:trHeight w:val="260"/>
          <w:jc w:val="center"/>
        </w:trPr>
        <w:tc>
          <w:tcPr>
            <w:tcW w:w="3860" w:type="dxa"/>
            <w:tcBorders>
              <w:top w:val="nil"/>
              <w:left w:val="single" w:sz="4" w:space="0" w:color="auto"/>
              <w:bottom w:val="nil"/>
              <w:right w:val="nil"/>
            </w:tcBorders>
            <w:shd w:val="clear" w:color="000000" w:fill="FFFFFF"/>
            <w:noWrap/>
            <w:vAlign w:val="bottom"/>
            <w:hideMark/>
          </w:tcPr>
          <w:p w14:paraId="3311584E"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Fuel Cycle - Front End</w:t>
            </w:r>
          </w:p>
        </w:tc>
        <w:tc>
          <w:tcPr>
            <w:tcW w:w="1260" w:type="dxa"/>
            <w:tcBorders>
              <w:top w:val="nil"/>
              <w:left w:val="nil"/>
              <w:bottom w:val="nil"/>
              <w:right w:val="nil"/>
            </w:tcBorders>
            <w:shd w:val="clear" w:color="000000" w:fill="FFFFFF"/>
            <w:noWrap/>
            <w:vAlign w:val="bottom"/>
            <w:hideMark/>
          </w:tcPr>
          <w:p w14:paraId="3B7581A7" w14:textId="77777777" w:rsidR="0003207E" w:rsidRPr="0003207E" w:rsidRDefault="0003207E" w:rsidP="0003207E">
            <w:pPr>
              <w:rPr>
                <w:rFonts w:ascii="Book Antiqua" w:eastAsia="Times New Roman" w:hAnsi="Book Antiqua" w:cs="Arial"/>
                <w:sz w:val="20"/>
                <w:szCs w:val="20"/>
              </w:rPr>
            </w:pPr>
            <w:bookmarkStart w:id="2" w:name="RANGE!D16"/>
            <w:r w:rsidRPr="0003207E">
              <w:rPr>
                <w:rFonts w:ascii="Book Antiqua" w:eastAsia="Times New Roman" w:hAnsi="Book Antiqua" w:cs="Arial"/>
                <w:sz w:val="20"/>
                <w:szCs w:val="20"/>
              </w:rPr>
              <w:t>0.64</w:t>
            </w:r>
            <w:bookmarkEnd w:id="2"/>
          </w:p>
        </w:tc>
      </w:tr>
      <w:tr w:rsidR="0003207E" w:rsidRPr="0003207E" w14:paraId="585DCCDA" w14:textId="77777777" w:rsidTr="0003207E">
        <w:trPr>
          <w:trHeight w:val="360"/>
          <w:jc w:val="center"/>
        </w:trPr>
        <w:tc>
          <w:tcPr>
            <w:tcW w:w="3860" w:type="dxa"/>
            <w:tcBorders>
              <w:top w:val="nil"/>
              <w:left w:val="single" w:sz="4" w:space="0" w:color="auto"/>
              <w:bottom w:val="nil"/>
              <w:right w:val="nil"/>
            </w:tcBorders>
            <w:shd w:val="clear" w:color="000000" w:fill="FFFFFF"/>
            <w:noWrap/>
            <w:vAlign w:val="bottom"/>
            <w:hideMark/>
          </w:tcPr>
          <w:p w14:paraId="42D915F9"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Fuel Cycle - Back End</w:t>
            </w:r>
          </w:p>
        </w:tc>
        <w:tc>
          <w:tcPr>
            <w:tcW w:w="1260" w:type="dxa"/>
            <w:tcBorders>
              <w:top w:val="nil"/>
              <w:left w:val="nil"/>
              <w:bottom w:val="nil"/>
              <w:right w:val="nil"/>
            </w:tcBorders>
            <w:shd w:val="clear" w:color="000000" w:fill="FFFFFF"/>
            <w:noWrap/>
            <w:vAlign w:val="bottom"/>
            <w:hideMark/>
          </w:tcPr>
          <w:p w14:paraId="1D2CBD10" w14:textId="77777777" w:rsidR="0003207E" w:rsidRPr="0003207E" w:rsidRDefault="0003207E" w:rsidP="0003207E">
            <w:pPr>
              <w:rPr>
                <w:rFonts w:ascii="Book Antiqua" w:eastAsia="Times New Roman" w:hAnsi="Book Antiqua" w:cs="Arial"/>
                <w:sz w:val="20"/>
                <w:szCs w:val="20"/>
              </w:rPr>
            </w:pPr>
            <w:bookmarkStart w:id="3" w:name="RANGE!D17"/>
            <w:r w:rsidRPr="0003207E">
              <w:rPr>
                <w:rFonts w:ascii="Book Antiqua" w:eastAsia="Times New Roman" w:hAnsi="Book Antiqua" w:cs="Arial"/>
                <w:sz w:val="20"/>
                <w:szCs w:val="20"/>
              </w:rPr>
              <w:t>1.01</w:t>
            </w:r>
            <w:bookmarkEnd w:id="3"/>
          </w:p>
        </w:tc>
      </w:tr>
      <w:tr w:rsidR="0003207E" w:rsidRPr="0003207E" w14:paraId="3BD203A3" w14:textId="77777777" w:rsidTr="0003207E">
        <w:trPr>
          <w:trHeight w:val="825"/>
          <w:jc w:val="center"/>
        </w:trPr>
        <w:tc>
          <w:tcPr>
            <w:tcW w:w="3860" w:type="dxa"/>
            <w:tcBorders>
              <w:top w:val="nil"/>
              <w:left w:val="single" w:sz="4" w:space="0" w:color="auto"/>
              <w:bottom w:val="nil"/>
              <w:right w:val="nil"/>
            </w:tcBorders>
            <w:shd w:val="clear" w:color="000000" w:fill="FFFFFF"/>
            <w:noWrap/>
            <w:vAlign w:val="bottom"/>
            <w:hideMark/>
          </w:tcPr>
          <w:p w14:paraId="2188B052"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Fuel Cycle - Total</w:t>
            </w:r>
          </w:p>
        </w:tc>
        <w:tc>
          <w:tcPr>
            <w:tcW w:w="1260" w:type="dxa"/>
            <w:tcBorders>
              <w:top w:val="nil"/>
              <w:left w:val="nil"/>
              <w:bottom w:val="nil"/>
              <w:right w:val="nil"/>
            </w:tcBorders>
            <w:shd w:val="clear" w:color="000000" w:fill="FFFFFF"/>
            <w:noWrap/>
            <w:vAlign w:val="bottom"/>
            <w:hideMark/>
          </w:tcPr>
          <w:p w14:paraId="13E10D90" w14:textId="77777777" w:rsidR="0003207E" w:rsidRPr="0003207E" w:rsidRDefault="0003207E" w:rsidP="0003207E">
            <w:pPr>
              <w:jc w:val="center"/>
              <w:rPr>
                <w:rFonts w:ascii="Book Antiqua" w:eastAsia="Times New Roman" w:hAnsi="Book Antiqua" w:cs="Arial"/>
                <w:sz w:val="20"/>
                <w:szCs w:val="20"/>
              </w:rPr>
            </w:pPr>
            <w:r w:rsidRPr="0003207E">
              <w:rPr>
                <w:rFonts w:ascii="Book Antiqua" w:eastAsia="Times New Roman" w:hAnsi="Book Antiqua" w:cs="Arial"/>
                <w:sz w:val="20"/>
                <w:szCs w:val="20"/>
              </w:rPr>
              <w:t>1.65</w:t>
            </w:r>
          </w:p>
        </w:tc>
      </w:tr>
      <w:tr w:rsidR="0003207E" w:rsidRPr="0003207E" w14:paraId="2DB6F741" w14:textId="77777777" w:rsidTr="0003207E">
        <w:trPr>
          <w:trHeight w:val="260"/>
          <w:jc w:val="center"/>
        </w:trPr>
        <w:tc>
          <w:tcPr>
            <w:tcW w:w="3860" w:type="dxa"/>
            <w:tcBorders>
              <w:top w:val="nil"/>
              <w:left w:val="single" w:sz="4" w:space="0" w:color="auto"/>
              <w:bottom w:val="single" w:sz="4" w:space="0" w:color="auto"/>
              <w:right w:val="nil"/>
            </w:tcBorders>
            <w:shd w:val="clear" w:color="000000" w:fill="FFFFFF"/>
            <w:noWrap/>
            <w:vAlign w:val="bottom"/>
            <w:hideMark/>
          </w:tcPr>
          <w:p w14:paraId="02E25225" w14:textId="77777777" w:rsidR="0003207E" w:rsidRPr="0003207E" w:rsidRDefault="0003207E" w:rsidP="0003207E">
            <w:pPr>
              <w:rPr>
                <w:rFonts w:ascii="Book Antiqua" w:eastAsia="Times New Roman" w:hAnsi="Book Antiqua" w:cs="Arial"/>
                <w:sz w:val="20"/>
                <w:szCs w:val="20"/>
              </w:rPr>
            </w:pPr>
            <w:r w:rsidRPr="0003207E">
              <w:rPr>
                <w:rFonts w:ascii="Book Antiqua" w:eastAsia="Times New Roman" w:hAnsi="Book Antiqua" w:cs="Arial"/>
                <w:sz w:val="20"/>
                <w:szCs w:val="20"/>
              </w:rPr>
              <w:t>D&amp;D Sinking Fund</w:t>
            </w:r>
          </w:p>
        </w:tc>
        <w:tc>
          <w:tcPr>
            <w:tcW w:w="1260" w:type="dxa"/>
            <w:tcBorders>
              <w:top w:val="nil"/>
              <w:left w:val="nil"/>
              <w:bottom w:val="single" w:sz="4" w:space="0" w:color="auto"/>
              <w:right w:val="nil"/>
            </w:tcBorders>
            <w:shd w:val="clear" w:color="000000" w:fill="FFFFFF"/>
            <w:noWrap/>
            <w:vAlign w:val="bottom"/>
            <w:hideMark/>
          </w:tcPr>
          <w:p w14:paraId="3F760552" w14:textId="77777777" w:rsidR="0003207E" w:rsidRPr="0003207E" w:rsidRDefault="0003207E" w:rsidP="0003207E">
            <w:pPr>
              <w:jc w:val="center"/>
              <w:rPr>
                <w:rFonts w:ascii="Book Antiqua" w:eastAsia="Times New Roman" w:hAnsi="Book Antiqua" w:cs="Arial"/>
                <w:sz w:val="20"/>
                <w:szCs w:val="20"/>
              </w:rPr>
            </w:pPr>
            <w:bookmarkStart w:id="4" w:name="RANGE!D19"/>
            <w:r w:rsidRPr="0003207E">
              <w:rPr>
                <w:rFonts w:ascii="Book Antiqua" w:eastAsia="Times New Roman" w:hAnsi="Book Antiqua" w:cs="Arial"/>
                <w:sz w:val="20"/>
                <w:szCs w:val="20"/>
              </w:rPr>
              <w:t>0.18</w:t>
            </w:r>
            <w:bookmarkEnd w:id="4"/>
          </w:p>
        </w:tc>
      </w:tr>
    </w:tbl>
    <w:p w14:paraId="4EC637E8" w14:textId="77777777" w:rsidR="0003207E" w:rsidRDefault="0003207E" w:rsidP="0003207E">
      <w:pPr>
        <w:rPr>
          <w:rFonts w:asciiTheme="majorHAnsi" w:hAnsiTheme="majorHAnsi"/>
        </w:rPr>
      </w:pPr>
    </w:p>
    <w:p w14:paraId="3616E370" w14:textId="5C73B639" w:rsidR="0003207E" w:rsidRDefault="0003207E" w:rsidP="0003207E">
      <w:pPr>
        <w:rPr>
          <w:rFonts w:asciiTheme="majorHAnsi" w:hAnsiTheme="majorHAnsi"/>
        </w:rPr>
      </w:pPr>
      <w:r>
        <w:rPr>
          <w:rFonts w:asciiTheme="majorHAnsi" w:hAnsiTheme="majorHAnsi"/>
        </w:rPr>
        <w:t xml:space="preserve">The results for the hydrogen production are presented likewise in table </w:t>
      </w:r>
      <w:r w:rsidR="007E0274">
        <w:rPr>
          <w:rFonts w:asciiTheme="majorHAnsi" w:hAnsiTheme="majorHAnsi"/>
        </w:rPr>
        <w:t>#.</w:t>
      </w:r>
      <w:r>
        <w:rPr>
          <w:rFonts w:asciiTheme="majorHAnsi" w:hAnsiTheme="majorHAnsi"/>
        </w:rPr>
        <w:t>2</w:t>
      </w:r>
    </w:p>
    <w:p w14:paraId="176A2C37" w14:textId="77777777" w:rsidR="0003207E" w:rsidRDefault="0003207E" w:rsidP="0003207E">
      <w:pPr>
        <w:rPr>
          <w:rFonts w:asciiTheme="majorHAnsi" w:hAnsiTheme="majorHAnsi"/>
        </w:rPr>
      </w:pPr>
    </w:p>
    <w:p w14:paraId="2763C726" w14:textId="02522D08" w:rsidR="0003207E" w:rsidRDefault="0003207E" w:rsidP="0003207E">
      <w:pPr>
        <w:jc w:val="center"/>
        <w:rPr>
          <w:rFonts w:asciiTheme="majorHAnsi" w:hAnsiTheme="majorHAnsi"/>
        </w:rPr>
      </w:pPr>
      <w:r>
        <w:rPr>
          <w:rFonts w:asciiTheme="majorHAnsi" w:hAnsiTheme="majorHAnsi"/>
        </w:rPr>
        <w:t xml:space="preserve">Table </w:t>
      </w:r>
      <w:r w:rsidR="007E0274">
        <w:rPr>
          <w:rFonts w:asciiTheme="majorHAnsi" w:hAnsiTheme="majorHAnsi"/>
        </w:rPr>
        <w:t>#.</w:t>
      </w:r>
      <w:r>
        <w:rPr>
          <w:rFonts w:asciiTheme="majorHAnsi" w:hAnsiTheme="majorHAnsi"/>
        </w:rPr>
        <w:t>2: Hydrogen Production</w:t>
      </w:r>
    </w:p>
    <w:tbl>
      <w:tblPr>
        <w:tblW w:w="10160" w:type="dxa"/>
        <w:tblInd w:w="93" w:type="dxa"/>
        <w:tblLook w:val="04A0" w:firstRow="1" w:lastRow="0" w:firstColumn="1" w:lastColumn="0" w:noHBand="0" w:noVBand="1"/>
      </w:tblPr>
      <w:tblGrid>
        <w:gridCol w:w="6480"/>
        <w:gridCol w:w="1980"/>
        <w:gridCol w:w="1700"/>
      </w:tblGrid>
      <w:tr w:rsidR="0003207E" w:rsidRPr="0003207E" w14:paraId="7A5E61F2" w14:textId="77777777" w:rsidTr="0003207E">
        <w:trPr>
          <w:trHeight w:val="240"/>
        </w:trPr>
        <w:tc>
          <w:tcPr>
            <w:tcW w:w="6480" w:type="dxa"/>
            <w:tcBorders>
              <w:top w:val="nil"/>
              <w:left w:val="single" w:sz="8" w:space="0" w:color="auto"/>
              <w:bottom w:val="nil"/>
              <w:right w:val="nil"/>
            </w:tcBorders>
            <w:shd w:val="clear" w:color="auto" w:fill="auto"/>
            <w:noWrap/>
            <w:vAlign w:val="bottom"/>
            <w:hideMark/>
          </w:tcPr>
          <w:p w14:paraId="1175FE62" w14:textId="77777777" w:rsidR="0003207E" w:rsidRPr="0003207E" w:rsidRDefault="0003207E" w:rsidP="0003207E">
            <w:pPr>
              <w:rPr>
                <w:rFonts w:ascii="Arial" w:eastAsia="Times New Roman" w:hAnsi="Arial" w:cs="Arial"/>
                <w:b/>
                <w:bCs/>
                <w:sz w:val="20"/>
                <w:szCs w:val="20"/>
              </w:rPr>
            </w:pPr>
            <w:r w:rsidRPr="0003207E">
              <w:rPr>
                <w:rFonts w:ascii="Arial" w:eastAsia="Times New Roman" w:hAnsi="Arial" w:cs="Arial"/>
                <w:b/>
                <w:bCs/>
                <w:sz w:val="20"/>
                <w:szCs w:val="20"/>
              </w:rPr>
              <w:t>Capacity and Unit Cost in English Units:</w:t>
            </w:r>
          </w:p>
        </w:tc>
        <w:tc>
          <w:tcPr>
            <w:tcW w:w="1980" w:type="dxa"/>
            <w:tcBorders>
              <w:top w:val="nil"/>
              <w:left w:val="nil"/>
              <w:bottom w:val="nil"/>
              <w:right w:val="nil"/>
            </w:tcBorders>
            <w:shd w:val="clear" w:color="auto" w:fill="auto"/>
            <w:noWrap/>
            <w:vAlign w:val="bottom"/>
            <w:hideMark/>
          </w:tcPr>
          <w:p w14:paraId="76ACA780" w14:textId="77777777" w:rsidR="0003207E" w:rsidRPr="0003207E" w:rsidRDefault="0003207E" w:rsidP="0003207E">
            <w:pPr>
              <w:rPr>
                <w:rFonts w:ascii="Arial" w:eastAsia="Times New Roman" w:hAnsi="Arial" w:cs="Arial"/>
                <w:sz w:val="20"/>
                <w:szCs w:val="20"/>
              </w:rPr>
            </w:pPr>
          </w:p>
        </w:tc>
        <w:tc>
          <w:tcPr>
            <w:tcW w:w="1700" w:type="dxa"/>
            <w:tcBorders>
              <w:top w:val="nil"/>
              <w:left w:val="nil"/>
              <w:bottom w:val="nil"/>
              <w:right w:val="nil"/>
            </w:tcBorders>
            <w:shd w:val="clear" w:color="auto" w:fill="auto"/>
            <w:noWrap/>
            <w:vAlign w:val="bottom"/>
            <w:hideMark/>
          </w:tcPr>
          <w:p w14:paraId="58A2D8A7" w14:textId="77777777" w:rsidR="0003207E" w:rsidRPr="0003207E" w:rsidRDefault="0003207E" w:rsidP="0003207E">
            <w:pPr>
              <w:rPr>
                <w:rFonts w:ascii="Arial" w:eastAsia="Times New Roman" w:hAnsi="Arial" w:cs="Arial"/>
                <w:sz w:val="20"/>
                <w:szCs w:val="20"/>
              </w:rPr>
            </w:pPr>
          </w:p>
        </w:tc>
      </w:tr>
      <w:tr w:rsidR="0003207E" w:rsidRPr="0003207E" w14:paraId="4160DF79" w14:textId="77777777" w:rsidTr="0003207E">
        <w:trPr>
          <w:trHeight w:val="240"/>
        </w:trPr>
        <w:tc>
          <w:tcPr>
            <w:tcW w:w="6480" w:type="dxa"/>
            <w:tcBorders>
              <w:top w:val="nil"/>
              <w:left w:val="single" w:sz="8" w:space="0" w:color="auto"/>
              <w:bottom w:val="nil"/>
              <w:right w:val="nil"/>
            </w:tcBorders>
            <w:shd w:val="clear" w:color="auto" w:fill="auto"/>
            <w:noWrap/>
            <w:vAlign w:val="bottom"/>
            <w:hideMark/>
          </w:tcPr>
          <w:p w14:paraId="11E0749B" w14:textId="77777777" w:rsidR="0003207E" w:rsidRPr="0003207E" w:rsidRDefault="0003207E" w:rsidP="0003207E">
            <w:pPr>
              <w:rPr>
                <w:rFonts w:ascii="Arial" w:eastAsia="Times New Roman" w:hAnsi="Arial" w:cs="Arial"/>
                <w:sz w:val="18"/>
                <w:szCs w:val="18"/>
              </w:rPr>
            </w:pPr>
            <w:r w:rsidRPr="0003207E">
              <w:rPr>
                <w:rFonts w:ascii="Arial" w:eastAsia="Times New Roman" w:hAnsi="Arial" w:cs="Arial"/>
                <w:sz w:val="18"/>
                <w:szCs w:val="18"/>
              </w:rPr>
              <w:t> </w:t>
            </w:r>
          </w:p>
        </w:tc>
        <w:tc>
          <w:tcPr>
            <w:tcW w:w="1980" w:type="dxa"/>
            <w:tcBorders>
              <w:top w:val="nil"/>
              <w:left w:val="nil"/>
              <w:bottom w:val="nil"/>
              <w:right w:val="nil"/>
            </w:tcBorders>
            <w:shd w:val="clear" w:color="auto" w:fill="auto"/>
            <w:noWrap/>
            <w:vAlign w:val="bottom"/>
            <w:hideMark/>
          </w:tcPr>
          <w:p w14:paraId="6AE6232A" w14:textId="77777777" w:rsidR="0003207E" w:rsidRPr="0003207E" w:rsidRDefault="0003207E" w:rsidP="0003207E">
            <w:pPr>
              <w:rPr>
                <w:rFonts w:ascii="Arial" w:eastAsia="Times New Roman" w:hAnsi="Arial" w:cs="Arial"/>
                <w:sz w:val="20"/>
                <w:szCs w:val="20"/>
              </w:rPr>
            </w:pPr>
          </w:p>
        </w:tc>
        <w:tc>
          <w:tcPr>
            <w:tcW w:w="1700" w:type="dxa"/>
            <w:tcBorders>
              <w:top w:val="nil"/>
              <w:left w:val="nil"/>
              <w:bottom w:val="nil"/>
              <w:right w:val="nil"/>
            </w:tcBorders>
            <w:shd w:val="clear" w:color="auto" w:fill="auto"/>
            <w:noWrap/>
            <w:vAlign w:val="bottom"/>
            <w:hideMark/>
          </w:tcPr>
          <w:p w14:paraId="19DFFFB1" w14:textId="77777777" w:rsidR="0003207E" w:rsidRPr="0003207E" w:rsidRDefault="0003207E" w:rsidP="0003207E">
            <w:pPr>
              <w:rPr>
                <w:rFonts w:ascii="Arial" w:eastAsia="Times New Roman" w:hAnsi="Arial" w:cs="Arial"/>
                <w:sz w:val="20"/>
                <w:szCs w:val="20"/>
              </w:rPr>
            </w:pPr>
          </w:p>
        </w:tc>
      </w:tr>
      <w:tr w:rsidR="0003207E" w:rsidRPr="0003207E" w14:paraId="0C3AE773" w14:textId="77777777" w:rsidTr="0003207E">
        <w:trPr>
          <w:trHeight w:val="240"/>
        </w:trPr>
        <w:tc>
          <w:tcPr>
            <w:tcW w:w="6480" w:type="dxa"/>
            <w:tcBorders>
              <w:top w:val="nil"/>
              <w:left w:val="single" w:sz="8" w:space="0" w:color="auto"/>
              <w:bottom w:val="nil"/>
              <w:right w:val="nil"/>
            </w:tcBorders>
            <w:shd w:val="clear" w:color="auto" w:fill="auto"/>
            <w:noWrap/>
            <w:vAlign w:val="bottom"/>
            <w:hideMark/>
          </w:tcPr>
          <w:p w14:paraId="3C6A0B4F" w14:textId="77777777" w:rsidR="0003207E" w:rsidRPr="0003207E" w:rsidRDefault="0003207E" w:rsidP="0003207E">
            <w:pPr>
              <w:rPr>
                <w:rFonts w:ascii="Arial" w:eastAsia="Times New Roman" w:hAnsi="Arial" w:cs="Arial"/>
                <w:sz w:val="20"/>
                <w:szCs w:val="20"/>
              </w:rPr>
            </w:pPr>
            <w:r w:rsidRPr="0003207E">
              <w:rPr>
                <w:rFonts w:ascii="Arial" w:eastAsia="Times New Roman" w:hAnsi="Arial" w:cs="Arial"/>
                <w:sz w:val="20"/>
                <w:szCs w:val="20"/>
              </w:rPr>
              <w:t>Capacity</w:t>
            </w:r>
          </w:p>
        </w:tc>
        <w:tc>
          <w:tcPr>
            <w:tcW w:w="1980" w:type="dxa"/>
            <w:tcBorders>
              <w:top w:val="nil"/>
              <w:left w:val="nil"/>
              <w:bottom w:val="nil"/>
              <w:right w:val="nil"/>
            </w:tcBorders>
            <w:shd w:val="clear" w:color="auto" w:fill="auto"/>
            <w:noWrap/>
            <w:vAlign w:val="bottom"/>
            <w:hideMark/>
          </w:tcPr>
          <w:p w14:paraId="4B40B42F" w14:textId="77777777" w:rsidR="0003207E" w:rsidRPr="0003207E" w:rsidRDefault="0003207E" w:rsidP="0003207E">
            <w:pPr>
              <w:jc w:val="right"/>
              <w:rPr>
                <w:rFonts w:ascii="Arial" w:eastAsia="Times New Roman" w:hAnsi="Arial" w:cs="Arial"/>
                <w:sz w:val="20"/>
                <w:szCs w:val="20"/>
              </w:rPr>
            </w:pPr>
            <w:r w:rsidRPr="0003207E">
              <w:rPr>
                <w:rFonts w:ascii="Arial" w:eastAsia="Times New Roman" w:hAnsi="Arial" w:cs="Arial"/>
                <w:sz w:val="20"/>
                <w:szCs w:val="20"/>
              </w:rPr>
              <w:t>298.6</w:t>
            </w:r>
          </w:p>
        </w:tc>
        <w:tc>
          <w:tcPr>
            <w:tcW w:w="1700" w:type="dxa"/>
            <w:tcBorders>
              <w:top w:val="nil"/>
              <w:left w:val="nil"/>
              <w:bottom w:val="nil"/>
              <w:right w:val="nil"/>
            </w:tcBorders>
            <w:shd w:val="clear" w:color="000000" w:fill="CCFFFF"/>
            <w:noWrap/>
            <w:vAlign w:val="bottom"/>
            <w:hideMark/>
          </w:tcPr>
          <w:p w14:paraId="0C4D4ACA" w14:textId="77777777" w:rsidR="0003207E" w:rsidRPr="0003207E" w:rsidRDefault="0003207E" w:rsidP="0003207E">
            <w:pPr>
              <w:rPr>
                <w:rFonts w:ascii="Arial" w:eastAsia="Times New Roman" w:hAnsi="Arial" w:cs="Arial"/>
                <w:color w:val="DD0806"/>
                <w:sz w:val="20"/>
                <w:szCs w:val="20"/>
              </w:rPr>
            </w:pPr>
            <w:r w:rsidRPr="0003207E">
              <w:rPr>
                <w:rFonts w:ascii="Arial" w:eastAsia="Times New Roman" w:hAnsi="Arial" w:cs="Arial"/>
                <w:color w:val="DD0806"/>
                <w:sz w:val="20"/>
                <w:szCs w:val="20"/>
              </w:rPr>
              <w:t>Mft3 H2/day</w:t>
            </w:r>
          </w:p>
        </w:tc>
      </w:tr>
      <w:tr w:rsidR="0003207E" w:rsidRPr="0003207E" w14:paraId="0D7CD64D" w14:textId="77777777" w:rsidTr="0003207E">
        <w:trPr>
          <w:trHeight w:val="240"/>
        </w:trPr>
        <w:tc>
          <w:tcPr>
            <w:tcW w:w="6480" w:type="dxa"/>
            <w:tcBorders>
              <w:top w:val="nil"/>
              <w:left w:val="single" w:sz="8" w:space="0" w:color="auto"/>
              <w:bottom w:val="nil"/>
              <w:right w:val="nil"/>
            </w:tcBorders>
            <w:shd w:val="clear" w:color="auto" w:fill="auto"/>
            <w:noWrap/>
            <w:vAlign w:val="bottom"/>
            <w:hideMark/>
          </w:tcPr>
          <w:p w14:paraId="4ACDE5DE" w14:textId="77777777" w:rsidR="0003207E" w:rsidRPr="0003207E" w:rsidRDefault="0003207E" w:rsidP="0003207E">
            <w:pPr>
              <w:rPr>
                <w:rFonts w:ascii="Arial" w:eastAsia="Times New Roman" w:hAnsi="Arial" w:cs="Arial"/>
                <w:sz w:val="20"/>
                <w:szCs w:val="20"/>
              </w:rPr>
            </w:pPr>
            <w:r w:rsidRPr="0003207E">
              <w:rPr>
                <w:rFonts w:ascii="Arial" w:eastAsia="Times New Roman" w:hAnsi="Arial" w:cs="Arial"/>
                <w:sz w:val="20"/>
                <w:szCs w:val="20"/>
              </w:rPr>
              <w:t>Unit Cost</w:t>
            </w:r>
          </w:p>
        </w:tc>
        <w:tc>
          <w:tcPr>
            <w:tcW w:w="1980" w:type="dxa"/>
            <w:tcBorders>
              <w:top w:val="nil"/>
              <w:left w:val="nil"/>
              <w:bottom w:val="nil"/>
              <w:right w:val="nil"/>
            </w:tcBorders>
            <w:shd w:val="clear" w:color="auto" w:fill="auto"/>
            <w:noWrap/>
            <w:vAlign w:val="bottom"/>
            <w:hideMark/>
          </w:tcPr>
          <w:p w14:paraId="57F84D3D" w14:textId="77777777" w:rsidR="0003207E" w:rsidRPr="0003207E" w:rsidRDefault="0003207E" w:rsidP="0003207E">
            <w:pPr>
              <w:jc w:val="right"/>
              <w:rPr>
                <w:rFonts w:ascii="Arial" w:eastAsia="Times New Roman" w:hAnsi="Arial" w:cs="Arial"/>
                <w:b/>
                <w:color w:val="C0504D" w:themeColor="accent2"/>
                <w:sz w:val="20"/>
                <w:szCs w:val="20"/>
              </w:rPr>
            </w:pPr>
            <w:r w:rsidRPr="0003207E">
              <w:rPr>
                <w:rFonts w:ascii="Arial" w:eastAsia="Times New Roman" w:hAnsi="Arial" w:cs="Arial"/>
                <w:b/>
                <w:color w:val="C0504D" w:themeColor="accent2"/>
                <w:sz w:val="20"/>
                <w:szCs w:val="20"/>
              </w:rPr>
              <w:t>1.68</w:t>
            </w:r>
          </w:p>
        </w:tc>
        <w:tc>
          <w:tcPr>
            <w:tcW w:w="1700" w:type="dxa"/>
            <w:tcBorders>
              <w:top w:val="nil"/>
              <w:left w:val="nil"/>
              <w:bottom w:val="nil"/>
              <w:right w:val="nil"/>
            </w:tcBorders>
            <w:shd w:val="clear" w:color="000000" w:fill="CCFFFF"/>
            <w:noWrap/>
            <w:vAlign w:val="bottom"/>
            <w:hideMark/>
          </w:tcPr>
          <w:p w14:paraId="6BB803F6" w14:textId="77777777" w:rsidR="0003207E" w:rsidRPr="0003207E" w:rsidRDefault="0003207E" w:rsidP="0003207E">
            <w:pPr>
              <w:rPr>
                <w:rFonts w:ascii="Arial" w:eastAsia="Times New Roman" w:hAnsi="Arial" w:cs="Arial"/>
                <w:color w:val="DD0806"/>
                <w:sz w:val="20"/>
                <w:szCs w:val="20"/>
              </w:rPr>
            </w:pPr>
            <w:r w:rsidRPr="0003207E">
              <w:rPr>
                <w:rFonts w:ascii="Arial" w:eastAsia="Times New Roman" w:hAnsi="Arial" w:cs="Arial"/>
                <w:color w:val="DD0806"/>
                <w:sz w:val="20"/>
                <w:szCs w:val="20"/>
              </w:rPr>
              <w:t>$/lb H2</w:t>
            </w:r>
          </w:p>
        </w:tc>
      </w:tr>
      <w:tr w:rsidR="0003207E" w:rsidRPr="0003207E" w14:paraId="0277271A" w14:textId="77777777" w:rsidTr="0003207E">
        <w:trPr>
          <w:trHeight w:val="240"/>
        </w:trPr>
        <w:tc>
          <w:tcPr>
            <w:tcW w:w="6480" w:type="dxa"/>
            <w:tcBorders>
              <w:top w:val="nil"/>
              <w:left w:val="single" w:sz="8" w:space="0" w:color="auto"/>
              <w:bottom w:val="nil"/>
              <w:right w:val="nil"/>
            </w:tcBorders>
            <w:shd w:val="clear" w:color="auto" w:fill="auto"/>
            <w:noWrap/>
            <w:vAlign w:val="bottom"/>
            <w:hideMark/>
          </w:tcPr>
          <w:p w14:paraId="09360B0A" w14:textId="77777777" w:rsidR="0003207E" w:rsidRPr="0003207E" w:rsidRDefault="0003207E" w:rsidP="0003207E">
            <w:pPr>
              <w:rPr>
                <w:rFonts w:ascii="Arial" w:eastAsia="Times New Roman" w:hAnsi="Arial" w:cs="Arial"/>
                <w:sz w:val="20"/>
                <w:szCs w:val="20"/>
              </w:rPr>
            </w:pPr>
            <w:r w:rsidRPr="0003207E">
              <w:rPr>
                <w:rFonts w:ascii="Arial" w:eastAsia="Times New Roman" w:hAnsi="Arial" w:cs="Arial"/>
                <w:sz w:val="20"/>
                <w:szCs w:val="20"/>
              </w:rPr>
              <w:t>Unit heat cost from reactor in $/million BTUs</w:t>
            </w:r>
          </w:p>
        </w:tc>
        <w:tc>
          <w:tcPr>
            <w:tcW w:w="1980" w:type="dxa"/>
            <w:tcBorders>
              <w:top w:val="nil"/>
              <w:left w:val="nil"/>
              <w:bottom w:val="nil"/>
              <w:right w:val="nil"/>
            </w:tcBorders>
            <w:shd w:val="clear" w:color="auto" w:fill="auto"/>
            <w:noWrap/>
            <w:vAlign w:val="bottom"/>
            <w:hideMark/>
          </w:tcPr>
          <w:p w14:paraId="7952218C" w14:textId="77777777" w:rsidR="0003207E" w:rsidRPr="0003207E" w:rsidRDefault="0003207E" w:rsidP="0003207E">
            <w:pPr>
              <w:jc w:val="right"/>
              <w:rPr>
                <w:rFonts w:ascii="Arial" w:eastAsia="Times New Roman" w:hAnsi="Arial" w:cs="Arial"/>
                <w:sz w:val="20"/>
                <w:szCs w:val="20"/>
              </w:rPr>
            </w:pPr>
            <w:r w:rsidRPr="0003207E">
              <w:rPr>
                <w:rFonts w:ascii="Arial" w:eastAsia="Times New Roman" w:hAnsi="Arial" w:cs="Arial"/>
                <w:sz w:val="20"/>
                <w:szCs w:val="20"/>
              </w:rPr>
              <w:t>12.37</w:t>
            </w:r>
          </w:p>
        </w:tc>
        <w:tc>
          <w:tcPr>
            <w:tcW w:w="1700" w:type="dxa"/>
            <w:tcBorders>
              <w:top w:val="nil"/>
              <w:left w:val="nil"/>
              <w:bottom w:val="nil"/>
              <w:right w:val="nil"/>
            </w:tcBorders>
            <w:shd w:val="clear" w:color="auto" w:fill="auto"/>
            <w:noWrap/>
            <w:vAlign w:val="bottom"/>
            <w:hideMark/>
          </w:tcPr>
          <w:p w14:paraId="5EDDEA6C" w14:textId="77777777" w:rsidR="0003207E" w:rsidRPr="0003207E" w:rsidRDefault="0003207E" w:rsidP="0003207E">
            <w:pPr>
              <w:rPr>
                <w:rFonts w:ascii="Arial" w:eastAsia="Times New Roman" w:hAnsi="Arial" w:cs="Arial"/>
                <w:sz w:val="20"/>
                <w:szCs w:val="20"/>
              </w:rPr>
            </w:pPr>
            <w:r w:rsidRPr="0003207E">
              <w:rPr>
                <w:rFonts w:ascii="Arial" w:eastAsia="Times New Roman" w:hAnsi="Arial" w:cs="Arial"/>
                <w:sz w:val="20"/>
                <w:szCs w:val="20"/>
              </w:rPr>
              <w:t>$/MBTU</w:t>
            </w:r>
          </w:p>
        </w:tc>
      </w:tr>
    </w:tbl>
    <w:p w14:paraId="39DBD692" w14:textId="77777777" w:rsidR="0003207E" w:rsidRDefault="0003207E" w:rsidP="0003207E">
      <w:pPr>
        <w:jc w:val="center"/>
        <w:rPr>
          <w:rFonts w:asciiTheme="majorHAnsi" w:hAnsiTheme="majorHAnsi"/>
        </w:rPr>
      </w:pPr>
    </w:p>
    <w:p w14:paraId="3023B935" w14:textId="0E5B37AE" w:rsidR="0003207E" w:rsidRDefault="0003207E" w:rsidP="0003207E">
      <w:pPr>
        <w:rPr>
          <w:rFonts w:asciiTheme="majorHAnsi" w:hAnsiTheme="majorHAnsi"/>
        </w:rPr>
      </w:pPr>
      <w:r>
        <w:rPr>
          <w:rFonts w:asciiTheme="majorHAnsi" w:hAnsiTheme="majorHAnsi"/>
        </w:rPr>
        <w:t xml:space="preserve">In a hydrogen economy, initial prices of hydrogen could be as high as $10/kg, making our production costs viable but with a fairly tight margin. </w:t>
      </w:r>
      <w:r w:rsidR="007E0274">
        <w:rPr>
          <w:rFonts w:asciiTheme="majorHAnsi" w:hAnsiTheme="majorHAnsi"/>
        </w:rPr>
        <w:t>The comparison of the overall LUEC again shows promise, but not by a significant margin, table #.3 compares LUEC for several different sources of energy</w:t>
      </w:r>
    </w:p>
    <w:p w14:paraId="3C0E0A8D" w14:textId="77777777" w:rsidR="007E0274" w:rsidRDefault="007E0274" w:rsidP="0003207E">
      <w:pPr>
        <w:rPr>
          <w:rFonts w:asciiTheme="majorHAnsi" w:hAnsiTheme="majorHAnsi"/>
        </w:rPr>
      </w:pPr>
    </w:p>
    <w:p w14:paraId="7DFCCA5E" w14:textId="2B9841AE" w:rsidR="007E0274" w:rsidRDefault="007E0274" w:rsidP="007E0274">
      <w:pPr>
        <w:jc w:val="center"/>
        <w:rPr>
          <w:rFonts w:asciiTheme="majorHAnsi" w:hAnsiTheme="majorHAnsi"/>
        </w:rPr>
      </w:pPr>
      <w:r>
        <w:rPr>
          <w:rFonts w:asciiTheme="majorHAnsi" w:hAnsiTheme="majorHAnsi"/>
        </w:rPr>
        <w:t>Table #.3: Energy Costs By Source (ref)</w:t>
      </w:r>
    </w:p>
    <w:tbl>
      <w:tblPr>
        <w:tblW w:w="5000" w:type="pct"/>
        <w:tblLayout w:type="fixed"/>
        <w:tblCellMar>
          <w:left w:w="0" w:type="dxa"/>
          <w:right w:w="0" w:type="dxa"/>
        </w:tblCellMar>
        <w:tblLook w:val="0600" w:firstRow="0" w:lastRow="0" w:firstColumn="0" w:lastColumn="0" w:noHBand="1" w:noVBand="1"/>
      </w:tblPr>
      <w:tblGrid>
        <w:gridCol w:w="650"/>
        <w:gridCol w:w="905"/>
        <w:gridCol w:w="1354"/>
        <w:gridCol w:w="1621"/>
        <w:gridCol w:w="1260"/>
        <w:gridCol w:w="1083"/>
        <w:gridCol w:w="899"/>
        <w:gridCol w:w="908"/>
      </w:tblGrid>
      <w:tr w:rsidR="007E0274" w:rsidRPr="007E0274" w14:paraId="530220EB" w14:textId="77777777" w:rsidTr="007E0274">
        <w:trPr>
          <w:trHeight w:val="522"/>
        </w:trPr>
        <w:tc>
          <w:tcPr>
            <w:tcW w:w="895" w:type="pct"/>
            <w:gridSpan w:val="2"/>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6A4CAB39" w14:textId="77777777" w:rsidR="007E0274" w:rsidRPr="007E0274" w:rsidRDefault="007E0274" w:rsidP="007E0274">
            <w:pPr>
              <w:jc w:val="center"/>
              <w:rPr>
                <w:rFonts w:asciiTheme="majorHAnsi" w:hAnsiTheme="majorHAnsi"/>
              </w:rPr>
            </w:pPr>
            <w:r w:rsidRPr="007E0274">
              <w:rPr>
                <w:rFonts w:asciiTheme="majorHAnsi" w:hAnsiTheme="majorHAnsi"/>
              </w:rPr>
              <w:t>Estimate in $/MWh</w:t>
            </w:r>
          </w:p>
        </w:tc>
        <w:tc>
          <w:tcPr>
            <w:tcW w:w="780" w:type="pct"/>
            <w:vMerge w:val="restar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1A518DE4" w14:textId="77777777" w:rsidR="007E0274" w:rsidRPr="007E0274" w:rsidRDefault="007E0274" w:rsidP="007E0274">
            <w:pPr>
              <w:jc w:val="center"/>
              <w:rPr>
                <w:rFonts w:asciiTheme="majorHAnsi" w:hAnsiTheme="majorHAnsi"/>
              </w:rPr>
            </w:pPr>
            <w:r w:rsidRPr="007E0274">
              <w:rPr>
                <w:rFonts w:asciiTheme="majorHAnsi" w:hAnsiTheme="majorHAnsi"/>
              </w:rPr>
              <w:t>Conventional coal</w:t>
            </w:r>
          </w:p>
        </w:tc>
        <w:tc>
          <w:tcPr>
            <w:tcW w:w="1660" w:type="pct"/>
            <w:gridSpan w:val="2"/>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45BD11AF" w14:textId="77777777" w:rsidR="007E0274" w:rsidRPr="007E0274" w:rsidRDefault="007E0274" w:rsidP="007E0274">
            <w:pPr>
              <w:jc w:val="center"/>
              <w:rPr>
                <w:rFonts w:asciiTheme="majorHAnsi" w:hAnsiTheme="majorHAnsi"/>
              </w:rPr>
            </w:pPr>
            <w:r w:rsidRPr="007E0274">
              <w:rPr>
                <w:rFonts w:asciiTheme="majorHAnsi" w:hAnsiTheme="majorHAnsi"/>
              </w:rPr>
              <w:t>NG combined cycle</w:t>
            </w:r>
          </w:p>
        </w:tc>
        <w:tc>
          <w:tcPr>
            <w:tcW w:w="624" w:type="pct"/>
            <w:vMerge w:val="restar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015C46B6" w14:textId="77777777" w:rsidR="007E0274" w:rsidRPr="007E0274" w:rsidRDefault="007E0274" w:rsidP="007E0274">
            <w:pPr>
              <w:jc w:val="center"/>
              <w:rPr>
                <w:rFonts w:asciiTheme="majorHAnsi" w:hAnsiTheme="majorHAnsi"/>
              </w:rPr>
            </w:pPr>
            <w:r w:rsidRPr="007E0274">
              <w:rPr>
                <w:rFonts w:asciiTheme="majorHAnsi" w:hAnsiTheme="majorHAnsi"/>
              </w:rPr>
              <w:t>Nuclear advanced</w:t>
            </w:r>
          </w:p>
        </w:tc>
        <w:tc>
          <w:tcPr>
            <w:tcW w:w="1042" w:type="pct"/>
            <w:gridSpan w:val="2"/>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4C116951" w14:textId="77777777" w:rsidR="007E0274" w:rsidRPr="007E0274" w:rsidRDefault="007E0274" w:rsidP="007E0274">
            <w:pPr>
              <w:jc w:val="center"/>
              <w:rPr>
                <w:rFonts w:asciiTheme="majorHAnsi" w:hAnsiTheme="majorHAnsi"/>
              </w:rPr>
            </w:pPr>
            <w:r w:rsidRPr="007E0274">
              <w:rPr>
                <w:rFonts w:asciiTheme="majorHAnsi" w:hAnsiTheme="majorHAnsi"/>
              </w:rPr>
              <w:t>wind</w:t>
            </w:r>
          </w:p>
        </w:tc>
      </w:tr>
      <w:tr w:rsidR="007E0274" w:rsidRPr="007E0274" w14:paraId="547E6663" w14:textId="77777777" w:rsidTr="007E0274">
        <w:trPr>
          <w:trHeight w:val="522"/>
        </w:trPr>
        <w:tc>
          <w:tcPr>
            <w:tcW w:w="374" w:type="pc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13B5AA2B" w14:textId="77777777" w:rsidR="007E0274" w:rsidRPr="007E0274" w:rsidRDefault="007E0274" w:rsidP="007E0274">
            <w:pPr>
              <w:jc w:val="center"/>
              <w:rPr>
                <w:rFonts w:asciiTheme="majorHAnsi" w:hAnsiTheme="majorHAnsi"/>
              </w:rPr>
            </w:pPr>
            <w:r w:rsidRPr="007E0274">
              <w:rPr>
                <w:rFonts w:asciiTheme="majorHAnsi" w:hAnsiTheme="majorHAnsi"/>
              </w:rPr>
              <w:t>year</w:t>
            </w:r>
          </w:p>
        </w:tc>
        <w:tc>
          <w:tcPr>
            <w:tcW w:w="520" w:type="pc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3B4E0272" w14:textId="77777777" w:rsidR="007E0274" w:rsidRPr="007E0274" w:rsidRDefault="007E0274" w:rsidP="007E0274">
            <w:pPr>
              <w:jc w:val="center"/>
              <w:rPr>
                <w:rFonts w:asciiTheme="majorHAnsi" w:hAnsiTheme="majorHAnsi"/>
              </w:rPr>
            </w:pPr>
            <w:r w:rsidRPr="007E0274">
              <w:rPr>
                <w:rFonts w:asciiTheme="majorHAnsi" w:hAnsiTheme="majorHAnsi"/>
              </w:rPr>
              <w:t>for year</w:t>
            </w:r>
          </w:p>
        </w:tc>
        <w:tc>
          <w:tcPr>
            <w:tcW w:w="780" w:type="pct"/>
            <w:vMerge/>
            <w:tcBorders>
              <w:top w:val="single" w:sz="4" w:space="0" w:color="000000"/>
              <w:left w:val="single" w:sz="4" w:space="0" w:color="000000"/>
              <w:bottom w:val="single" w:sz="4" w:space="0" w:color="000000"/>
              <w:right w:val="single" w:sz="4" w:space="0" w:color="000000"/>
            </w:tcBorders>
            <w:vAlign w:val="center"/>
            <w:hideMark/>
          </w:tcPr>
          <w:p w14:paraId="3AC0AC8D" w14:textId="77777777" w:rsidR="007E0274" w:rsidRPr="007E0274" w:rsidRDefault="007E0274" w:rsidP="007E0274">
            <w:pPr>
              <w:jc w:val="center"/>
              <w:rPr>
                <w:rFonts w:asciiTheme="majorHAnsi" w:hAnsiTheme="majorHAnsi"/>
              </w:rPr>
            </w:pPr>
          </w:p>
        </w:tc>
        <w:tc>
          <w:tcPr>
            <w:tcW w:w="934" w:type="pc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0CA86E99" w14:textId="77777777" w:rsidR="007E0274" w:rsidRPr="007E0274" w:rsidRDefault="007E0274" w:rsidP="007E0274">
            <w:pPr>
              <w:jc w:val="center"/>
              <w:rPr>
                <w:rFonts w:asciiTheme="majorHAnsi" w:hAnsiTheme="majorHAnsi"/>
              </w:rPr>
            </w:pPr>
            <w:r w:rsidRPr="007E0274">
              <w:rPr>
                <w:rFonts w:asciiTheme="majorHAnsi" w:hAnsiTheme="majorHAnsi"/>
              </w:rPr>
              <w:t>conventional</w:t>
            </w:r>
          </w:p>
        </w:tc>
        <w:tc>
          <w:tcPr>
            <w:tcW w:w="726" w:type="pc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34A7A119" w14:textId="77777777" w:rsidR="007E0274" w:rsidRPr="007E0274" w:rsidRDefault="007E0274" w:rsidP="007E0274">
            <w:pPr>
              <w:jc w:val="center"/>
              <w:rPr>
                <w:rFonts w:asciiTheme="majorHAnsi" w:hAnsiTheme="majorHAnsi"/>
              </w:rPr>
            </w:pPr>
            <w:r w:rsidRPr="007E0274">
              <w:rPr>
                <w:rFonts w:asciiTheme="majorHAnsi" w:hAnsiTheme="majorHAnsi"/>
              </w:rPr>
              <w:t>advanced</w:t>
            </w:r>
          </w:p>
        </w:tc>
        <w:tc>
          <w:tcPr>
            <w:tcW w:w="624" w:type="pct"/>
            <w:vMerge/>
            <w:tcBorders>
              <w:top w:val="single" w:sz="4" w:space="0" w:color="000000"/>
              <w:left w:val="single" w:sz="4" w:space="0" w:color="000000"/>
              <w:bottom w:val="single" w:sz="4" w:space="0" w:color="000000"/>
              <w:right w:val="single" w:sz="4" w:space="0" w:color="000000"/>
            </w:tcBorders>
            <w:vAlign w:val="center"/>
            <w:hideMark/>
          </w:tcPr>
          <w:p w14:paraId="1DDC1ACB" w14:textId="77777777" w:rsidR="007E0274" w:rsidRPr="007E0274" w:rsidRDefault="007E0274" w:rsidP="007E0274">
            <w:pPr>
              <w:jc w:val="center"/>
              <w:rPr>
                <w:rFonts w:asciiTheme="majorHAnsi" w:hAnsiTheme="majorHAnsi"/>
              </w:rPr>
            </w:pPr>
          </w:p>
        </w:tc>
        <w:tc>
          <w:tcPr>
            <w:tcW w:w="518" w:type="pc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1FFCA801" w14:textId="77777777" w:rsidR="007E0274" w:rsidRPr="007E0274" w:rsidRDefault="007E0274" w:rsidP="007E0274">
            <w:pPr>
              <w:jc w:val="center"/>
              <w:rPr>
                <w:rFonts w:asciiTheme="majorHAnsi" w:hAnsiTheme="majorHAnsi"/>
              </w:rPr>
            </w:pPr>
            <w:r w:rsidRPr="007E0274">
              <w:rPr>
                <w:rFonts w:asciiTheme="majorHAnsi" w:hAnsiTheme="majorHAnsi"/>
              </w:rPr>
              <w:t>onshore</w:t>
            </w:r>
          </w:p>
        </w:tc>
        <w:tc>
          <w:tcPr>
            <w:tcW w:w="524" w:type="pct"/>
            <w:tcBorders>
              <w:top w:val="single" w:sz="4" w:space="0" w:color="000000"/>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3AC5E210" w14:textId="77777777" w:rsidR="007E0274" w:rsidRPr="007E0274" w:rsidRDefault="007E0274" w:rsidP="007E0274">
            <w:pPr>
              <w:jc w:val="center"/>
              <w:rPr>
                <w:rFonts w:asciiTheme="majorHAnsi" w:hAnsiTheme="majorHAnsi"/>
              </w:rPr>
            </w:pPr>
            <w:r w:rsidRPr="007E0274">
              <w:rPr>
                <w:rFonts w:asciiTheme="majorHAnsi" w:hAnsiTheme="majorHAnsi"/>
              </w:rPr>
              <w:t>offshore</w:t>
            </w:r>
          </w:p>
        </w:tc>
      </w:tr>
      <w:tr w:rsidR="007E0274" w:rsidRPr="007E0274" w14:paraId="0B73CBC9" w14:textId="77777777" w:rsidTr="007E0274">
        <w:trPr>
          <w:trHeight w:val="522"/>
        </w:trPr>
        <w:tc>
          <w:tcPr>
            <w:tcW w:w="374" w:type="pct"/>
            <w:tcBorders>
              <w:top w:val="single" w:sz="4" w:space="0" w:color="000000"/>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102AD75C" w14:textId="77777777" w:rsidR="007E0274" w:rsidRPr="007E0274" w:rsidRDefault="007E0274" w:rsidP="007E0274">
            <w:pPr>
              <w:jc w:val="center"/>
              <w:rPr>
                <w:rFonts w:asciiTheme="majorHAnsi" w:hAnsiTheme="majorHAnsi"/>
              </w:rPr>
            </w:pPr>
            <w:r w:rsidRPr="007E0274">
              <w:rPr>
                <w:rFonts w:asciiTheme="majorHAnsi" w:hAnsiTheme="majorHAnsi"/>
                <w:lang w:val="is-IS"/>
              </w:rPr>
              <w:t>2010</w:t>
            </w:r>
          </w:p>
        </w:tc>
        <w:tc>
          <w:tcPr>
            <w:tcW w:w="520" w:type="pct"/>
            <w:tcBorders>
              <w:top w:val="single" w:sz="4" w:space="0" w:color="000000"/>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56948D68" w14:textId="77777777" w:rsidR="007E0274" w:rsidRPr="007E0274" w:rsidRDefault="007E0274" w:rsidP="007E0274">
            <w:pPr>
              <w:jc w:val="center"/>
              <w:rPr>
                <w:rFonts w:asciiTheme="majorHAnsi" w:hAnsiTheme="majorHAnsi"/>
              </w:rPr>
            </w:pPr>
            <w:r w:rsidRPr="007E0274">
              <w:rPr>
                <w:rFonts w:asciiTheme="majorHAnsi" w:hAnsiTheme="majorHAnsi"/>
                <w:lang w:val="is-IS"/>
              </w:rPr>
              <w:t>2016</w:t>
            </w:r>
          </w:p>
        </w:tc>
        <w:tc>
          <w:tcPr>
            <w:tcW w:w="780" w:type="pct"/>
            <w:tcBorders>
              <w:top w:val="single" w:sz="4" w:space="0" w:color="000000"/>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1C01B656" w14:textId="77777777" w:rsidR="007E0274" w:rsidRPr="007E0274" w:rsidRDefault="007E0274" w:rsidP="007E0274">
            <w:pPr>
              <w:jc w:val="center"/>
              <w:rPr>
                <w:rFonts w:asciiTheme="majorHAnsi" w:hAnsiTheme="majorHAnsi"/>
              </w:rPr>
            </w:pPr>
            <w:r w:rsidRPr="007E0274">
              <w:rPr>
                <w:rFonts w:asciiTheme="majorHAnsi" w:hAnsiTheme="majorHAnsi"/>
                <w:lang w:val="nb-NO"/>
              </w:rPr>
              <w:t>100.4</w:t>
            </w:r>
          </w:p>
        </w:tc>
        <w:tc>
          <w:tcPr>
            <w:tcW w:w="934" w:type="pct"/>
            <w:tcBorders>
              <w:top w:val="single" w:sz="4" w:space="0" w:color="000000"/>
              <w:left w:val="single" w:sz="4" w:space="0" w:color="000000"/>
              <w:bottom w:val="nil"/>
              <w:right w:val="nil"/>
            </w:tcBorders>
            <w:shd w:val="clear" w:color="auto" w:fill="E7E6E6"/>
            <w:tcMar>
              <w:top w:w="20" w:type="dxa"/>
              <w:left w:w="20" w:type="dxa"/>
              <w:bottom w:w="0" w:type="dxa"/>
              <w:right w:w="20" w:type="dxa"/>
            </w:tcMar>
            <w:vAlign w:val="center"/>
            <w:hideMark/>
          </w:tcPr>
          <w:p w14:paraId="08BCB5C5" w14:textId="77777777" w:rsidR="007E0274" w:rsidRPr="007E0274" w:rsidRDefault="007E0274" w:rsidP="007E0274">
            <w:pPr>
              <w:jc w:val="center"/>
              <w:rPr>
                <w:rFonts w:asciiTheme="majorHAnsi" w:hAnsiTheme="majorHAnsi"/>
              </w:rPr>
            </w:pPr>
            <w:r w:rsidRPr="007E0274">
              <w:rPr>
                <w:rFonts w:asciiTheme="majorHAnsi" w:hAnsiTheme="majorHAnsi"/>
                <w:lang w:val="hr-HR"/>
              </w:rPr>
              <w:t>83.1</w:t>
            </w:r>
          </w:p>
        </w:tc>
        <w:tc>
          <w:tcPr>
            <w:tcW w:w="726" w:type="pct"/>
            <w:tcBorders>
              <w:top w:val="single" w:sz="4" w:space="0" w:color="000000"/>
              <w:left w:val="nil"/>
              <w:bottom w:val="nil"/>
              <w:right w:val="single" w:sz="4" w:space="0" w:color="000000"/>
            </w:tcBorders>
            <w:shd w:val="clear" w:color="auto" w:fill="E7E6E6"/>
            <w:tcMar>
              <w:top w:w="20" w:type="dxa"/>
              <w:left w:w="20" w:type="dxa"/>
              <w:bottom w:w="0" w:type="dxa"/>
              <w:right w:w="20" w:type="dxa"/>
            </w:tcMar>
            <w:vAlign w:val="center"/>
            <w:hideMark/>
          </w:tcPr>
          <w:p w14:paraId="4A9606B4" w14:textId="77777777" w:rsidR="007E0274" w:rsidRPr="007E0274" w:rsidRDefault="007E0274" w:rsidP="007E0274">
            <w:pPr>
              <w:jc w:val="center"/>
              <w:rPr>
                <w:rFonts w:asciiTheme="majorHAnsi" w:hAnsiTheme="majorHAnsi"/>
              </w:rPr>
            </w:pPr>
            <w:r w:rsidRPr="007E0274">
              <w:rPr>
                <w:rFonts w:asciiTheme="majorHAnsi" w:hAnsiTheme="majorHAnsi"/>
                <w:lang w:val="fi-FI"/>
              </w:rPr>
              <w:t>79.3</w:t>
            </w:r>
          </w:p>
        </w:tc>
        <w:tc>
          <w:tcPr>
            <w:tcW w:w="624" w:type="pct"/>
            <w:tcBorders>
              <w:top w:val="single" w:sz="4" w:space="0" w:color="000000"/>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788C13CF" w14:textId="77777777" w:rsidR="007E0274" w:rsidRPr="007E0274" w:rsidRDefault="007E0274" w:rsidP="007E0274">
            <w:pPr>
              <w:jc w:val="center"/>
              <w:rPr>
                <w:rFonts w:asciiTheme="majorHAnsi" w:hAnsiTheme="majorHAnsi"/>
              </w:rPr>
            </w:pPr>
            <w:r w:rsidRPr="007E0274">
              <w:rPr>
                <w:rFonts w:asciiTheme="majorHAnsi" w:hAnsiTheme="majorHAnsi"/>
                <w:lang w:val="cs-CZ"/>
              </w:rPr>
              <w:t>119</w:t>
            </w:r>
          </w:p>
        </w:tc>
        <w:tc>
          <w:tcPr>
            <w:tcW w:w="518" w:type="pct"/>
            <w:tcBorders>
              <w:top w:val="single" w:sz="4" w:space="0" w:color="000000"/>
              <w:left w:val="single" w:sz="4" w:space="0" w:color="000000"/>
              <w:bottom w:val="nil"/>
              <w:right w:val="nil"/>
            </w:tcBorders>
            <w:shd w:val="clear" w:color="auto" w:fill="E7E6E6"/>
            <w:tcMar>
              <w:top w:w="20" w:type="dxa"/>
              <w:left w:w="20" w:type="dxa"/>
              <w:bottom w:w="0" w:type="dxa"/>
              <w:right w:w="20" w:type="dxa"/>
            </w:tcMar>
            <w:vAlign w:val="center"/>
            <w:hideMark/>
          </w:tcPr>
          <w:p w14:paraId="30E0E609" w14:textId="77777777" w:rsidR="007E0274" w:rsidRPr="007E0274" w:rsidRDefault="007E0274" w:rsidP="007E0274">
            <w:pPr>
              <w:jc w:val="center"/>
              <w:rPr>
                <w:rFonts w:asciiTheme="majorHAnsi" w:hAnsiTheme="majorHAnsi"/>
              </w:rPr>
            </w:pPr>
            <w:r w:rsidRPr="007E0274">
              <w:rPr>
                <w:rFonts w:asciiTheme="majorHAnsi" w:hAnsiTheme="majorHAnsi"/>
                <w:lang w:val="cs-CZ"/>
              </w:rPr>
              <w:t>149.3</w:t>
            </w:r>
          </w:p>
        </w:tc>
        <w:tc>
          <w:tcPr>
            <w:tcW w:w="524" w:type="pct"/>
            <w:tcBorders>
              <w:top w:val="single" w:sz="4" w:space="0" w:color="000000"/>
              <w:left w:val="nil"/>
              <w:bottom w:val="nil"/>
              <w:right w:val="single" w:sz="4" w:space="0" w:color="000000"/>
            </w:tcBorders>
            <w:shd w:val="clear" w:color="auto" w:fill="E7E6E6"/>
            <w:tcMar>
              <w:top w:w="20" w:type="dxa"/>
              <w:left w:w="20" w:type="dxa"/>
              <w:bottom w:w="0" w:type="dxa"/>
              <w:right w:w="20" w:type="dxa"/>
            </w:tcMar>
            <w:vAlign w:val="center"/>
            <w:hideMark/>
          </w:tcPr>
          <w:p w14:paraId="3EE5A83C" w14:textId="77777777" w:rsidR="007E0274" w:rsidRPr="007E0274" w:rsidRDefault="007E0274" w:rsidP="007E0274">
            <w:pPr>
              <w:jc w:val="center"/>
              <w:rPr>
                <w:rFonts w:asciiTheme="majorHAnsi" w:hAnsiTheme="majorHAnsi"/>
              </w:rPr>
            </w:pPr>
            <w:r w:rsidRPr="007E0274">
              <w:rPr>
                <w:rFonts w:asciiTheme="majorHAnsi" w:hAnsiTheme="majorHAnsi"/>
                <w:lang w:val="nb-NO"/>
              </w:rPr>
              <w:t>191.1</w:t>
            </w:r>
          </w:p>
        </w:tc>
      </w:tr>
      <w:tr w:rsidR="007E0274" w:rsidRPr="007E0274" w14:paraId="18A81D95" w14:textId="77777777" w:rsidTr="007E0274">
        <w:trPr>
          <w:trHeight w:val="522"/>
        </w:trPr>
        <w:tc>
          <w:tcPr>
            <w:tcW w:w="37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745D8428" w14:textId="77777777" w:rsidR="007E0274" w:rsidRPr="007E0274" w:rsidRDefault="007E0274" w:rsidP="007E0274">
            <w:pPr>
              <w:jc w:val="center"/>
              <w:rPr>
                <w:rFonts w:asciiTheme="majorHAnsi" w:hAnsiTheme="majorHAnsi"/>
              </w:rPr>
            </w:pPr>
            <w:r w:rsidRPr="007E0274">
              <w:rPr>
                <w:rFonts w:asciiTheme="majorHAnsi" w:hAnsiTheme="majorHAnsi"/>
                <w:lang w:val="is-IS"/>
              </w:rPr>
              <w:t>2011</w:t>
            </w:r>
          </w:p>
        </w:tc>
        <w:tc>
          <w:tcPr>
            <w:tcW w:w="52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42A3DDD4" w14:textId="77777777" w:rsidR="007E0274" w:rsidRPr="007E0274" w:rsidRDefault="007E0274" w:rsidP="007E0274">
            <w:pPr>
              <w:jc w:val="center"/>
              <w:rPr>
                <w:rFonts w:asciiTheme="majorHAnsi" w:hAnsiTheme="majorHAnsi"/>
              </w:rPr>
            </w:pPr>
            <w:r w:rsidRPr="007E0274">
              <w:rPr>
                <w:rFonts w:asciiTheme="majorHAnsi" w:hAnsiTheme="majorHAnsi"/>
                <w:lang w:val="is-IS"/>
              </w:rPr>
              <w:t>2016</w:t>
            </w:r>
          </w:p>
        </w:tc>
        <w:tc>
          <w:tcPr>
            <w:tcW w:w="78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2381EC0D" w14:textId="77777777" w:rsidR="007E0274" w:rsidRPr="007E0274" w:rsidRDefault="007E0274" w:rsidP="007E0274">
            <w:pPr>
              <w:jc w:val="center"/>
              <w:rPr>
                <w:rFonts w:asciiTheme="majorHAnsi" w:hAnsiTheme="majorHAnsi"/>
              </w:rPr>
            </w:pPr>
            <w:r w:rsidRPr="007E0274">
              <w:rPr>
                <w:rFonts w:asciiTheme="majorHAnsi" w:hAnsiTheme="majorHAnsi"/>
                <w:lang w:val="nb-NO"/>
              </w:rPr>
              <w:t>95.1</w:t>
            </w:r>
          </w:p>
        </w:tc>
        <w:tc>
          <w:tcPr>
            <w:tcW w:w="934"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4A4986FD" w14:textId="77777777" w:rsidR="007E0274" w:rsidRPr="007E0274" w:rsidRDefault="007E0274" w:rsidP="007E0274">
            <w:pPr>
              <w:jc w:val="center"/>
              <w:rPr>
                <w:rFonts w:asciiTheme="majorHAnsi" w:hAnsiTheme="majorHAnsi"/>
              </w:rPr>
            </w:pPr>
            <w:r w:rsidRPr="007E0274">
              <w:rPr>
                <w:rFonts w:asciiTheme="majorHAnsi" w:hAnsiTheme="majorHAnsi"/>
                <w:lang w:val="nb-NO"/>
              </w:rPr>
              <w:t>65.1</w:t>
            </w:r>
          </w:p>
        </w:tc>
        <w:tc>
          <w:tcPr>
            <w:tcW w:w="726"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01CC70B4" w14:textId="77777777" w:rsidR="007E0274" w:rsidRPr="007E0274" w:rsidRDefault="007E0274" w:rsidP="007E0274">
            <w:pPr>
              <w:jc w:val="center"/>
              <w:rPr>
                <w:rFonts w:asciiTheme="majorHAnsi" w:hAnsiTheme="majorHAnsi"/>
              </w:rPr>
            </w:pPr>
            <w:r w:rsidRPr="007E0274">
              <w:rPr>
                <w:rFonts w:asciiTheme="majorHAnsi" w:hAnsiTheme="majorHAnsi"/>
                <w:lang w:val="hr-HR"/>
              </w:rPr>
              <w:t>62.2</w:t>
            </w:r>
          </w:p>
        </w:tc>
        <w:tc>
          <w:tcPr>
            <w:tcW w:w="62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1B0C663C" w14:textId="77777777" w:rsidR="007E0274" w:rsidRPr="007E0274" w:rsidRDefault="007E0274" w:rsidP="007E0274">
            <w:pPr>
              <w:jc w:val="center"/>
              <w:rPr>
                <w:rFonts w:asciiTheme="majorHAnsi" w:hAnsiTheme="majorHAnsi"/>
              </w:rPr>
            </w:pPr>
            <w:r w:rsidRPr="007E0274">
              <w:rPr>
                <w:rFonts w:asciiTheme="majorHAnsi" w:hAnsiTheme="majorHAnsi"/>
                <w:lang w:val="cs-CZ"/>
              </w:rPr>
              <w:t>114</w:t>
            </w:r>
          </w:p>
        </w:tc>
        <w:tc>
          <w:tcPr>
            <w:tcW w:w="518"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45BAD228" w14:textId="77777777" w:rsidR="007E0274" w:rsidRPr="007E0274" w:rsidRDefault="007E0274" w:rsidP="007E0274">
            <w:pPr>
              <w:jc w:val="center"/>
              <w:rPr>
                <w:rFonts w:asciiTheme="majorHAnsi" w:hAnsiTheme="majorHAnsi"/>
              </w:rPr>
            </w:pPr>
            <w:r w:rsidRPr="007E0274">
              <w:rPr>
                <w:rFonts w:asciiTheme="majorHAnsi" w:hAnsiTheme="majorHAnsi"/>
                <w:lang w:val="hr-HR"/>
              </w:rPr>
              <w:t>96.1</w:t>
            </w:r>
          </w:p>
        </w:tc>
        <w:tc>
          <w:tcPr>
            <w:tcW w:w="524"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2B1D2884" w14:textId="77777777" w:rsidR="007E0274" w:rsidRPr="007E0274" w:rsidRDefault="007E0274" w:rsidP="007E0274">
            <w:pPr>
              <w:jc w:val="center"/>
              <w:rPr>
                <w:rFonts w:asciiTheme="majorHAnsi" w:hAnsiTheme="majorHAnsi"/>
              </w:rPr>
            </w:pPr>
            <w:r w:rsidRPr="007E0274">
              <w:rPr>
                <w:rFonts w:asciiTheme="majorHAnsi" w:hAnsiTheme="majorHAnsi"/>
                <w:lang w:val="hr-HR"/>
              </w:rPr>
              <w:t>243.7</w:t>
            </w:r>
          </w:p>
        </w:tc>
      </w:tr>
      <w:tr w:rsidR="007E0274" w:rsidRPr="007E0274" w14:paraId="1311134F" w14:textId="77777777" w:rsidTr="007E0274">
        <w:trPr>
          <w:trHeight w:val="522"/>
        </w:trPr>
        <w:tc>
          <w:tcPr>
            <w:tcW w:w="37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04839781" w14:textId="77777777" w:rsidR="007E0274" w:rsidRPr="007E0274" w:rsidRDefault="007E0274" w:rsidP="007E0274">
            <w:pPr>
              <w:jc w:val="center"/>
              <w:rPr>
                <w:rFonts w:asciiTheme="majorHAnsi" w:hAnsiTheme="majorHAnsi"/>
              </w:rPr>
            </w:pPr>
            <w:r w:rsidRPr="007E0274">
              <w:rPr>
                <w:rFonts w:asciiTheme="majorHAnsi" w:hAnsiTheme="majorHAnsi"/>
                <w:lang w:val="is-IS"/>
              </w:rPr>
              <w:t>2012</w:t>
            </w:r>
          </w:p>
        </w:tc>
        <w:tc>
          <w:tcPr>
            <w:tcW w:w="52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4757D015" w14:textId="77777777" w:rsidR="007E0274" w:rsidRPr="007E0274" w:rsidRDefault="007E0274" w:rsidP="007E0274">
            <w:pPr>
              <w:jc w:val="center"/>
              <w:rPr>
                <w:rFonts w:asciiTheme="majorHAnsi" w:hAnsiTheme="majorHAnsi"/>
              </w:rPr>
            </w:pPr>
            <w:r w:rsidRPr="007E0274">
              <w:rPr>
                <w:rFonts w:asciiTheme="majorHAnsi" w:hAnsiTheme="majorHAnsi"/>
                <w:lang w:val="is-IS"/>
              </w:rPr>
              <w:t>2017</w:t>
            </w:r>
          </w:p>
        </w:tc>
        <w:tc>
          <w:tcPr>
            <w:tcW w:w="78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0ED69384" w14:textId="77777777" w:rsidR="007E0274" w:rsidRPr="007E0274" w:rsidRDefault="007E0274" w:rsidP="007E0274">
            <w:pPr>
              <w:jc w:val="center"/>
              <w:rPr>
                <w:rFonts w:asciiTheme="majorHAnsi" w:hAnsiTheme="majorHAnsi"/>
              </w:rPr>
            </w:pPr>
            <w:r w:rsidRPr="007E0274">
              <w:rPr>
                <w:rFonts w:asciiTheme="majorHAnsi" w:hAnsiTheme="majorHAnsi"/>
                <w:lang w:val="nb-NO"/>
              </w:rPr>
              <w:t>97.7</w:t>
            </w:r>
          </w:p>
        </w:tc>
        <w:tc>
          <w:tcPr>
            <w:tcW w:w="934"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58E5F948" w14:textId="77777777" w:rsidR="007E0274" w:rsidRPr="007E0274" w:rsidRDefault="007E0274" w:rsidP="007E0274">
            <w:pPr>
              <w:jc w:val="center"/>
              <w:rPr>
                <w:rFonts w:asciiTheme="majorHAnsi" w:hAnsiTheme="majorHAnsi"/>
              </w:rPr>
            </w:pPr>
            <w:r w:rsidRPr="007E0274">
              <w:rPr>
                <w:rFonts w:asciiTheme="majorHAnsi" w:hAnsiTheme="majorHAnsi"/>
                <w:lang w:val="hr-HR"/>
              </w:rPr>
              <w:t>66.1</w:t>
            </w:r>
          </w:p>
        </w:tc>
        <w:tc>
          <w:tcPr>
            <w:tcW w:w="726"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09992031" w14:textId="77777777" w:rsidR="007E0274" w:rsidRPr="007E0274" w:rsidRDefault="007E0274" w:rsidP="007E0274">
            <w:pPr>
              <w:jc w:val="center"/>
              <w:rPr>
                <w:rFonts w:asciiTheme="majorHAnsi" w:hAnsiTheme="majorHAnsi"/>
              </w:rPr>
            </w:pPr>
            <w:r w:rsidRPr="007E0274">
              <w:rPr>
                <w:rFonts w:asciiTheme="majorHAnsi" w:hAnsiTheme="majorHAnsi"/>
                <w:lang w:val="hr-HR"/>
              </w:rPr>
              <w:t>63.1</w:t>
            </w:r>
          </w:p>
        </w:tc>
        <w:tc>
          <w:tcPr>
            <w:tcW w:w="62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5274B3E4" w14:textId="77777777" w:rsidR="007E0274" w:rsidRPr="007E0274" w:rsidRDefault="007E0274" w:rsidP="007E0274">
            <w:pPr>
              <w:jc w:val="center"/>
              <w:rPr>
                <w:rFonts w:asciiTheme="majorHAnsi" w:hAnsiTheme="majorHAnsi"/>
              </w:rPr>
            </w:pPr>
            <w:r w:rsidRPr="007E0274">
              <w:rPr>
                <w:rFonts w:asciiTheme="majorHAnsi" w:hAnsiTheme="majorHAnsi"/>
                <w:lang w:val="cs-CZ"/>
              </w:rPr>
              <w:t>111.4</w:t>
            </w:r>
          </w:p>
        </w:tc>
        <w:tc>
          <w:tcPr>
            <w:tcW w:w="518"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62262597" w14:textId="77777777" w:rsidR="007E0274" w:rsidRPr="007E0274" w:rsidRDefault="007E0274" w:rsidP="007E0274">
            <w:pPr>
              <w:jc w:val="center"/>
              <w:rPr>
                <w:rFonts w:asciiTheme="majorHAnsi" w:hAnsiTheme="majorHAnsi"/>
              </w:rPr>
            </w:pPr>
            <w:r w:rsidRPr="007E0274">
              <w:rPr>
                <w:rFonts w:asciiTheme="majorHAnsi" w:hAnsiTheme="majorHAnsi"/>
              </w:rPr>
              <w:t>96</w:t>
            </w:r>
          </w:p>
        </w:tc>
        <w:tc>
          <w:tcPr>
            <w:tcW w:w="524"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6C7D040B" w14:textId="77777777" w:rsidR="007E0274" w:rsidRPr="007E0274" w:rsidRDefault="007E0274" w:rsidP="007E0274">
            <w:pPr>
              <w:jc w:val="center"/>
              <w:rPr>
                <w:rFonts w:asciiTheme="majorHAnsi" w:hAnsiTheme="majorHAnsi"/>
              </w:rPr>
            </w:pPr>
            <w:r w:rsidRPr="007E0274">
              <w:rPr>
                <w:rFonts w:asciiTheme="majorHAnsi" w:hAnsiTheme="majorHAnsi"/>
                <w:lang w:val="bg-BG"/>
              </w:rPr>
              <w:t>N/A</w:t>
            </w:r>
          </w:p>
        </w:tc>
      </w:tr>
      <w:tr w:rsidR="007E0274" w:rsidRPr="007E0274" w14:paraId="7BD6D1A3" w14:textId="77777777" w:rsidTr="007E0274">
        <w:trPr>
          <w:trHeight w:val="522"/>
        </w:trPr>
        <w:tc>
          <w:tcPr>
            <w:tcW w:w="37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111E742D" w14:textId="77777777" w:rsidR="007E0274" w:rsidRPr="007E0274" w:rsidRDefault="007E0274" w:rsidP="007E0274">
            <w:pPr>
              <w:jc w:val="center"/>
              <w:rPr>
                <w:rFonts w:asciiTheme="majorHAnsi" w:hAnsiTheme="majorHAnsi"/>
              </w:rPr>
            </w:pPr>
            <w:r w:rsidRPr="007E0274">
              <w:rPr>
                <w:rFonts w:asciiTheme="majorHAnsi" w:hAnsiTheme="majorHAnsi"/>
                <w:lang w:val="is-IS"/>
              </w:rPr>
              <w:t>2013</w:t>
            </w:r>
          </w:p>
        </w:tc>
        <w:tc>
          <w:tcPr>
            <w:tcW w:w="52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585B97D8" w14:textId="77777777" w:rsidR="007E0274" w:rsidRPr="007E0274" w:rsidRDefault="007E0274" w:rsidP="007E0274">
            <w:pPr>
              <w:jc w:val="center"/>
              <w:rPr>
                <w:rFonts w:asciiTheme="majorHAnsi" w:hAnsiTheme="majorHAnsi"/>
              </w:rPr>
            </w:pPr>
            <w:r w:rsidRPr="007E0274">
              <w:rPr>
                <w:rFonts w:asciiTheme="majorHAnsi" w:hAnsiTheme="majorHAnsi"/>
                <w:lang w:val="is-IS"/>
              </w:rPr>
              <w:t>2018</w:t>
            </w:r>
          </w:p>
        </w:tc>
        <w:tc>
          <w:tcPr>
            <w:tcW w:w="78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4CDD2DD5" w14:textId="77777777" w:rsidR="007E0274" w:rsidRPr="007E0274" w:rsidRDefault="007E0274" w:rsidP="007E0274">
            <w:pPr>
              <w:jc w:val="center"/>
              <w:rPr>
                <w:rFonts w:asciiTheme="majorHAnsi" w:hAnsiTheme="majorHAnsi"/>
              </w:rPr>
            </w:pPr>
            <w:r w:rsidRPr="007E0274">
              <w:rPr>
                <w:rFonts w:asciiTheme="majorHAnsi" w:hAnsiTheme="majorHAnsi"/>
                <w:lang w:val="nb-NO"/>
              </w:rPr>
              <w:t>100.1</w:t>
            </w:r>
          </w:p>
        </w:tc>
        <w:tc>
          <w:tcPr>
            <w:tcW w:w="934"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5C342197" w14:textId="77777777" w:rsidR="007E0274" w:rsidRPr="007E0274" w:rsidRDefault="007E0274" w:rsidP="007E0274">
            <w:pPr>
              <w:jc w:val="center"/>
              <w:rPr>
                <w:rFonts w:asciiTheme="majorHAnsi" w:hAnsiTheme="majorHAnsi"/>
              </w:rPr>
            </w:pPr>
            <w:r w:rsidRPr="007E0274">
              <w:rPr>
                <w:rFonts w:asciiTheme="majorHAnsi" w:hAnsiTheme="majorHAnsi"/>
                <w:lang w:val="nb-NO"/>
              </w:rPr>
              <w:t>67.1</w:t>
            </w:r>
          </w:p>
        </w:tc>
        <w:tc>
          <w:tcPr>
            <w:tcW w:w="726"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56F97632" w14:textId="77777777" w:rsidR="007E0274" w:rsidRPr="007E0274" w:rsidRDefault="007E0274" w:rsidP="007E0274">
            <w:pPr>
              <w:jc w:val="center"/>
              <w:rPr>
                <w:rFonts w:asciiTheme="majorHAnsi" w:hAnsiTheme="majorHAnsi"/>
              </w:rPr>
            </w:pPr>
            <w:r w:rsidRPr="007E0274">
              <w:rPr>
                <w:rFonts w:asciiTheme="majorHAnsi" w:hAnsiTheme="majorHAnsi"/>
                <w:lang w:val="nb-NO"/>
              </w:rPr>
              <w:t>65.6</w:t>
            </w:r>
          </w:p>
        </w:tc>
        <w:tc>
          <w:tcPr>
            <w:tcW w:w="62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3B383BEC" w14:textId="77777777" w:rsidR="007E0274" w:rsidRPr="007E0274" w:rsidRDefault="007E0274" w:rsidP="007E0274">
            <w:pPr>
              <w:jc w:val="center"/>
              <w:rPr>
                <w:rFonts w:asciiTheme="majorHAnsi" w:hAnsiTheme="majorHAnsi"/>
              </w:rPr>
            </w:pPr>
            <w:r w:rsidRPr="007E0274">
              <w:rPr>
                <w:rFonts w:asciiTheme="majorHAnsi" w:hAnsiTheme="majorHAnsi"/>
                <w:lang w:val="hr-HR"/>
              </w:rPr>
              <w:t>108.4</w:t>
            </w:r>
          </w:p>
        </w:tc>
        <w:tc>
          <w:tcPr>
            <w:tcW w:w="518"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775FABD1" w14:textId="77777777" w:rsidR="007E0274" w:rsidRPr="007E0274" w:rsidRDefault="007E0274" w:rsidP="007E0274">
            <w:pPr>
              <w:jc w:val="center"/>
              <w:rPr>
                <w:rFonts w:asciiTheme="majorHAnsi" w:hAnsiTheme="majorHAnsi"/>
              </w:rPr>
            </w:pPr>
            <w:r w:rsidRPr="007E0274">
              <w:rPr>
                <w:rFonts w:asciiTheme="majorHAnsi" w:hAnsiTheme="majorHAnsi"/>
                <w:lang w:val="hr-HR"/>
              </w:rPr>
              <w:t>86.6</w:t>
            </w:r>
          </w:p>
        </w:tc>
        <w:tc>
          <w:tcPr>
            <w:tcW w:w="524"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2C4F5E06" w14:textId="77777777" w:rsidR="007E0274" w:rsidRPr="007E0274" w:rsidRDefault="007E0274" w:rsidP="007E0274">
            <w:pPr>
              <w:jc w:val="center"/>
              <w:rPr>
                <w:rFonts w:asciiTheme="majorHAnsi" w:hAnsiTheme="majorHAnsi"/>
              </w:rPr>
            </w:pPr>
            <w:r w:rsidRPr="007E0274">
              <w:rPr>
                <w:rFonts w:asciiTheme="majorHAnsi" w:hAnsiTheme="majorHAnsi"/>
                <w:lang w:val="nb-NO"/>
              </w:rPr>
              <w:t>221.5</w:t>
            </w:r>
          </w:p>
        </w:tc>
      </w:tr>
      <w:tr w:rsidR="007E0274" w:rsidRPr="007E0274" w14:paraId="230FF854" w14:textId="77777777" w:rsidTr="007E0274">
        <w:trPr>
          <w:trHeight w:val="522"/>
        </w:trPr>
        <w:tc>
          <w:tcPr>
            <w:tcW w:w="37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7B3542A9" w14:textId="77777777" w:rsidR="007E0274" w:rsidRPr="007E0274" w:rsidRDefault="007E0274" w:rsidP="007E0274">
            <w:pPr>
              <w:jc w:val="center"/>
              <w:rPr>
                <w:rFonts w:asciiTheme="majorHAnsi" w:hAnsiTheme="majorHAnsi"/>
              </w:rPr>
            </w:pPr>
            <w:r w:rsidRPr="007E0274">
              <w:rPr>
                <w:rFonts w:asciiTheme="majorHAnsi" w:hAnsiTheme="majorHAnsi"/>
                <w:lang w:val="is-IS"/>
              </w:rPr>
              <w:t>2014</w:t>
            </w:r>
          </w:p>
        </w:tc>
        <w:tc>
          <w:tcPr>
            <w:tcW w:w="52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454B55B0" w14:textId="77777777" w:rsidR="007E0274" w:rsidRPr="007E0274" w:rsidRDefault="007E0274" w:rsidP="007E0274">
            <w:pPr>
              <w:jc w:val="center"/>
              <w:rPr>
                <w:rFonts w:asciiTheme="majorHAnsi" w:hAnsiTheme="majorHAnsi"/>
              </w:rPr>
            </w:pPr>
            <w:r w:rsidRPr="007E0274">
              <w:rPr>
                <w:rFonts w:asciiTheme="majorHAnsi" w:hAnsiTheme="majorHAnsi"/>
                <w:lang w:val="is-IS"/>
              </w:rPr>
              <w:t>2019</w:t>
            </w:r>
          </w:p>
        </w:tc>
        <w:tc>
          <w:tcPr>
            <w:tcW w:w="780"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76232A5C" w14:textId="77777777" w:rsidR="007E0274" w:rsidRPr="007E0274" w:rsidRDefault="007E0274" w:rsidP="007E0274">
            <w:pPr>
              <w:jc w:val="center"/>
              <w:rPr>
                <w:rFonts w:asciiTheme="majorHAnsi" w:hAnsiTheme="majorHAnsi"/>
              </w:rPr>
            </w:pPr>
            <w:r w:rsidRPr="007E0274">
              <w:rPr>
                <w:rFonts w:asciiTheme="majorHAnsi" w:hAnsiTheme="majorHAnsi"/>
                <w:lang w:val="nb-NO"/>
              </w:rPr>
              <w:t>95.6</w:t>
            </w:r>
          </w:p>
        </w:tc>
        <w:tc>
          <w:tcPr>
            <w:tcW w:w="934"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3E1CFB11" w14:textId="77777777" w:rsidR="007E0274" w:rsidRPr="007E0274" w:rsidRDefault="007E0274" w:rsidP="007E0274">
            <w:pPr>
              <w:jc w:val="center"/>
              <w:rPr>
                <w:rFonts w:asciiTheme="majorHAnsi" w:hAnsiTheme="majorHAnsi"/>
              </w:rPr>
            </w:pPr>
            <w:r w:rsidRPr="007E0274">
              <w:rPr>
                <w:rFonts w:asciiTheme="majorHAnsi" w:hAnsiTheme="majorHAnsi"/>
                <w:lang w:val="hr-HR"/>
              </w:rPr>
              <w:t>66.3</w:t>
            </w:r>
          </w:p>
        </w:tc>
        <w:tc>
          <w:tcPr>
            <w:tcW w:w="726"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78D88786" w14:textId="77777777" w:rsidR="007E0274" w:rsidRPr="007E0274" w:rsidRDefault="007E0274" w:rsidP="007E0274">
            <w:pPr>
              <w:jc w:val="center"/>
              <w:rPr>
                <w:rFonts w:asciiTheme="majorHAnsi" w:hAnsiTheme="majorHAnsi"/>
              </w:rPr>
            </w:pPr>
            <w:r w:rsidRPr="007E0274">
              <w:rPr>
                <w:rFonts w:asciiTheme="majorHAnsi" w:hAnsiTheme="majorHAnsi"/>
                <w:lang w:val="hr-HR"/>
              </w:rPr>
              <w:t>64.4</w:t>
            </w:r>
          </w:p>
        </w:tc>
        <w:tc>
          <w:tcPr>
            <w:tcW w:w="624" w:type="pct"/>
            <w:tcBorders>
              <w:top w:val="nil"/>
              <w:left w:val="single" w:sz="4" w:space="0" w:color="000000"/>
              <w:bottom w:val="nil"/>
              <w:right w:val="single" w:sz="4" w:space="0" w:color="000000"/>
            </w:tcBorders>
            <w:shd w:val="clear" w:color="auto" w:fill="E7E6E6"/>
            <w:tcMar>
              <w:top w:w="20" w:type="dxa"/>
              <w:left w:w="20" w:type="dxa"/>
              <w:bottom w:w="0" w:type="dxa"/>
              <w:right w:w="20" w:type="dxa"/>
            </w:tcMar>
            <w:vAlign w:val="center"/>
            <w:hideMark/>
          </w:tcPr>
          <w:p w14:paraId="25D42368" w14:textId="77777777" w:rsidR="007E0274" w:rsidRPr="007E0274" w:rsidRDefault="007E0274" w:rsidP="007E0274">
            <w:pPr>
              <w:jc w:val="center"/>
              <w:rPr>
                <w:rFonts w:asciiTheme="majorHAnsi" w:hAnsiTheme="majorHAnsi"/>
              </w:rPr>
            </w:pPr>
            <w:r w:rsidRPr="007E0274">
              <w:rPr>
                <w:rFonts w:asciiTheme="majorHAnsi" w:hAnsiTheme="majorHAnsi"/>
                <w:lang w:val="hr-HR"/>
              </w:rPr>
              <w:t>96.1</w:t>
            </w:r>
          </w:p>
        </w:tc>
        <w:tc>
          <w:tcPr>
            <w:tcW w:w="518" w:type="pct"/>
            <w:tcBorders>
              <w:top w:val="nil"/>
              <w:left w:val="single" w:sz="4" w:space="0" w:color="000000"/>
              <w:bottom w:val="nil"/>
              <w:right w:val="nil"/>
            </w:tcBorders>
            <w:shd w:val="clear" w:color="auto" w:fill="E7E6E6"/>
            <w:tcMar>
              <w:top w:w="20" w:type="dxa"/>
              <w:left w:w="20" w:type="dxa"/>
              <w:bottom w:w="0" w:type="dxa"/>
              <w:right w:w="20" w:type="dxa"/>
            </w:tcMar>
            <w:vAlign w:val="center"/>
            <w:hideMark/>
          </w:tcPr>
          <w:p w14:paraId="565F0CD8" w14:textId="77777777" w:rsidR="007E0274" w:rsidRPr="007E0274" w:rsidRDefault="007E0274" w:rsidP="007E0274">
            <w:pPr>
              <w:jc w:val="center"/>
              <w:rPr>
                <w:rFonts w:asciiTheme="majorHAnsi" w:hAnsiTheme="majorHAnsi"/>
              </w:rPr>
            </w:pPr>
            <w:r w:rsidRPr="007E0274">
              <w:rPr>
                <w:rFonts w:asciiTheme="majorHAnsi" w:hAnsiTheme="majorHAnsi"/>
                <w:lang w:val="nb-NO"/>
              </w:rPr>
              <w:t>80.3</w:t>
            </w:r>
          </w:p>
        </w:tc>
        <w:tc>
          <w:tcPr>
            <w:tcW w:w="524" w:type="pct"/>
            <w:tcBorders>
              <w:top w:val="nil"/>
              <w:left w:val="nil"/>
              <w:bottom w:val="nil"/>
              <w:right w:val="single" w:sz="4" w:space="0" w:color="000000"/>
            </w:tcBorders>
            <w:shd w:val="clear" w:color="auto" w:fill="E7E6E6"/>
            <w:tcMar>
              <w:top w:w="20" w:type="dxa"/>
              <w:left w:w="20" w:type="dxa"/>
              <w:bottom w:w="0" w:type="dxa"/>
              <w:right w:w="20" w:type="dxa"/>
            </w:tcMar>
            <w:vAlign w:val="center"/>
            <w:hideMark/>
          </w:tcPr>
          <w:p w14:paraId="177C9FED" w14:textId="77777777" w:rsidR="007E0274" w:rsidRPr="007E0274" w:rsidRDefault="007E0274" w:rsidP="007E0274">
            <w:pPr>
              <w:jc w:val="center"/>
              <w:rPr>
                <w:rFonts w:asciiTheme="majorHAnsi" w:hAnsiTheme="majorHAnsi"/>
              </w:rPr>
            </w:pPr>
            <w:r w:rsidRPr="007E0274">
              <w:rPr>
                <w:rFonts w:asciiTheme="majorHAnsi" w:hAnsiTheme="majorHAnsi"/>
                <w:lang w:val="is-IS"/>
              </w:rPr>
              <w:t>204.1</w:t>
            </w:r>
          </w:p>
        </w:tc>
      </w:tr>
      <w:tr w:rsidR="007E0274" w:rsidRPr="007E0274" w14:paraId="0387BFF0" w14:textId="77777777" w:rsidTr="007E0274">
        <w:trPr>
          <w:trHeight w:val="522"/>
        </w:trPr>
        <w:tc>
          <w:tcPr>
            <w:tcW w:w="374" w:type="pct"/>
            <w:tcBorders>
              <w:top w:val="nil"/>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36B66EF4" w14:textId="77777777" w:rsidR="007E0274" w:rsidRPr="007E0274" w:rsidRDefault="007E0274" w:rsidP="007E0274">
            <w:pPr>
              <w:jc w:val="center"/>
              <w:rPr>
                <w:rFonts w:asciiTheme="majorHAnsi" w:hAnsiTheme="majorHAnsi"/>
              </w:rPr>
            </w:pPr>
            <w:r w:rsidRPr="007E0274">
              <w:rPr>
                <w:rFonts w:asciiTheme="majorHAnsi" w:hAnsiTheme="majorHAnsi"/>
                <w:lang w:val="is-IS"/>
              </w:rPr>
              <w:t>2015</w:t>
            </w:r>
          </w:p>
        </w:tc>
        <w:tc>
          <w:tcPr>
            <w:tcW w:w="520" w:type="pct"/>
            <w:tcBorders>
              <w:top w:val="nil"/>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0FCB6893" w14:textId="77777777" w:rsidR="007E0274" w:rsidRPr="007E0274" w:rsidRDefault="007E0274" w:rsidP="007E0274">
            <w:pPr>
              <w:jc w:val="center"/>
              <w:rPr>
                <w:rFonts w:asciiTheme="majorHAnsi" w:hAnsiTheme="majorHAnsi"/>
              </w:rPr>
            </w:pPr>
            <w:r w:rsidRPr="007E0274">
              <w:rPr>
                <w:rFonts w:asciiTheme="majorHAnsi" w:hAnsiTheme="majorHAnsi"/>
                <w:lang w:val="is-IS"/>
              </w:rPr>
              <w:t>2020</w:t>
            </w:r>
          </w:p>
        </w:tc>
        <w:tc>
          <w:tcPr>
            <w:tcW w:w="780" w:type="pct"/>
            <w:tcBorders>
              <w:top w:val="nil"/>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09779264" w14:textId="77777777" w:rsidR="007E0274" w:rsidRPr="007E0274" w:rsidRDefault="007E0274" w:rsidP="007E0274">
            <w:pPr>
              <w:jc w:val="center"/>
              <w:rPr>
                <w:rFonts w:asciiTheme="majorHAnsi" w:hAnsiTheme="majorHAnsi"/>
              </w:rPr>
            </w:pPr>
            <w:r w:rsidRPr="007E0274">
              <w:rPr>
                <w:rFonts w:asciiTheme="majorHAnsi" w:hAnsiTheme="majorHAnsi"/>
                <w:lang w:val="nb-NO"/>
              </w:rPr>
              <w:t>95.1</w:t>
            </w:r>
          </w:p>
        </w:tc>
        <w:tc>
          <w:tcPr>
            <w:tcW w:w="934" w:type="pct"/>
            <w:tcBorders>
              <w:top w:val="nil"/>
              <w:left w:val="single" w:sz="4" w:space="0" w:color="000000"/>
              <w:bottom w:val="single" w:sz="4" w:space="0" w:color="000000"/>
              <w:right w:val="nil"/>
            </w:tcBorders>
            <w:shd w:val="clear" w:color="auto" w:fill="E7E6E6"/>
            <w:tcMar>
              <w:top w:w="20" w:type="dxa"/>
              <w:left w:w="20" w:type="dxa"/>
              <w:bottom w:w="0" w:type="dxa"/>
              <w:right w:w="20" w:type="dxa"/>
            </w:tcMar>
            <w:vAlign w:val="center"/>
            <w:hideMark/>
          </w:tcPr>
          <w:p w14:paraId="4B37C8A4" w14:textId="77777777" w:rsidR="007E0274" w:rsidRPr="007E0274" w:rsidRDefault="007E0274" w:rsidP="007E0274">
            <w:pPr>
              <w:jc w:val="center"/>
              <w:rPr>
                <w:rFonts w:asciiTheme="majorHAnsi" w:hAnsiTheme="majorHAnsi"/>
              </w:rPr>
            </w:pPr>
            <w:r w:rsidRPr="007E0274">
              <w:rPr>
                <w:rFonts w:asciiTheme="majorHAnsi" w:hAnsiTheme="majorHAnsi"/>
                <w:lang w:val="nb-NO"/>
              </w:rPr>
              <w:t>75.2</w:t>
            </w:r>
          </w:p>
        </w:tc>
        <w:tc>
          <w:tcPr>
            <w:tcW w:w="726" w:type="pct"/>
            <w:tcBorders>
              <w:top w:val="nil"/>
              <w:left w:val="nil"/>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36190BE7" w14:textId="77777777" w:rsidR="007E0274" w:rsidRPr="007E0274" w:rsidRDefault="007E0274" w:rsidP="007E0274">
            <w:pPr>
              <w:jc w:val="center"/>
              <w:rPr>
                <w:rFonts w:asciiTheme="majorHAnsi" w:hAnsiTheme="majorHAnsi"/>
              </w:rPr>
            </w:pPr>
            <w:r w:rsidRPr="007E0274">
              <w:rPr>
                <w:rFonts w:asciiTheme="majorHAnsi" w:hAnsiTheme="majorHAnsi"/>
                <w:lang w:val="hr-HR"/>
              </w:rPr>
              <w:t>72.6</w:t>
            </w:r>
          </w:p>
        </w:tc>
        <w:tc>
          <w:tcPr>
            <w:tcW w:w="624" w:type="pct"/>
            <w:tcBorders>
              <w:top w:val="nil"/>
              <w:left w:val="single" w:sz="4" w:space="0" w:color="000000"/>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79EA6BF7" w14:textId="77777777" w:rsidR="007E0274" w:rsidRPr="007E0274" w:rsidRDefault="007E0274" w:rsidP="007E0274">
            <w:pPr>
              <w:jc w:val="center"/>
              <w:rPr>
                <w:rFonts w:asciiTheme="majorHAnsi" w:hAnsiTheme="majorHAnsi"/>
                <w:color w:val="C0504D" w:themeColor="accent2"/>
              </w:rPr>
            </w:pPr>
            <w:r w:rsidRPr="007E0274">
              <w:rPr>
                <w:rFonts w:asciiTheme="majorHAnsi" w:hAnsiTheme="majorHAnsi"/>
                <w:b/>
                <w:bCs/>
                <w:color w:val="C0504D" w:themeColor="accent2"/>
                <w:lang w:val="nb-NO"/>
              </w:rPr>
              <w:t>95.2</w:t>
            </w:r>
          </w:p>
        </w:tc>
        <w:tc>
          <w:tcPr>
            <w:tcW w:w="518" w:type="pct"/>
            <w:tcBorders>
              <w:top w:val="nil"/>
              <w:left w:val="single" w:sz="4" w:space="0" w:color="000000"/>
              <w:bottom w:val="single" w:sz="4" w:space="0" w:color="000000"/>
              <w:right w:val="nil"/>
            </w:tcBorders>
            <w:shd w:val="clear" w:color="auto" w:fill="E7E6E6"/>
            <w:tcMar>
              <w:top w:w="20" w:type="dxa"/>
              <w:left w:w="20" w:type="dxa"/>
              <w:bottom w:w="0" w:type="dxa"/>
              <w:right w:w="20" w:type="dxa"/>
            </w:tcMar>
            <w:vAlign w:val="center"/>
            <w:hideMark/>
          </w:tcPr>
          <w:p w14:paraId="313CD4C6" w14:textId="77777777" w:rsidR="007E0274" w:rsidRPr="007E0274" w:rsidRDefault="007E0274" w:rsidP="007E0274">
            <w:pPr>
              <w:jc w:val="center"/>
              <w:rPr>
                <w:rFonts w:asciiTheme="majorHAnsi" w:hAnsiTheme="majorHAnsi"/>
              </w:rPr>
            </w:pPr>
            <w:r w:rsidRPr="007E0274">
              <w:rPr>
                <w:rFonts w:asciiTheme="majorHAnsi" w:hAnsiTheme="majorHAnsi"/>
                <w:lang w:val="hr-HR"/>
              </w:rPr>
              <w:t>73.6</w:t>
            </w:r>
          </w:p>
        </w:tc>
        <w:tc>
          <w:tcPr>
            <w:tcW w:w="524" w:type="pct"/>
            <w:tcBorders>
              <w:top w:val="nil"/>
              <w:left w:val="nil"/>
              <w:bottom w:val="single" w:sz="4" w:space="0" w:color="000000"/>
              <w:right w:val="single" w:sz="4" w:space="0" w:color="000000"/>
            </w:tcBorders>
            <w:shd w:val="clear" w:color="auto" w:fill="E7E6E6"/>
            <w:tcMar>
              <w:top w:w="20" w:type="dxa"/>
              <w:left w:w="20" w:type="dxa"/>
              <w:bottom w:w="0" w:type="dxa"/>
              <w:right w:w="20" w:type="dxa"/>
            </w:tcMar>
            <w:vAlign w:val="center"/>
            <w:hideMark/>
          </w:tcPr>
          <w:p w14:paraId="05BB7518" w14:textId="77777777" w:rsidR="007E0274" w:rsidRPr="007E0274" w:rsidRDefault="007E0274" w:rsidP="007E0274">
            <w:pPr>
              <w:jc w:val="center"/>
              <w:rPr>
                <w:rFonts w:asciiTheme="majorHAnsi" w:hAnsiTheme="majorHAnsi"/>
              </w:rPr>
            </w:pPr>
            <w:r w:rsidRPr="007E0274">
              <w:rPr>
                <w:rFonts w:asciiTheme="majorHAnsi" w:hAnsiTheme="majorHAnsi"/>
                <w:lang w:val="hr-HR"/>
              </w:rPr>
              <w:t>196.9</w:t>
            </w:r>
          </w:p>
        </w:tc>
      </w:tr>
    </w:tbl>
    <w:p w14:paraId="5E228265" w14:textId="24324A81" w:rsidR="007E0274" w:rsidRPr="00AD2A38" w:rsidRDefault="007E0274" w:rsidP="007E0274">
      <w:pPr>
        <w:rPr>
          <w:rFonts w:asciiTheme="majorHAnsi" w:hAnsiTheme="majorHAnsi"/>
        </w:rPr>
      </w:pPr>
      <w:r>
        <w:rPr>
          <w:rFonts w:asciiTheme="majorHAnsi" w:hAnsiTheme="majorHAnsi"/>
        </w:rPr>
        <w:t xml:space="preserve">The economic analysis has used many crude approximations both due to limitations of the G4-ECONS software, but also due to lack of knowledge/expertise in reactor economics as well as uncertainties in system design. </w:t>
      </w:r>
      <w:r w:rsidR="00D277C7">
        <w:rPr>
          <w:rFonts w:asciiTheme="majorHAnsi" w:hAnsiTheme="majorHAnsi"/>
        </w:rPr>
        <w:t xml:space="preserve">However, the analysis is detailed enough due to the sophistication of the software and scaling O&amp;M and capital cost parameters from the PBMR that the results have some use. It is our belief that this reactor design and perturbations thereof could be investigated further with more detailed analyses to more accurately determine viability, but from the current information, this design definitely has the potential to be economically feasible. </w:t>
      </w:r>
      <w:bookmarkStart w:id="5" w:name="_GoBack"/>
      <w:bookmarkEnd w:id="5"/>
    </w:p>
    <w:sectPr w:rsidR="007E0274" w:rsidRPr="00AD2A38" w:rsidSect="008D08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D6"/>
    <w:rsid w:val="0003207E"/>
    <w:rsid w:val="000D32EA"/>
    <w:rsid w:val="003519BD"/>
    <w:rsid w:val="00464332"/>
    <w:rsid w:val="005065A1"/>
    <w:rsid w:val="005D16D6"/>
    <w:rsid w:val="00627899"/>
    <w:rsid w:val="0063790E"/>
    <w:rsid w:val="006E613E"/>
    <w:rsid w:val="007D52B5"/>
    <w:rsid w:val="007E0274"/>
    <w:rsid w:val="008D08E0"/>
    <w:rsid w:val="00A105E4"/>
    <w:rsid w:val="00AD2A38"/>
    <w:rsid w:val="00B710C3"/>
    <w:rsid w:val="00D277C7"/>
    <w:rsid w:val="00DC6462"/>
    <w:rsid w:val="00EC5DD7"/>
    <w:rsid w:val="00F6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76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1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1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1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1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482">
      <w:bodyDiv w:val="1"/>
      <w:marLeft w:val="0"/>
      <w:marRight w:val="0"/>
      <w:marTop w:val="0"/>
      <w:marBottom w:val="0"/>
      <w:divBdr>
        <w:top w:val="none" w:sz="0" w:space="0" w:color="auto"/>
        <w:left w:val="none" w:sz="0" w:space="0" w:color="auto"/>
        <w:bottom w:val="none" w:sz="0" w:space="0" w:color="auto"/>
        <w:right w:val="none" w:sz="0" w:space="0" w:color="auto"/>
      </w:divBdr>
    </w:div>
    <w:div w:id="820776755">
      <w:bodyDiv w:val="1"/>
      <w:marLeft w:val="0"/>
      <w:marRight w:val="0"/>
      <w:marTop w:val="0"/>
      <w:marBottom w:val="0"/>
      <w:divBdr>
        <w:top w:val="none" w:sz="0" w:space="0" w:color="auto"/>
        <w:left w:val="none" w:sz="0" w:space="0" w:color="auto"/>
        <w:bottom w:val="none" w:sz="0" w:space="0" w:color="auto"/>
        <w:right w:val="none" w:sz="0" w:space="0" w:color="auto"/>
      </w:divBdr>
    </w:div>
    <w:div w:id="973293424">
      <w:bodyDiv w:val="1"/>
      <w:marLeft w:val="0"/>
      <w:marRight w:val="0"/>
      <w:marTop w:val="0"/>
      <w:marBottom w:val="0"/>
      <w:divBdr>
        <w:top w:val="none" w:sz="0" w:space="0" w:color="auto"/>
        <w:left w:val="none" w:sz="0" w:space="0" w:color="auto"/>
        <w:bottom w:val="none" w:sz="0" w:space="0" w:color="auto"/>
        <w:right w:val="none" w:sz="0" w:space="0" w:color="auto"/>
      </w:divBdr>
    </w:div>
    <w:div w:id="1035889488">
      <w:bodyDiv w:val="1"/>
      <w:marLeft w:val="0"/>
      <w:marRight w:val="0"/>
      <w:marTop w:val="0"/>
      <w:marBottom w:val="0"/>
      <w:divBdr>
        <w:top w:val="none" w:sz="0" w:space="0" w:color="auto"/>
        <w:left w:val="none" w:sz="0" w:space="0" w:color="auto"/>
        <w:bottom w:val="none" w:sz="0" w:space="0" w:color="auto"/>
        <w:right w:val="none" w:sz="0" w:space="0" w:color="auto"/>
      </w:divBdr>
    </w:div>
    <w:div w:id="1761176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image" Target="media/image2.emf"/><Relationship Id="rId8" Type="http://schemas.openxmlformats.org/officeDocument/2006/relationships/oleObject" Target="embeddings/Microsoft_Equation2.bin"/><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1142</Words>
  <Characters>6512</Characters>
  <Application>Microsoft Macintosh Word</Application>
  <DocSecurity>0</DocSecurity>
  <Lines>54</Lines>
  <Paragraphs>15</Paragraphs>
  <ScaleCrop>false</ScaleCrop>
  <Company>Texas A&amp;M University</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HOLLADAY</dc:creator>
  <cp:keywords/>
  <dc:description/>
  <cp:lastModifiedBy>DANIEL HOLLADAY</cp:lastModifiedBy>
  <cp:revision>7</cp:revision>
  <dcterms:created xsi:type="dcterms:W3CDTF">2015-12-07T06:37:00Z</dcterms:created>
  <dcterms:modified xsi:type="dcterms:W3CDTF">2015-12-07T12:16:00Z</dcterms:modified>
</cp:coreProperties>
</file>