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9124F" w14:textId="1D5CACA4" w:rsidR="007B2771" w:rsidRPr="00CD6493" w:rsidRDefault="00DC68DE">
      <w:pPr>
        <w:rPr>
          <w:rFonts w:ascii="Helvetica Neue" w:hAnsi="Helvetica Neue"/>
          <w:b/>
          <w:bCs/>
        </w:rPr>
      </w:pPr>
      <w:r w:rsidRPr="00CD6493">
        <w:rPr>
          <w:rFonts w:ascii="Helvetica Neue" w:hAnsi="Helvetica Neue"/>
          <w:b/>
          <w:bCs/>
        </w:rPr>
        <w:t>Bi270a Proposal</w:t>
      </w:r>
      <w:r w:rsidR="00F13820" w:rsidRPr="00CD6493">
        <w:rPr>
          <w:rFonts w:ascii="Helvetica Neue" w:hAnsi="Helvetica Neue"/>
          <w:b/>
          <w:bCs/>
        </w:rPr>
        <w:t xml:space="preserve">: The influence of human </w:t>
      </w:r>
      <w:r w:rsidR="003D4AF2" w:rsidRPr="00CD6493">
        <w:rPr>
          <w:rFonts w:ascii="Helvetica Neue" w:hAnsi="Helvetica Neue"/>
          <w:b/>
          <w:bCs/>
        </w:rPr>
        <w:t>transport networks</w:t>
      </w:r>
      <w:r w:rsidR="00F13820" w:rsidRPr="00CD6493">
        <w:rPr>
          <w:rFonts w:ascii="Helvetica Neue" w:hAnsi="Helvetica Neue"/>
          <w:b/>
          <w:bCs/>
        </w:rPr>
        <w:t xml:space="preserve"> on mouse microbiomes</w:t>
      </w:r>
    </w:p>
    <w:p w14:paraId="49590EEA" w14:textId="5EC92376" w:rsidR="00DC68DE" w:rsidRPr="00CD6493" w:rsidRDefault="00DC68DE">
      <w:pPr>
        <w:contextualSpacing/>
        <w:rPr>
          <w:rFonts w:ascii="Helvetica Neue" w:hAnsi="Helvetica Neue"/>
          <w:sz w:val="22"/>
          <w:szCs w:val="22"/>
        </w:rPr>
      </w:pPr>
      <w:r w:rsidRPr="00CD6493">
        <w:rPr>
          <w:rFonts w:ascii="Helvetica Neue" w:hAnsi="Helvetica Neue"/>
          <w:sz w:val="22"/>
          <w:szCs w:val="22"/>
        </w:rPr>
        <w:t>Drew Honson</w:t>
      </w:r>
    </w:p>
    <w:p w14:paraId="0F372C2A" w14:textId="1792204C" w:rsidR="00F13820" w:rsidRPr="00CD6493" w:rsidRDefault="00DC68DE" w:rsidP="00F13820">
      <w:pPr>
        <w:contextualSpacing/>
        <w:rPr>
          <w:rFonts w:ascii="Helvetica Neue" w:hAnsi="Helvetica Neue"/>
          <w:sz w:val="22"/>
          <w:szCs w:val="22"/>
        </w:rPr>
      </w:pPr>
      <w:r w:rsidRPr="00CD6493">
        <w:rPr>
          <w:rFonts w:ascii="Helvetica Neue" w:hAnsi="Helvetica Neue"/>
          <w:sz w:val="22"/>
          <w:szCs w:val="22"/>
        </w:rPr>
        <w:t>16 Oct 2023</w:t>
      </w:r>
    </w:p>
    <w:p w14:paraId="3144E317" w14:textId="77777777" w:rsidR="00775BD1" w:rsidRPr="00CD6493" w:rsidRDefault="00775BD1" w:rsidP="00F13820">
      <w:pPr>
        <w:contextualSpacing/>
        <w:rPr>
          <w:rFonts w:ascii="Helvetica Neue" w:hAnsi="Helvetica Neue"/>
          <w:sz w:val="22"/>
          <w:szCs w:val="22"/>
        </w:rPr>
      </w:pPr>
    </w:p>
    <w:p w14:paraId="43DD23F8" w14:textId="0F9957DB" w:rsidR="00F13820" w:rsidRPr="00CD6493" w:rsidRDefault="00F13820">
      <w:pPr>
        <w:rPr>
          <w:rFonts w:ascii="Helvetica Neue" w:hAnsi="Helvetica Neue"/>
          <w:b/>
          <w:bCs/>
        </w:rPr>
      </w:pPr>
      <w:r w:rsidRPr="00CD6493">
        <w:rPr>
          <w:rFonts w:ascii="Helvetica Neue" w:hAnsi="Helvetica Neue"/>
          <w:b/>
          <w:bCs/>
        </w:rPr>
        <w:t>Problem</w:t>
      </w:r>
    </w:p>
    <w:p w14:paraId="6B6A91C2" w14:textId="22654DC4" w:rsidR="003D4AF2" w:rsidRPr="00CD6493" w:rsidRDefault="00F13820">
      <w:pPr>
        <w:divId w:val="1410884504"/>
        <w:rPr>
          <w:rFonts w:ascii="Helvetica Neue" w:hAnsi="Helvetica Neue"/>
          <w:sz w:val="22"/>
          <w:szCs w:val="22"/>
        </w:rPr>
      </w:pPr>
      <w:r w:rsidRPr="00CD6493">
        <w:rPr>
          <w:rFonts w:ascii="Helvetica Neue" w:hAnsi="Helvetica Neue"/>
          <w:sz w:val="22"/>
          <w:szCs w:val="22"/>
        </w:rPr>
        <w:t xml:space="preserve">Geography </w:t>
      </w:r>
      <w:r w:rsidR="00775BD1" w:rsidRPr="00CD6493">
        <w:rPr>
          <w:rFonts w:ascii="Helvetica Neue" w:hAnsi="Helvetica Neue"/>
          <w:sz w:val="22"/>
          <w:szCs w:val="22"/>
        </w:rPr>
        <w:t>greatly</w:t>
      </w:r>
      <w:r w:rsidR="003D4AF2" w:rsidRPr="00CD6493">
        <w:rPr>
          <w:rFonts w:ascii="Helvetica Neue" w:hAnsi="Helvetica Neue"/>
          <w:sz w:val="22"/>
          <w:szCs w:val="22"/>
        </w:rPr>
        <w:t xml:space="preserve"> influen</w:t>
      </w:r>
      <w:r w:rsidR="00775BD1" w:rsidRPr="00CD6493">
        <w:rPr>
          <w:rFonts w:ascii="Helvetica Neue" w:hAnsi="Helvetica Neue"/>
          <w:sz w:val="22"/>
          <w:szCs w:val="22"/>
        </w:rPr>
        <w:t>ces</w:t>
      </w:r>
      <w:r w:rsidR="003D4AF2" w:rsidRPr="00CD6493">
        <w:rPr>
          <w:rFonts w:ascii="Helvetica Neue" w:hAnsi="Helvetica Neue"/>
          <w:sz w:val="22"/>
          <w:szCs w:val="22"/>
        </w:rPr>
        <w:t xml:space="preserve"> the diversity of gut microbiota within a species.</w:t>
      </w:r>
      <w:sdt>
        <w:sdtPr>
          <w:rPr>
            <w:rFonts w:ascii="Helvetica Neue" w:hAnsi="Helvetica Neue"/>
            <w:sz w:val="22"/>
            <w:szCs w:val="22"/>
          </w:rPr>
          <w:alias w:val="SmartCite Citation"/>
          <w:tag w:val="f99c625e-8599-4de1-9eaa-567fccb9d9aa:adf43738-c959-4ed7-814d-d5517debf634,f99c625e-8599-4de1-9eaa-567fccb9d9aa:2a51a07c-ee2d-4a22-95af-0f3780854e29,f99c625e-8599-4de1-9eaa-567fccb9d9aa:3a75b126-82e1-443f-8a92-e44c8de377ff+"/>
          <w:id w:val="700509274"/>
          <w:placeholder>
            <w:docPart w:val="DefaultPlaceholder_-1854013440"/>
          </w:placeholder>
        </w:sdtPr>
        <w:sdtContent>
          <w:r w:rsidR="00CD6493" w:rsidRPr="00CD6493">
            <w:rPr>
              <w:rFonts w:ascii="Helvetica Neue" w:eastAsia="Times New Roman" w:hAnsi="Helvetica Neue"/>
              <w:sz w:val="22"/>
              <w:vertAlign w:val="superscript"/>
            </w:rPr>
            <w:t>1–3</w:t>
          </w:r>
        </w:sdtContent>
      </w:sdt>
      <w:r w:rsidR="003D4AF2" w:rsidRPr="00CD6493">
        <w:rPr>
          <w:rFonts w:ascii="Helvetica Neue" w:hAnsi="Helvetica Neue"/>
          <w:sz w:val="22"/>
          <w:szCs w:val="22"/>
        </w:rPr>
        <w:t xml:space="preserve"> An article published in </w:t>
      </w:r>
      <w:r w:rsidR="003D4AF2" w:rsidRPr="00CD6493">
        <w:rPr>
          <w:rFonts w:ascii="Helvetica Neue" w:hAnsi="Helvetica Neue"/>
          <w:i/>
          <w:iCs/>
          <w:sz w:val="22"/>
          <w:szCs w:val="22"/>
        </w:rPr>
        <w:t xml:space="preserve">Molecular Ecology </w:t>
      </w:r>
      <w:r w:rsidR="003D4AF2" w:rsidRPr="00CD6493">
        <w:rPr>
          <w:rFonts w:ascii="Helvetica Neue" w:hAnsi="Helvetica Neue"/>
          <w:sz w:val="22"/>
          <w:szCs w:val="22"/>
        </w:rPr>
        <w:t xml:space="preserve">in 2013 identified geography as </w:t>
      </w:r>
      <w:r w:rsidR="00775BD1" w:rsidRPr="00CD6493">
        <w:rPr>
          <w:rFonts w:ascii="Helvetica Neue" w:hAnsi="Helvetica Neue"/>
          <w:sz w:val="22"/>
          <w:szCs w:val="22"/>
        </w:rPr>
        <w:t xml:space="preserve">a major </w:t>
      </w:r>
      <w:r w:rsidR="003D4AF2" w:rsidRPr="00CD6493">
        <w:rPr>
          <w:rFonts w:ascii="Helvetica Neue" w:hAnsi="Helvetica Neue"/>
          <w:sz w:val="22"/>
          <w:szCs w:val="22"/>
        </w:rPr>
        <w:t xml:space="preserve">determinant of mouse </w:t>
      </w:r>
      <w:proofErr w:type="spellStart"/>
      <w:r w:rsidR="003D4AF2" w:rsidRPr="00CD6493">
        <w:rPr>
          <w:rFonts w:ascii="Helvetica Neue" w:hAnsi="Helvetica Neue"/>
          <w:sz w:val="22"/>
          <w:szCs w:val="22"/>
        </w:rPr>
        <w:t>caecal</w:t>
      </w:r>
      <w:proofErr w:type="spellEnd"/>
      <w:r w:rsidR="003D4AF2" w:rsidRPr="00CD6493">
        <w:rPr>
          <w:rFonts w:ascii="Helvetica Neue" w:hAnsi="Helvetica Neue"/>
          <w:sz w:val="22"/>
          <w:szCs w:val="22"/>
        </w:rPr>
        <w:t xml:space="preserve"> microbial communities among eight sampling locations in Western Europe.</w:t>
      </w:r>
      <w:sdt>
        <w:sdtPr>
          <w:rPr>
            <w:rFonts w:ascii="Helvetica Neue" w:hAnsi="Helvetica Neue"/>
            <w:sz w:val="22"/>
            <w:szCs w:val="22"/>
          </w:rPr>
          <w:alias w:val="SmartCite Citation"/>
          <w:tag w:val="f99c625e-8599-4de1-9eaa-567fccb9d9aa:3a75b126-82e1-443f-8a92-e44c8de377ff+"/>
          <w:id w:val="1276213442"/>
          <w:placeholder>
            <w:docPart w:val="DefaultPlaceholder_-1854013440"/>
          </w:placeholder>
        </w:sdtPr>
        <w:sdtContent>
          <w:r w:rsidR="00CD6493" w:rsidRPr="00CD6493">
            <w:rPr>
              <w:rFonts w:ascii="Helvetica Neue" w:eastAsia="Times New Roman" w:hAnsi="Helvetica Neue"/>
              <w:sz w:val="22"/>
              <w:vertAlign w:val="superscript"/>
            </w:rPr>
            <w:t>3</w:t>
          </w:r>
        </w:sdtContent>
      </w:sdt>
      <w:r w:rsidR="003D4AF2" w:rsidRPr="00CD6493">
        <w:rPr>
          <w:rFonts w:ascii="Helvetica Neue" w:hAnsi="Helvetica Neue"/>
          <w:sz w:val="22"/>
          <w:szCs w:val="22"/>
        </w:rPr>
        <w:t xml:space="preserve"> Interestingly, however, when their principal component analysis was unconstrained by coordinates, three distant locations all clustered together: </w:t>
      </w:r>
      <w:proofErr w:type="spellStart"/>
      <w:r w:rsidR="003D4AF2" w:rsidRPr="00CD6493">
        <w:rPr>
          <w:rFonts w:ascii="Helvetica Neue" w:hAnsi="Helvetica Neue"/>
          <w:sz w:val="22"/>
          <w:szCs w:val="22"/>
        </w:rPr>
        <w:t>Divonne</w:t>
      </w:r>
      <w:proofErr w:type="spellEnd"/>
      <w:r w:rsidR="003D4AF2" w:rsidRPr="00CD6493">
        <w:rPr>
          <w:rFonts w:ascii="Helvetica Neue" w:hAnsi="Helvetica Neue"/>
          <w:sz w:val="22"/>
          <w:szCs w:val="22"/>
        </w:rPr>
        <w:t xml:space="preserve"> les Bains (DB), </w:t>
      </w:r>
      <w:proofErr w:type="spellStart"/>
      <w:r w:rsidR="003D4AF2" w:rsidRPr="00CD6493">
        <w:rPr>
          <w:rFonts w:ascii="Helvetica Neue" w:hAnsi="Helvetica Neue"/>
          <w:sz w:val="22"/>
          <w:szCs w:val="22"/>
        </w:rPr>
        <w:t>Louan</w:t>
      </w:r>
      <w:proofErr w:type="spellEnd"/>
      <w:r w:rsidR="003D4AF2" w:rsidRPr="00CD6493">
        <w:rPr>
          <w:rFonts w:ascii="Helvetica Neue" w:hAnsi="Helvetica Neue"/>
          <w:sz w:val="22"/>
          <w:szCs w:val="22"/>
        </w:rPr>
        <w:t xml:space="preserve"> (LO), and </w:t>
      </w:r>
      <w:proofErr w:type="spellStart"/>
      <w:r w:rsidR="003D4AF2" w:rsidRPr="00CD6493">
        <w:rPr>
          <w:rFonts w:ascii="Helvetica Neue" w:hAnsi="Helvetica Neue"/>
          <w:sz w:val="22"/>
          <w:szCs w:val="22"/>
        </w:rPr>
        <w:t>Espelette</w:t>
      </w:r>
      <w:proofErr w:type="spellEnd"/>
      <w:r w:rsidR="003D4AF2" w:rsidRPr="00CD6493">
        <w:rPr>
          <w:rFonts w:ascii="Helvetica Neue" w:hAnsi="Helvetica Neue"/>
          <w:sz w:val="22"/>
          <w:szCs w:val="22"/>
        </w:rPr>
        <w:t xml:space="preserve"> (ES), all in France (Figure 1). Curiously, these regions showed far more similar </w:t>
      </w:r>
      <w:proofErr w:type="spellStart"/>
      <w:r w:rsidR="003D4AF2" w:rsidRPr="00CD6493">
        <w:rPr>
          <w:rFonts w:ascii="Helvetica Neue" w:hAnsi="Helvetica Neue"/>
          <w:sz w:val="22"/>
          <w:szCs w:val="22"/>
        </w:rPr>
        <w:t>caecal</w:t>
      </w:r>
      <w:proofErr w:type="spellEnd"/>
      <w:r w:rsidR="003D4AF2" w:rsidRPr="00CD6493">
        <w:rPr>
          <w:rFonts w:ascii="Helvetica Neue" w:hAnsi="Helvetica Neue"/>
          <w:sz w:val="22"/>
          <w:szCs w:val="22"/>
        </w:rPr>
        <w:t xml:space="preserve"> compositions than the comparatively close regions of Nancy, France (NA) and </w:t>
      </w:r>
      <w:proofErr w:type="spellStart"/>
      <w:r w:rsidR="003D4AF2" w:rsidRPr="00CD6493">
        <w:rPr>
          <w:rFonts w:ascii="Helvetica Neue" w:hAnsi="Helvetica Neue"/>
          <w:sz w:val="22"/>
          <w:szCs w:val="22"/>
        </w:rPr>
        <w:t>Schömberg</w:t>
      </w:r>
      <w:proofErr w:type="spellEnd"/>
      <w:r w:rsidR="003D4AF2" w:rsidRPr="00CD6493">
        <w:rPr>
          <w:rFonts w:ascii="Helvetica Neue" w:hAnsi="Helvetica Neue"/>
          <w:sz w:val="22"/>
          <w:szCs w:val="22"/>
        </w:rPr>
        <w:t>/</w:t>
      </w:r>
      <w:proofErr w:type="spellStart"/>
      <w:r w:rsidR="003D4AF2" w:rsidRPr="00CD6493">
        <w:rPr>
          <w:rFonts w:ascii="Helvetica Neue" w:hAnsi="Helvetica Neue"/>
          <w:sz w:val="22"/>
          <w:szCs w:val="22"/>
        </w:rPr>
        <w:t>Langenbrand</w:t>
      </w:r>
      <w:proofErr w:type="spellEnd"/>
      <w:r w:rsidR="003D4AF2" w:rsidRPr="00CD6493">
        <w:rPr>
          <w:rFonts w:ascii="Helvetica Neue" w:hAnsi="Helvetica Neue"/>
          <w:sz w:val="22"/>
          <w:szCs w:val="22"/>
        </w:rPr>
        <w:t xml:space="preserve">, Germany (SL) (Figure 1). The objective of my project is to 1) use orthogonal computational methods to replicate the results of the paper and 2) determine whether </w:t>
      </w:r>
      <w:r w:rsidR="004D1B01" w:rsidRPr="00CD6493">
        <w:rPr>
          <w:rFonts w:ascii="Helvetica Neue" w:hAnsi="Helvetica Neue"/>
          <w:sz w:val="22"/>
          <w:szCs w:val="22"/>
        </w:rPr>
        <w:t>manmade networks for moving people and freight might explain why geographically distant mouse populations might have similar microbial communities.</w:t>
      </w:r>
    </w:p>
    <w:p w14:paraId="7B97225E" w14:textId="05C92A8B" w:rsidR="004D1B01" w:rsidRPr="00CD6493" w:rsidRDefault="004D1B01">
      <w:pPr>
        <w:divId w:val="1410884504"/>
        <w:rPr>
          <w:rFonts w:ascii="Helvetica Neue" w:hAnsi="Helvetica Neue"/>
          <w:b/>
          <w:bCs/>
        </w:rPr>
      </w:pPr>
      <w:r w:rsidRPr="00CD6493">
        <w:rPr>
          <w:rFonts w:ascii="Helvetica Neue" w:hAnsi="Helvetica Neue"/>
          <w:b/>
          <w:bCs/>
        </w:rPr>
        <w:t>Data</w:t>
      </w:r>
    </w:p>
    <w:p w14:paraId="6226FD8F" w14:textId="7D179919" w:rsidR="004D1B01" w:rsidRPr="00CD6493" w:rsidRDefault="004D1B01">
      <w:pPr>
        <w:divId w:val="1410884504"/>
        <w:rPr>
          <w:rFonts w:ascii="Helvetica Neue" w:hAnsi="Helvetica Neue"/>
          <w:sz w:val="22"/>
          <w:szCs w:val="22"/>
        </w:rPr>
      </w:pPr>
      <w:r w:rsidRPr="00CD6493">
        <w:rPr>
          <w:rFonts w:ascii="Helvetica Neue" w:hAnsi="Helvetica Neue"/>
          <w:sz w:val="22"/>
          <w:szCs w:val="22"/>
        </w:rPr>
        <w:t xml:space="preserve">I will be using microbiome data from </w:t>
      </w:r>
      <w:proofErr w:type="spellStart"/>
      <w:r w:rsidRPr="00CD6493">
        <w:rPr>
          <w:rFonts w:ascii="Helvetica Neue" w:hAnsi="Helvetica Neue"/>
          <w:sz w:val="22"/>
          <w:szCs w:val="22"/>
        </w:rPr>
        <w:t>Linnenbrink</w:t>
      </w:r>
      <w:proofErr w:type="spellEnd"/>
      <w:r w:rsidRPr="00CD6493">
        <w:rPr>
          <w:rFonts w:ascii="Helvetica Neue" w:hAnsi="Helvetica Neue"/>
          <w:sz w:val="22"/>
          <w:szCs w:val="22"/>
        </w:rPr>
        <w:t xml:space="preserve"> et al 2013, available as study </w:t>
      </w:r>
      <w:hyperlink r:id="rId5" w:anchor="overview" w:history="1">
        <w:r w:rsidRPr="00CD6493">
          <w:rPr>
            <w:rStyle w:val="Hyperlink"/>
            <w:rFonts w:ascii="Helvetica Neue" w:hAnsi="Helvetica Neue"/>
            <w:sz w:val="22"/>
            <w:szCs w:val="22"/>
          </w:rPr>
          <w:t>MGYS00000516</w:t>
        </w:r>
      </w:hyperlink>
      <w:r w:rsidRPr="00CD6493">
        <w:rPr>
          <w:rFonts w:ascii="Helvetica Neue" w:hAnsi="Helvetica Neue"/>
          <w:sz w:val="22"/>
          <w:szCs w:val="22"/>
        </w:rPr>
        <w:t xml:space="preserve"> on MGnify.</w:t>
      </w:r>
      <w:sdt>
        <w:sdtPr>
          <w:rPr>
            <w:rFonts w:ascii="Helvetica Neue" w:hAnsi="Helvetica Neue"/>
            <w:sz w:val="22"/>
            <w:szCs w:val="22"/>
          </w:rPr>
          <w:alias w:val="SmartCite Citation"/>
          <w:tag w:val="f99c625e-8599-4de1-9eaa-567fccb9d9aa:3a75b126-82e1-443f-8a92-e44c8de377ff+"/>
          <w:id w:val="-1808846063"/>
          <w:placeholder>
            <w:docPart w:val="DefaultPlaceholder_-1854013440"/>
          </w:placeholder>
        </w:sdtPr>
        <w:sdtContent>
          <w:r w:rsidR="00CD6493" w:rsidRPr="00CD6493">
            <w:rPr>
              <w:rFonts w:ascii="Helvetica Neue" w:eastAsia="Times New Roman" w:hAnsi="Helvetica Neue"/>
              <w:sz w:val="22"/>
              <w:vertAlign w:val="superscript"/>
            </w:rPr>
            <w:t>3</w:t>
          </w:r>
        </w:sdtContent>
      </w:sdt>
      <w:r w:rsidRPr="00CD6493">
        <w:rPr>
          <w:rFonts w:ascii="Helvetica Neue" w:hAnsi="Helvetica Neue"/>
          <w:sz w:val="22"/>
          <w:szCs w:val="22"/>
        </w:rPr>
        <w:t xml:space="preserve"> These data contain </w:t>
      </w:r>
      <w:proofErr w:type="spellStart"/>
      <w:r w:rsidRPr="00CD6493">
        <w:rPr>
          <w:rFonts w:ascii="Helvetica Neue" w:hAnsi="Helvetica Neue"/>
          <w:sz w:val="22"/>
          <w:szCs w:val="22"/>
        </w:rPr>
        <w:t>caecal</w:t>
      </w:r>
      <w:proofErr w:type="spellEnd"/>
      <w:r w:rsidRPr="00CD6493">
        <w:rPr>
          <w:rFonts w:ascii="Helvetica Neue" w:hAnsi="Helvetica Neue"/>
          <w:sz w:val="22"/>
          <w:szCs w:val="22"/>
        </w:rPr>
        <w:t xml:space="preserve"> and mucosal microbiomes from 121 mice sampled from eight geographic locations. </w:t>
      </w:r>
      <w:r w:rsidR="005A2EAC" w:rsidRPr="00CD6493">
        <w:rPr>
          <w:rFonts w:ascii="Helvetica Neue" w:hAnsi="Helvetica Neue"/>
          <w:sz w:val="22"/>
          <w:szCs w:val="22"/>
        </w:rPr>
        <w:t>For</w:t>
      </w:r>
      <w:r w:rsidRPr="00CD6493">
        <w:rPr>
          <w:rFonts w:ascii="Helvetica Neue" w:hAnsi="Helvetica Neue"/>
          <w:sz w:val="22"/>
          <w:szCs w:val="22"/>
        </w:rPr>
        <w:t xml:space="preserve"> my analysis, I will primarily use the </w:t>
      </w:r>
      <w:proofErr w:type="spellStart"/>
      <w:r w:rsidRPr="00CD6493">
        <w:rPr>
          <w:rFonts w:ascii="Helvetica Neue" w:hAnsi="Helvetica Neue"/>
          <w:sz w:val="22"/>
          <w:szCs w:val="22"/>
        </w:rPr>
        <w:t>caecal</w:t>
      </w:r>
      <w:proofErr w:type="spellEnd"/>
      <w:r w:rsidRPr="00CD6493">
        <w:rPr>
          <w:rFonts w:ascii="Helvetica Neue" w:hAnsi="Helvetica Neue"/>
          <w:sz w:val="22"/>
          <w:szCs w:val="22"/>
        </w:rPr>
        <w:t xml:space="preserve"> microbiomes, as the article showed these to be more influenced by geography than those from mucosa. </w:t>
      </w:r>
    </w:p>
    <w:p w14:paraId="57503276" w14:textId="6774206A" w:rsidR="005A2EAC" w:rsidRPr="00CD6493" w:rsidRDefault="00775BD1" w:rsidP="00775BD1">
      <w:pPr>
        <w:divId w:val="1410884504"/>
        <w:rPr>
          <w:rFonts w:ascii="Helvetica Neue" w:hAnsi="Helvetica Neue"/>
          <w:sz w:val="22"/>
          <w:szCs w:val="22"/>
        </w:rPr>
      </w:pPr>
      <w:r w:rsidRPr="00CD6493">
        <w:rPr>
          <w:rFonts w:ascii="Helvetica Neue" w:hAnsi="Helvetica Neue"/>
          <w:sz w:val="22"/>
          <w:szCs w:val="22"/>
        </w:rPr>
        <w:t xml:space="preserve">Both France and Germany have vast rail networks which are used primarily </w:t>
      </w:r>
      <w:r w:rsidR="00CD6493" w:rsidRPr="00CD6493">
        <w:rPr>
          <w:rFonts w:ascii="Helvetica Neue" w:hAnsi="Helvetica Neue"/>
          <w:sz w:val="22"/>
          <w:szCs w:val="22"/>
        </w:rPr>
        <w:t>for passenger transport</w:t>
      </w:r>
      <w:r w:rsidR="005353B6" w:rsidRPr="00CD6493">
        <w:rPr>
          <w:rFonts w:ascii="Helvetica Neue" w:hAnsi="Helvetica Neue"/>
          <w:sz w:val="22"/>
          <w:szCs w:val="22"/>
        </w:rPr>
        <w:t>.</w:t>
      </w:r>
      <w:sdt>
        <w:sdtPr>
          <w:rPr>
            <w:rFonts w:ascii="Helvetica Neue" w:hAnsi="Helvetica Neue"/>
            <w:sz w:val="22"/>
            <w:szCs w:val="22"/>
          </w:rPr>
          <w:alias w:val="SmartCite Citation"/>
          <w:tag w:val="f99c625e-8599-4de1-9eaa-567fccb9d9aa:a5624856-760d-4dc9-9972-9a69691d117a,f99c625e-8599-4de1-9eaa-567fccb9d9aa:a90996fa-54bc-4e05-bb7e-a0941a1e93f5+"/>
          <w:id w:val="1480810357"/>
          <w:placeholder>
            <w:docPart w:val="DefaultPlaceholder_-1854013440"/>
          </w:placeholder>
        </w:sdtPr>
        <w:sdtContent>
          <w:r w:rsidR="00CD6493" w:rsidRPr="00CD6493">
            <w:rPr>
              <w:rFonts w:ascii="Helvetica Neue" w:eastAsia="Times New Roman" w:hAnsi="Helvetica Neue"/>
              <w:sz w:val="22"/>
              <w:vertAlign w:val="superscript"/>
            </w:rPr>
            <w:t>4,5</w:t>
          </w:r>
        </w:sdtContent>
      </w:sdt>
      <w:r w:rsidR="005353B6" w:rsidRPr="00CD6493">
        <w:rPr>
          <w:rFonts w:ascii="Helvetica Neue" w:hAnsi="Helvetica Neue"/>
          <w:sz w:val="22"/>
          <w:szCs w:val="22"/>
        </w:rPr>
        <w:t xml:space="preserve"> As such, I will </w:t>
      </w:r>
      <w:r w:rsidR="001B53EE" w:rsidRPr="00CD6493">
        <w:rPr>
          <w:rFonts w:ascii="Helvetica Neue" w:hAnsi="Helvetica Neue"/>
          <w:sz w:val="22"/>
          <w:szCs w:val="22"/>
        </w:rPr>
        <w:t>use</w:t>
      </w:r>
      <w:r w:rsidR="005A2EAC" w:rsidRPr="00CD6493">
        <w:rPr>
          <w:rFonts w:ascii="Helvetica Neue" w:hAnsi="Helvetica Neue"/>
          <w:sz w:val="22"/>
          <w:szCs w:val="22"/>
        </w:rPr>
        <w:t xml:space="preserve"> passenger</w:t>
      </w:r>
      <w:r w:rsidR="001B53EE" w:rsidRPr="00CD6493">
        <w:rPr>
          <w:rFonts w:ascii="Helvetica Neue" w:hAnsi="Helvetica Neue"/>
          <w:sz w:val="22"/>
          <w:szCs w:val="22"/>
        </w:rPr>
        <w:t xml:space="preserve"> timetables from SNCF (the French nationalized railway) and Deutsche Bahn (the German nationalized railway) to </w:t>
      </w:r>
      <w:r w:rsidR="005A2EAC" w:rsidRPr="00CD6493">
        <w:rPr>
          <w:rFonts w:ascii="Helvetica Neue" w:hAnsi="Helvetica Neue"/>
          <w:sz w:val="22"/>
          <w:szCs w:val="22"/>
        </w:rPr>
        <w:t>calculate relative distances between the sample sites</w:t>
      </w:r>
      <w:r w:rsidR="001B53EE" w:rsidRPr="00CD6493">
        <w:rPr>
          <w:rFonts w:ascii="Helvetica Neue" w:hAnsi="Helvetica Neue"/>
          <w:sz w:val="22"/>
          <w:szCs w:val="22"/>
        </w:rPr>
        <w:t xml:space="preserve"> </w:t>
      </w:r>
      <w:r w:rsidR="005A2EAC" w:rsidRPr="00CD6493">
        <w:rPr>
          <w:rFonts w:ascii="Helvetica Neue" w:hAnsi="Helvetica Neue"/>
          <w:sz w:val="22"/>
          <w:szCs w:val="22"/>
        </w:rPr>
        <w:t>in terms of train frequency. Freight in Europe primarily moves by the Trans-European Transport Network (TEN-T)</w:t>
      </w:r>
      <w:r w:rsidR="00CD6493" w:rsidRPr="00CD6493">
        <w:rPr>
          <w:rFonts w:ascii="Helvetica Neue" w:hAnsi="Helvetica Neue"/>
          <w:sz w:val="22"/>
          <w:szCs w:val="22"/>
        </w:rPr>
        <w:t>, a network of road, rail, and water transport</w:t>
      </w:r>
      <w:r w:rsidR="005A2EAC" w:rsidRPr="00CD6493">
        <w:rPr>
          <w:rFonts w:ascii="Helvetica Neue" w:hAnsi="Helvetica Neue"/>
          <w:sz w:val="22"/>
          <w:szCs w:val="22"/>
        </w:rPr>
        <w:t>.</w:t>
      </w:r>
      <w:sdt>
        <w:sdtPr>
          <w:rPr>
            <w:rFonts w:ascii="Helvetica Neue" w:hAnsi="Helvetica Neue"/>
            <w:sz w:val="22"/>
            <w:szCs w:val="22"/>
          </w:rPr>
          <w:alias w:val="SmartCite Citation"/>
          <w:tag w:val="f99c625e-8599-4de1-9eaa-567fccb9d9aa:19192ec3-cd75-4dd8-a3f1-88c9e9c75fe0+"/>
          <w:id w:val="249933254"/>
          <w:placeholder>
            <w:docPart w:val="DefaultPlaceholder_-1854013440"/>
          </w:placeholder>
        </w:sdtPr>
        <w:sdtContent>
          <w:r w:rsidR="00CD6493" w:rsidRPr="00CD6493">
            <w:rPr>
              <w:rFonts w:ascii="Helvetica Neue" w:eastAsia="Times New Roman" w:hAnsi="Helvetica Neue"/>
              <w:sz w:val="22"/>
              <w:vertAlign w:val="superscript"/>
            </w:rPr>
            <w:t>6</w:t>
          </w:r>
        </w:sdtContent>
      </w:sdt>
      <w:r w:rsidRPr="00CD6493">
        <w:rPr>
          <w:rFonts w:ascii="Helvetica Neue" w:hAnsi="Helvetica Neue"/>
          <w:sz w:val="22"/>
          <w:szCs w:val="22"/>
        </w:rPr>
        <w:t xml:space="preserve"> To measure the influence of cargo transport, study sites will be ranked on their relative distance from one another and the TEN-T corridors. </w:t>
      </w:r>
    </w:p>
    <w:p w14:paraId="400CA855" w14:textId="3D87ED03" w:rsidR="00775BD1" w:rsidRPr="00CD6493" w:rsidRDefault="00775BD1" w:rsidP="00775BD1">
      <w:pPr>
        <w:divId w:val="1410884504"/>
        <w:rPr>
          <w:rFonts w:ascii="Helvetica Neue" w:hAnsi="Helvetica Neue"/>
          <w:b/>
          <w:bCs/>
        </w:rPr>
      </w:pPr>
      <w:r w:rsidRPr="00CD6493">
        <w:rPr>
          <w:rFonts w:ascii="Helvetica Neue" w:hAnsi="Helvetica Neue"/>
          <w:b/>
          <w:bCs/>
        </w:rPr>
        <w:t>Analyses</w:t>
      </w:r>
    </w:p>
    <w:p w14:paraId="1790F756" w14:textId="05EF71B9" w:rsidR="00CD6493" w:rsidRDefault="00775BD1" w:rsidP="00CD6493">
      <w:pPr>
        <w:divId w:val="1410884504"/>
        <w:rPr>
          <w:rFonts w:ascii="Helvetica Neue" w:hAnsi="Helvetica Neue"/>
          <w:sz w:val="22"/>
          <w:szCs w:val="22"/>
        </w:rPr>
      </w:pPr>
      <w:r w:rsidRPr="00CD6493">
        <w:rPr>
          <w:rFonts w:ascii="Helvetica Neue" w:hAnsi="Helvetica Neue"/>
          <w:sz w:val="22"/>
          <w:szCs w:val="22"/>
        </w:rPr>
        <w:t>I will perform Principal Component Analysis on the microbiome data and calculate pairwise Euclidean distances as a measure of similarity. I will repeat the analyses in the original article to determine what proportion of the distances can be explained by geographic coordinates. I will then repeat these analyses using passenger train and freight relative distances to determine whether clusters of similar microbiomes are better explained by human transport networks than by raw geographic distance.</w:t>
      </w:r>
    </w:p>
    <w:sdt>
      <w:sdtPr>
        <w:rPr>
          <w:rFonts w:ascii="Helvetica Neue" w:hAnsi="Helvetica Neue"/>
        </w:rPr>
        <w:alias w:val="SmartCite Bibliography"/>
        <w:tag w:val="Nature+{&quot;language&quot;:&quot;en-US&quot;,&quot;isSectionsModeOn&quot;:false}"/>
        <w:id w:val="-397902332"/>
        <w:placeholder>
          <w:docPart w:val="DefaultPlaceholder_-1854013440"/>
        </w:placeholder>
      </w:sdtPr>
      <w:sdtEndPr>
        <w:rPr>
          <w:sz w:val="22"/>
          <w:szCs w:val="22"/>
        </w:rPr>
      </w:sdtEndPr>
      <w:sdtContent>
        <w:p w14:paraId="46A78C85" w14:textId="16293436" w:rsidR="00CD6493" w:rsidRPr="00CD6493" w:rsidRDefault="00CD6493" w:rsidP="00CD6493">
          <w:pPr>
            <w:divId w:val="1187983354"/>
            <w:rPr>
              <w:rFonts w:ascii="Helvetica Neue" w:eastAsia="Times New Roman" w:hAnsi="Helvetica Neue"/>
              <w:b/>
              <w:bCs/>
              <w:sz w:val="28"/>
              <w:szCs w:val="28"/>
            </w:rPr>
          </w:pPr>
          <w:r w:rsidRPr="00CD6493">
            <w:rPr>
              <w:rFonts w:ascii="Helvetica Neue" w:hAnsi="Helvetica Neue"/>
              <w:b/>
              <w:bCs/>
            </w:rPr>
            <w:t>Citations</w:t>
          </w:r>
        </w:p>
        <w:p w14:paraId="24C6AA27" w14:textId="77777777" w:rsidR="00CD6493" w:rsidRPr="00CD6493" w:rsidRDefault="00CD6493" w:rsidP="00CD6493">
          <w:pPr>
            <w:pStyle w:val="bibliography"/>
            <w:ind w:left="288"/>
            <w:divId w:val="1187983354"/>
            <w:rPr>
              <w:rFonts w:ascii="Helvetica Neue" w:hAnsi="Helvetica Neue"/>
            </w:rPr>
          </w:pPr>
          <w:r w:rsidRPr="00CD6493">
            <w:rPr>
              <w:rFonts w:ascii="Helvetica Neue" w:hAnsi="Helvetica Neue"/>
            </w:rPr>
            <w:t xml:space="preserve">1. Suzuki, T. A. &amp; </w:t>
          </w:r>
          <w:proofErr w:type="spellStart"/>
          <w:r w:rsidRPr="00CD6493">
            <w:rPr>
              <w:rFonts w:ascii="Helvetica Neue" w:hAnsi="Helvetica Neue"/>
            </w:rPr>
            <w:t>Worobey</w:t>
          </w:r>
          <w:proofErr w:type="spellEnd"/>
          <w:r w:rsidRPr="00CD6493">
            <w:rPr>
              <w:rFonts w:ascii="Helvetica Neue" w:hAnsi="Helvetica Neue"/>
            </w:rPr>
            <w:t xml:space="preserve">, M. Geographical variation of human gut microbial composition. </w:t>
          </w:r>
          <w:r w:rsidRPr="00CD6493">
            <w:rPr>
              <w:rFonts w:ascii="Helvetica Neue" w:hAnsi="Helvetica Neue"/>
              <w:i/>
              <w:iCs/>
            </w:rPr>
            <w:t>Biol. Lett.</w:t>
          </w:r>
          <w:r w:rsidRPr="00CD6493">
            <w:rPr>
              <w:rFonts w:ascii="Helvetica Neue" w:hAnsi="Helvetica Neue"/>
            </w:rPr>
            <w:t xml:space="preserve"> </w:t>
          </w:r>
          <w:r w:rsidRPr="00CD6493">
            <w:rPr>
              <w:rFonts w:ascii="Helvetica Neue" w:hAnsi="Helvetica Neue"/>
              <w:b/>
              <w:bCs/>
            </w:rPr>
            <w:t>10</w:t>
          </w:r>
          <w:r w:rsidRPr="00CD6493">
            <w:rPr>
              <w:rFonts w:ascii="Helvetica Neue" w:hAnsi="Helvetica Neue"/>
            </w:rPr>
            <w:t>, 20131037 (2014).</w:t>
          </w:r>
        </w:p>
        <w:p w14:paraId="747A59DB" w14:textId="77777777" w:rsidR="00CD6493" w:rsidRPr="00CD6493" w:rsidRDefault="00CD6493" w:rsidP="00CD6493">
          <w:pPr>
            <w:pStyle w:val="bibliography"/>
            <w:ind w:left="288"/>
            <w:divId w:val="1187983354"/>
            <w:rPr>
              <w:rFonts w:ascii="Helvetica Neue" w:hAnsi="Helvetica Neue"/>
            </w:rPr>
          </w:pPr>
          <w:r w:rsidRPr="00CD6493">
            <w:rPr>
              <w:rFonts w:ascii="Helvetica Neue" w:hAnsi="Helvetica Neue"/>
            </w:rPr>
            <w:lastRenderedPageBreak/>
            <w:t xml:space="preserve">2. Gaulke, C. A. &amp; Sharpton, T. J. The influence of ethnicity and geography on human gut microbiome composition. </w:t>
          </w:r>
          <w:r w:rsidRPr="00CD6493">
            <w:rPr>
              <w:rFonts w:ascii="Helvetica Neue" w:hAnsi="Helvetica Neue"/>
              <w:i/>
              <w:iCs/>
            </w:rPr>
            <w:t>Nat. Med.</w:t>
          </w:r>
          <w:r w:rsidRPr="00CD6493">
            <w:rPr>
              <w:rFonts w:ascii="Helvetica Neue" w:hAnsi="Helvetica Neue"/>
            </w:rPr>
            <w:t xml:space="preserve"> </w:t>
          </w:r>
          <w:r w:rsidRPr="00CD6493">
            <w:rPr>
              <w:rFonts w:ascii="Helvetica Neue" w:hAnsi="Helvetica Neue"/>
              <w:b/>
              <w:bCs/>
            </w:rPr>
            <w:t>24</w:t>
          </w:r>
          <w:r w:rsidRPr="00CD6493">
            <w:rPr>
              <w:rFonts w:ascii="Helvetica Neue" w:hAnsi="Helvetica Neue"/>
            </w:rPr>
            <w:t>, 1495–1496 (2018).</w:t>
          </w:r>
        </w:p>
        <w:p w14:paraId="14D60F89" w14:textId="77777777" w:rsidR="00CD6493" w:rsidRPr="00CD6493" w:rsidRDefault="00CD6493" w:rsidP="00CD6493">
          <w:pPr>
            <w:pStyle w:val="bibliography"/>
            <w:ind w:left="288"/>
            <w:divId w:val="1187983354"/>
            <w:rPr>
              <w:rFonts w:ascii="Helvetica Neue" w:hAnsi="Helvetica Neue"/>
            </w:rPr>
          </w:pPr>
          <w:r w:rsidRPr="00CD6493">
            <w:rPr>
              <w:rFonts w:ascii="Helvetica Neue" w:hAnsi="Helvetica Neue"/>
            </w:rPr>
            <w:t xml:space="preserve">3. </w:t>
          </w:r>
          <w:proofErr w:type="spellStart"/>
          <w:r w:rsidRPr="00CD6493">
            <w:rPr>
              <w:rFonts w:ascii="Helvetica Neue" w:hAnsi="Helvetica Neue"/>
            </w:rPr>
            <w:t>Linnenbrink</w:t>
          </w:r>
          <w:proofErr w:type="spellEnd"/>
          <w:r w:rsidRPr="00CD6493">
            <w:rPr>
              <w:rFonts w:ascii="Helvetica Neue" w:hAnsi="Helvetica Neue"/>
            </w:rPr>
            <w:t xml:space="preserve">, M. </w:t>
          </w:r>
          <w:r w:rsidRPr="00CD6493">
            <w:rPr>
              <w:rFonts w:ascii="Helvetica Neue" w:hAnsi="Helvetica Neue"/>
              <w:i/>
              <w:iCs/>
            </w:rPr>
            <w:t>et al.</w:t>
          </w:r>
          <w:r w:rsidRPr="00CD6493">
            <w:rPr>
              <w:rFonts w:ascii="Helvetica Neue" w:hAnsi="Helvetica Neue"/>
            </w:rPr>
            <w:t xml:space="preserve"> The role of biogeography in shaping diversity of the intestinal microbiota in house mice. </w:t>
          </w:r>
          <w:r w:rsidRPr="00CD6493">
            <w:rPr>
              <w:rFonts w:ascii="Helvetica Neue" w:hAnsi="Helvetica Neue"/>
              <w:i/>
              <w:iCs/>
            </w:rPr>
            <w:t>Mol. Ecol.</w:t>
          </w:r>
          <w:r w:rsidRPr="00CD6493">
            <w:rPr>
              <w:rFonts w:ascii="Helvetica Neue" w:hAnsi="Helvetica Neue"/>
            </w:rPr>
            <w:t xml:space="preserve"> </w:t>
          </w:r>
          <w:r w:rsidRPr="00CD6493">
            <w:rPr>
              <w:rFonts w:ascii="Helvetica Neue" w:hAnsi="Helvetica Neue"/>
              <w:b/>
              <w:bCs/>
            </w:rPr>
            <w:t>22</w:t>
          </w:r>
          <w:r w:rsidRPr="00CD6493">
            <w:rPr>
              <w:rFonts w:ascii="Helvetica Neue" w:hAnsi="Helvetica Neue"/>
            </w:rPr>
            <w:t>, 1904–1916 (2013).</w:t>
          </w:r>
        </w:p>
        <w:p w14:paraId="731EC0AD" w14:textId="77777777" w:rsidR="00CD6493" w:rsidRPr="00CD6493" w:rsidRDefault="00CD6493" w:rsidP="00CD6493">
          <w:pPr>
            <w:pStyle w:val="bibliography"/>
            <w:ind w:left="288"/>
            <w:divId w:val="1187983354"/>
            <w:rPr>
              <w:rFonts w:ascii="Helvetica Neue" w:hAnsi="Helvetica Neue"/>
            </w:rPr>
          </w:pPr>
          <w:r w:rsidRPr="00CD6493">
            <w:rPr>
              <w:rFonts w:ascii="Helvetica Neue" w:hAnsi="Helvetica Neue"/>
            </w:rPr>
            <w:t xml:space="preserve">4. Kuester, F. Is the German Rail Freight System broken? A portrait of DB Cargo | Combined Transport. </w:t>
          </w:r>
          <w:r w:rsidRPr="00CD6493">
            <w:rPr>
              <w:rFonts w:ascii="Helvetica Neue" w:hAnsi="Helvetica Neue"/>
              <w:i/>
              <w:iCs/>
            </w:rPr>
            <w:t>Combined Transport</w:t>
          </w:r>
          <w:r w:rsidRPr="00CD6493">
            <w:rPr>
              <w:rFonts w:ascii="Helvetica Neue" w:hAnsi="Helvetica Neue"/>
            </w:rPr>
            <w:t xml:space="preserve"> </w:t>
          </w:r>
          <w:hyperlink r:id="rId6" w:history="1">
            <w:r w:rsidRPr="00CD6493">
              <w:rPr>
                <w:rStyle w:val="Hyperlink"/>
                <w:rFonts w:ascii="Helvetica Neue" w:hAnsi="Helvetica Neue"/>
              </w:rPr>
              <w:t>https://combined-transport.eu/german-railway-system</w:t>
            </w:r>
          </w:hyperlink>
          <w:r w:rsidRPr="00CD6493">
            <w:rPr>
              <w:rFonts w:ascii="Helvetica Neue" w:hAnsi="Helvetica Neue"/>
            </w:rPr>
            <w:t xml:space="preserve"> (2017).</w:t>
          </w:r>
        </w:p>
        <w:p w14:paraId="7DD298BE" w14:textId="77777777" w:rsidR="00CD6493" w:rsidRPr="00CD6493" w:rsidRDefault="00CD6493" w:rsidP="00CD6493">
          <w:pPr>
            <w:pStyle w:val="bibliography"/>
            <w:ind w:left="288"/>
            <w:divId w:val="1187983354"/>
            <w:rPr>
              <w:rFonts w:ascii="Helvetica Neue" w:hAnsi="Helvetica Neue"/>
            </w:rPr>
          </w:pPr>
          <w:r w:rsidRPr="00CD6493">
            <w:rPr>
              <w:rFonts w:ascii="Helvetica Neue" w:hAnsi="Helvetica Neue"/>
            </w:rPr>
            <w:t xml:space="preserve">5. </w:t>
          </w:r>
          <w:proofErr w:type="spellStart"/>
          <w:r w:rsidRPr="00CD6493">
            <w:rPr>
              <w:rFonts w:ascii="Helvetica Neue" w:hAnsi="Helvetica Neue"/>
            </w:rPr>
            <w:t>Boudet</w:t>
          </w:r>
          <w:proofErr w:type="spellEnd"/>
          <w:r w:rsidRPr="00CD6493">
            <w:rPr>
              <w:rFonts w:ascii="Helvetica Neue" w:hAnsi="Helvetica Neue"/>
            </w:rPr>
            <w:t xml:space="preserve">, A. &amp; Steinmann, L. The State once again supports rail freight | The echoes. </w:t>
          </w:r>
          <w:r w:rsidRPr="00CD6493">
            <w:rPr>
              <w:rFonts w:ascii="Helvetica Neue" w:hAnsi="Helvetica Neue"/>
              <w:i/>
              <w:iCs/>
            </w:rPr>
            <w:t xml:space="preserve">Les </w:t>
          </w:r>
          <w:proofErr w:type="spellStart"/>
          <w:r w:rsidRPr="00CD6493">
            <w:rPr>
              <w:rFonts w:ascii="Helvetica Neue" w:hAnsi="Helvetica Neue"/>
              <w:i/>
              <w:iCs/>
            </w:rPr>
            <w:t>Echos</w:t>
          </w:r>
          <w:proofErr w:type="spellEnd"/>
          <w:r w:rsidRPr="00CD6493">
            <w:rPr>
              <w:rFonts w:ascii="Helvetica Neue" w:hAnsi="Helvetica Neue"/>
            </w:rPr>
            <w:t xml:space="preserve"> </w:t>
          </w:r>
          <w:hyperlink r:id="rId7" w:history="1">
            <w:r w:rsidRPr="00CD6493">
              <w:rPr>
                <w:rStyle w:val="Hyperlink"/>
                <w:rFonts w:ascii="Helvetica Neue" w:hAnsi="Helvetica Neue"/>
              </w:rPr>
              <w:t>https://www.lesechos.fr/industrie-services/tourisme-transport/letat-une-enieme-fois-au-chevet-du-fret-ferroviaire-1226685</w:t>
            </w:r>
          </w:hyperlink>
          <w:r w:rsidRPr="00CD6493">
            <w:rPr>
              <w:rFonts w:ascii="Helvetica Neue" w:hAnsi="Helvetica Neue"/>
            </w:rPr>
            <w:t xml:space="preserve"> (2020).</w:t>
          </w:r>
        </w:p>
        <w:p w14:paraId="133AA072" w14:textId="77777777" w:rsidR="00CD6493" w:rsidRPr="00CD6493" w:rsidRDefault="00CD6493" w:rsidP="00CD6493">
          <w:pPr>
            <w:pStyle w:val="bibliography"/>
            <w:ind w:left="288"/>
            <w:divId w:val="1187983354"/>
            <w:rPr>
              <w:rFonts w:ascii="Helvetica Neue" w:hAnsi="Helvetica Neue"/>
            </w:rPr>
          </w:pPr>
          <w:r w:rsidRPr="00CD6493">
            <w:rPr>
              <w:rFonts w:ascii="Helvetica Neue" w:hAnsi="Helvetica Neue"/>
            </w:rPr>
            <w:t xml:space="preserve">6. The European Commission. Trans-European Transport Network (TEN-T). </w:t>
          </w:r>
          <w:hyperlink r:id="rId8" w:history="1">
            <w:r w:rsidRPr="00CD6493">
              <w:rPr>
                <w:rStyle w:val="Hyperlink"/>
                <w:rFonts w:ascii="Helvetica Neue" w:hAnsi="Helvetica Neue"/>
              </w:rPr>
              <w:t>https://transport.ec.europa.eu/transport-themes/infrastructure-and-investment/trans-european-transport-network-ten-t_en</w:t>
            </w:r>
          </w:hyperlink>
          <w:r w:rsidRPr="00CD6493">
            <w:rPr>
              <w:rFonts w:ascii="Helvetica Neue" w:hAnsi="Helvetica Neue"/>
            </w:rPr>
            <w:t>.</w:t>
          </w:r>
        </w:p>
        <w:p w14:paraId="190735AE" w14:textId="4B29ECC9" w:rsidR="00F13820" w:rsidRPr="00CD6493" w:rsidRDefault="00CD6493" w:rsidP="00CD6493">
          <w:pPr>
            <w:ind w:left="1008"/>
            <w:rPr>
              <w:rFonts w:ascii="Helvetica Neue" w:hAnsi="Helvetica Neue"/>
              <w:sz w:val="22"/>
              <w:szCs w:val="22"/>
            </w:rPr>
          </w:pPr>
          <w:r w:rsidRPr="00CD6493">
            <w:rPr>
              <w:rFonts w:ascii="Helvetica Neue" w:eastAsia="Times New Roman" w:hAnsi="Helvetica Neue"/>
            </w:rPr>
            <w:t> </w:t>
          </w:r>
        </w:p>
      </w:sdtContent>
    </w:sdt>
    <w:sectPr w:rsidR="00F13820" w:rsidRPr="00CD6493" w:rsidSect="006C4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DE"/>
    <w:rsid w:val="00131536"/>
    <w:rsid w:val="00166B23"/>
    <w:rsid w:val="001B53EE"/>
    <w:rsid w:val="001E3B44"/>
    <w:rsid w:val="00224B92"/>
    <w:rsid w:val="0029435A"/>
    <w:rsid w:val="002F49C6"/>
    <w:rsid w:val="003D4AF2"/>
    <w:rsid w:val="004D1B01"/>
    <w:rsid w:val="005353B6"/>
    <w:rsid w:val="005A2EAC"/>
    <w:rsid w:val="00644EC3"/>
    <w:rsid w:val="006B333A"/>
    <w:rsid w:val="006C4703"/>
    <w:rsid w:val="00775BD1"/>
    <w:rsid w:val="007B2771"/>
    <w:rsid w:val="00810C76"/>
    <w:rsid w:val="008811F0"/>
    <w:rsid w:val="009D53A4"/>
    <w:rsid w:val="00A21441"/>
    <w:rsid w:val="00B26C0E"/>
    <w:rsid w:val="00BE57D6"/>
    <w:rsid w:val="00BE73AD"/>
    <w:rsid w:val="00CC591E"/>
    <w:rsid w:val="00CD6493"/>
    <w:rsid w:val="00DC68DE"/>
    <w:rsid w:val="00E37C4F"/>
    <w:rsid w:val="00F13820"/>
    <w:rsid w:val="00F70CCB"/>
    <w:rsid w:val="00F8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69A45"/>
  <w15:chartTrackingRefBased/>
  <w15:docId w15:val="{1F52320D-9860-E141-8464-69E984BB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20" w:after="120"/>
        <w:ind w:left="288" w:righ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AF2"/>
    <w:rPr>
      <w:color w:val="666666"/>
    </w:rPr>
  </w:style>
  <w:style w:type="paragraph" w:customStyle="1" w:styleId="bibliography">
    <w:name w:val="bibliography"/>
    <w:basedOn w:val="Normal"/>
    <w:rsid w:val="003D4AF2"/>
    <w:pPr>
      <w:spacing w:before="100" w:beforeAutospacing="1" w:after="100" w:afterAutospacing="1"/>
      <w:ind w:left="0" w:right="0"/>
    </w:pPr>
    <w:rPr>
      <w:rFonts w:ascii="Times New Roman" w:eastAsiaTheme="minorEastAsia" w:hAnsi="Times New Roman" w:cs="Times New Roman"/>
    </w:rPr>
  </w:style>
  <w:style w:type="character" w:styleId="Hyperlink">
    <w:name w:val="Hyperlink"/>
    <w:basedOn w:val="DefaultParagraphFont"/>
    <w:uiPriority w:val="99"/>
    <w:unhideWhenUsed/>
    <w:rsid w:val="004D1B01"/>
    <w:rPr>
      <w:color w:val="0563C1" w:themeColor="hyperlink"/>
      <w:u w:val="single"/>
    </w:rPr>
  </w:style>
  <w:style w:type="character" w:styleId="UnresolvedMention">
    <w:name w:val="Unresolved Mention"/>
    <w:basedOn w:val="DefaultParagraphFont"/>
    <w:uiPriority w:val="99"/>
    <w:semiHidden/>
    <w:unhideWhenUsed/>
    <w:rsid w:val="004D1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0279">
      <w:bodyDiv w:val="1"/>
      <w:marLeft w:val="0"/>
      <w:marRight w:val="0"/>
      <w:marTop w:val="0"/>
      <w:marBottom w:val="0"/>
      <w:divBdr>
        <w:top w:val="none" w:sz="0" w:space="0" w:color="auto"/>
        <w:left w:val="none" w:sz="0" w:space="0" w:color="auto"/>
        <w:bottom w:val="none" w:sz="0" w:space="0" w:color="auto"/>
        <w:right w:val="none" w:sz="0" w:space="0" w:color="auto"/>
      </w:divBdr>
    </w:div>
    <w:div w:id="137384675">
      <w:bodyDiv w:val="1"/>
      <w:marLeft w:val="0"/>
      <w:marRight w:val="0"/>
      <w:marTop w:val="0"/>
      <w:marBottom w:val="0"/>
      <w:divBdr>
        <w:top w:val="none" w:sz="0" w:space="0" w:color="auto"/>
        <w:left w:val="none" w:sz="0" w:space="0" w:color="auto"/>
        <w:bottom w:val="none" w:sz="0" w:space="0" w:color="auto"/>
        <w:right w:val="none" w:sz="0" w:space="0" w:color="auto"/>
      </w:divBdr>
    </w:div>
    <w:div w:id="236600852">
      <w:bodyDiv w:val="1"/>
      <w:marLeft w:val="0"/>
      <w:marRight w:val="0"/>
      <w:marTop w:val="0"/>
      <w:marBottom w:val="0"/>
      <w:divBdr>
        <w:top w:val="none" w:sz="0" w:space="0" w:color="auto"/>
        <w:left w:val="none" w:sz="0" w:space="0" w:color="auto"/>
        <w:bottom w:val="none" w:sz="0" w:space="0" w:color="auto"/>
        <w:right w:val="none" w:sz="0" w:space="0" w:color="auto"/>
      </w:divBdr>
    </w:div>
    <w:div w:id="450246966">
      <w:bodyDiv w:val="1"/>
      <w:marLeft w:val="0"/>
      <w:marRight w:val="0"/>
      <w:marTop w:val="0"/>
      <w:marBottom w:val="0"/>
      <w:divBdr>
        <w:top w:val="none" w:sz="0" w:space="0" w:color="auto"/>
        <w:left w:val="none" w:sz="0" w:space="0" w:color="auto"/>
        <w:bottom w:val="none" w:sz="0" w:space="0" w:color="auto"/>
        <w:right w:val="none" w:sz="0" w:space="0" w:color="auto"/>
      </w:divBdr>
    </w:div>
    <w:div w:id="1113093834">
      <w:bodyDiv w:val="1"/>
      <w:marLeft w:val="0"/>
      <w:marRight w:val="0"/>
      <w:marTop w:val="0"/>
      <w:marBottom w:val="0"/>
      <w:divBdr>
        <w:top w:val="none" w:sz="0" w:space="0" w:color="auto"/>
        <w:left w:val="none" w:sz="0" w:space="0" w:color="auto"/>
        <w:bottom w:val="none" w:sz="0" w:space="0" w:color="auto"/>
        <w:right w:val="none" w:sz="0" w:space="0" w:color="auto"/>
      </w:divBdr>
    </w:div>
    <w:div w:id="1187983354">
      <w:bodyDiv w:val="1"/>
      <w:marLeft w:val="0"/>
      <w:marRight w:val="0"/>
      <w:marTop w:val="0"/>
      <w:marBottom w:val="0"/>
      <w:divBdr>
        <w:top w:val="none" w:sz="0" w:space="0" w:color="auto"/>
        <w:left w:val="none" w:sz="0" w:space="0" w:color="auto"/>
        <w:bottom w:val="none" w:sz="0" w:space="0" w:color="auto"/>
        <w:right w:val="none" w:sz="0" w:space="0" w:color="auto"/>
      </w:divBdr>
    </w:div>
    <w:div w:id="1302881202">
      <w:bodyDiv w:val="1"/>
      <w:marLeft w:val="0"/>
      <w:marRight w:val="0"/>
      <w:marTop w:val="0"/>
      <w:marBottom w:val="0"/>
      <w:divBdr>
        <w:top w:val="none" w:sz="0" w:space="0" w:color="auto"/>
        <w:left w:val="none" w:sz="0" w:space="0" w:color="auto"/>
        <w:bottom w:val="none" w:sz="0" w:space="0" w:color="auto"/>
        <w:right w:val="none" w:sz="0" w:space="0" w:color="auto"/>
      </w:divBdr>
    </w:div>
    <w:div w:id="1410884504">
      <w:bodyDiv w:val="1"/>
      <w:marLeft w:val="0"/>
      <w:marRight w:val="0"/>
      <w:marTop w:val="0"/>
      <w:marBottom w:val="0"/>
      <w:divBdr>
        <w:top w:val="none" w:sz="0" w:space="0" w:color="auto"/>
        <w:left w:val="none" w:sz="0" w:space="0" w:color="auto"/>
        <w:bottom w:val="none" w:sz="0" w:space="0" w:color="auto"/>
        <w:right w:val="none" w:sz="0" w:space="0" w:color="auto"/>
      </w:divBdr>
      <w:divsChild>
        <w:div w:id="1735660940">
          <w:marLeft w:val="0"/>
          <w:marRight w:val="0"/>
          <w:marTop w:val="0"/>
          <w:marBottom w:val="0"/>
          <w:divBdr>
            <w:top w:val="none" w:sz="0" w:space="0" w:color="auto"/>
            <w:left w:val="none" w:sz="0" w:space="0" w:color="auto"/>
            <w:bottom w:val="none" w:sz="0" w:space="0" w:color="auto"/>
            <w:right w:val="none" w:sz="0" w:space="0" w:color="auto"/>
          </w:divBdr>
        </w:div>
        <w:div w:id="1940723545">
          <w:marLeft w:val="0"/>
          <w:marRight w:val="0"/>
          <w:marTop w:val="0"/>
          <w:marBottom w:val="0"/>
          <w:divBdr>
            <w:top w:val="none" w:sz="0" w:space="0" w:color="auto"/>
            <w:left w:val="none" w:sz="0" w:space="0" w:color="auto"/>
            <w:bottom w:val="none" w:sz="0" w:space="0" w:color="auto"/>
            <w:right w:val="none" w:sz="0" w:space="0" w:color="auto"/>
          </w:divBdr>
        </w:div>
        <w:div w:id="1395356283">
          <w:marLeft w:val="0"/>
          <w:marRight w:val="0"/>
          <w:marTop w:val="0"/>
          <w:marBottom w:val="0"/>
          <w:divBdr>
            <w:top w:val="none" w:sz="0" w:space="0" w:color="auto"/>
            <w:left w:val="none" w:sz="0" w:space="0" w:color="auto"/>
            <w:bottom w:val="none" w:sz="0" w:space="0" w:color="auto"/>
            <w:right w:val="none" w:sz="0" w:space="0" w:color="auto"/>
          </w:divBdr>
        </w:div>
        <w:div w:id="132140437">
          <w:marLeft w:val="0"/>
          <w:marRight w:val="0"/>
          <w:marTop w:val="0"/>
          <w:marBottom w:val="0"/>
          <w:divBdr>
            <w:top w:val="none" w:sz="0" w:space="0" w:color="auto"/>
            <w:left w:val="none" w:sz="0" w:space="0" w:color="auto"/>
            <w:bottom w:val="none" w:sz="0" w:space="0" w:color="auto"/>
            <w:right w:val="none" w:sz="0" w:space="0" w:color="auto"/>
          </w:divBdr>
        </w:div>
        <w:div w:id="378096041">
          <w:marLeft w:val="0"/>
          <w:marRight w:val="0"/>
          <w:marTop w:val="0"/>
          <w:marBottom w:val="0"/>
          <w:divBdr>
            <w:top w:val="none" w:sz="0" w:space="0" w:color="auto"/>
            <w:left w:val="none" w:sz="0" w:space="0" w:color="auto"/>
            <w:bottom w:val="none" w:sz="0" w:space="0" w:color="auto"/>
            <w:right w:val="none" w:sz="0" w:space="0" w:color="auto"/>
          </w:divBdr>
        </w:div>
        <w:div w:id="119494636">
          <w:marLeft w:val="0"/>
          <w:marRight w:val="0"/>
          <w:marTop w:val="0"/>
          <w:marBottom w:val="0"/>
          <w:divBdr>
            <w:top w:val="none" w:sz="0" w:space="0" w:color="auto"/>
            <w:left w:val="none" w:sz="0" w:space="0" w:color="auto"/>
            <w:bottom w:val="none" w:sz="0" w:space="0" w:color="auto"/>
            <w:right w:val="none" w:sz="0" w:space="0" w:color="auto"/>
          </w:divBdr>
        </w:div>
        <w:div w:id="1148395828">
          <w:marLeft w:val="0"/>
          <w:marRight w:val="0"/>
          <w:marTop w:val="0"/>
          <w:marBottom w:val="0"/>
          <w:divBdr>
            <w:top w:val="none" w:sz="0" w:space="0" w:color="auto"/>
            <w:left w:val="none" w:sz="0" w:space="0" w:color="auto"/>
            <w:bottom w:val="none" w:sz="0" w:space="0" w:color="auto"/>
            <w:right w:val="none" w:sz="0" w:space="0" w:color="auto"/>
          </w:divBdr>
        </w:div>
        <w:div w:id="1391080728">
          <w:marLeft w:val="0"/>
          <w:marRight w:val="0"/>
          <w:marTop w:val="0"/>
          <w:marBottom w:val="0"/>
          <w:divBdr>
            <w:top w:val="none" w:sz="0" w:space="0" w:color="auto"/>
            <w:left w:val="none" w:sz="0" w:space="0" w:color="auto"/>
            <w:bottom w:val="none" w:sz="0" w:space="0" w:color="auto"/>
            <w:right w:val="none" w:sz="0" w:space="0" w:color="auto"/>
          </w:divBdr>
        </w:div>
        <w:div w:id="1308319217">
          <w:marLeft w:val="0"/>
          <w:marRight w:val="0"/>
          <w:marTop w:val="0"/>
          <w:marBottom w:val="0"/>
          <w:divBdr>
            <w:top w:val="none" w:sz="0" w:space="0" w:color="auto"/>
            <w:left w:val="none" w:sz="0" w:space="0" w:color="auto"/>
            <w:bottom w:val="none" w:sz="0" w:space="0" w:color="auto"/>
            <w:right w:val="none" w:sz="0" w:space="0" w:color="auto"/>
          </w:divBdr>
        </w:div>
        <w:div w:id="203759088">
          <w:marLeft w:val="0"/>
          <w:marRight w:val="0"/>
          <w:marTop w:val="0"/>
          <w:marBottom w:val="0"/>
          <w:divBdr>
            <w:top w:val="none" w:sz="0" w:space="0" w:color="auto"/>
            <w:left w:val="none" w:sz="0" w:space="0" w:color="auto"/>
            <w:bottom w:val="none" w:sz="0" w:space="0" w:color="auto"/>
            <w:right w:val="none" w:sz="0" w:space="0" w:color="auto"/>
          </w:divBdr>
        </w:div>
        <w:div w:id="1884904539">
          <w:marLeft w:val="0"/>
          <w:marRight w:val="0"/>
          <w:marTop w:val="0"/>
          <w:marBottom w:val="0"/>
          <w:divBdr>
            <w:top w:val="none" w:sz="0" w:space="0" w:color="auto"/>
            <w:left w:val="none" w:sz="0" w:space="0" w:color="auto"/>
            <w:bottom w:val="none" w:sz="0" w:space="0" w:color="auto"/>
            <w:right w:val="none" w:sz="0" w:space="0" w:color="auto"/>
          </w:divBdr>
        </w:div>
        <w:div w:id="1875994617">
          <w:marLeft w:val="0"/>
          <w:marRight w:val="0"/>
          <w:marTop w:val="0"/>
          <w:marBottom w:val="0"/>
          <w:divBdr>
            <w:top w:val="none" w:sz="0" w:space="0" w:color="auto"/>
            <w:left w:val="none" w:sz="0" w:space="0" w:color="auto"/>
            <w:bottom w:val="none" w:sz="0" w:space="0" w:color="auto"/>
            <w:right w:val="none" w:sz="0" w:space="0" w:color="auto"/>
          </w:divBdr>
        </w:div>
        <w:div w:id="880164625">
          <w:marLeft w:val="0"/>
          <w:marRight w:val="0"/>
          <w:marTop w:val="0"/>
          <w:marBottom w:val="0"/>
          <w:divBdr>
            <w:top w:val="none" w:sz="0" w:space="0" w:color="auto"/>
            <w:left w:val="none" w:sz="0" w:space="0" w:color="auto"/>
            <w:bottom w:val="none" w:sz="0" w:space="0" w:color="auto"/>
            <w:right w:val="none" w:sz="0" w:space="0" w:color="auto"/>
          </w:divBdr>
        </w:div>
        <w:div w:id="998994986">
          <w:marLeft w:val="0"/>
          <w:marRight w:val="0"/>
          <w:marTop w:val="0"/>
          <w:marBottom w:val="0"/>
          <w:divBdr>
            <w:top w:val="none" w:sz="0" w:space="0" w:color="auto"/>
            <w:left w:val="none" w:sz="0" w:space="0" w:color="auto"/>
            <w:bottom w:val="none" w:sz="0" w:space="0" w:color="auto"/>
            <w:right w:val="none" w:sz="0" w:space="0" w:color="auto"/>
          </w:divBdr>
        </w:div>
        <w:div w:id="1523278095">
          <w:marLeft w:val="0"/>
          <w:marRight w:val="0"/>
          <w:marTop w:val="0"/>
          <w:marBottom w:val="0"/>
          <w:divBdr>
            <w:top w:val="none" w:sz="0" w:space="0" w:color="auto"/>
            <w:left w:val="none" w:sz="0" w:space="0" w:color="auto"/>
            <w:bottom w:val="none" w:sz="0" w:space="0" w:color="auto"/>
            <w:right w:val="none" w:sz="0" w:space="0" w:color="auto"/>
          </w:divBdr>
        </w:div>
        <w:div w:id="295069225">
          <w:marLeft w:val="0"/>
          <w:marRight w:val="0"/>
          <w:marTop w:val="0"/>
          <w:marBottom w:val="0"/>
          <w:divBdr>
            <w:top w:val="none" w:sz="0" w:space="0" w:color="auto"/>
            <w:left w:val="none" w:sz="0" w:space="0" w:color="auto"/>
            <w:bottom w:val="none" w:sz="0" w:space="0" w:color="auto"/>
            <w:right w:val="none" w:sz="0" w:space="0" w:color="auto"/>
          </w:divBdr>
        </w:div>
        <w:div w:id="1201867947">
          <w:marLeft w:val="0"/>
          <w:marRight w:val="0"/>
          <w:marTop w:val="0"/>
          <w:marBottom w:val="0"/>
          <w:divBdr>
            <w:top w:val="none" w:sz="0" w:space="0" w:color="auto"/>
            <w:left w:val="none" w:sz="0" w:space="0" w:color="auto"/>
            <w:bottom w:val="none" w:sz="0" w:space="0" w:color="auto"/>
            <w:right w:val="none" w:sz="0" w:space="0" w:color="auto"/>
          </w:divBdr>
        </w:div>
        <w:div w:id="1803619874">
          <w:marLeft w:val="0"/>
          <w:marRight w:val="0"/>
          <w:marTop w:val="0"/>
          <w:marBottom w:val="0"/>
          <w:divBdr>
            <w:top w:val="none" w:sz="0" w:space="0" w:color="auto"/>
            <w:left w:val="none" w:sz="0" w:space="0" w:color="auto"/>
            <w:bottom w:val="none" w:sz="0" w:space="0" w:color="auto"/>
            <w:right w:val="none" w:sz="0" w:space="0" w:color="auto"/>
          </w:divBdr>
        </w:div>
        <w:div w:id="381179481">
          <w:marLeft w:val="0"/>
          <w:marRight w:val="0"/>
          <w:marTop w:val="0"/>
          <w:marBottom w:val="0"/>
          <w:divBdr>
            <w:top w:val="none" w:sz="0" w:space="0" w:color="auto"/>
            <w:left w:val="none" w:sz="0" w:space="0" w:color="auto"/>
            <w:bottom w:val="none" w:sz="0" w:space="0" w:color="auto"/>
            <w:right w:val="none" w:sz="0" w:space="0" w:color="auto"/>
          </w:divBdr>
        </w:div>
        <w:div w:id="1058430570">
          <w:marLeft w:val="0"/>
          <w:marRight w:val="0"/>
          <w:marTop w:val="0"/>
          <w:marBottom w:val="0"/>
          <w:divBdr>
            <w:top w:val="none" w:sz="0" w:space="0" w:color="auto"/>
            <w:left w:val="none" w:sz="0" w:space="0" w:color="auto"/>
            <w:bottom w:val="none" w:sz="0" w:space="0" w:color="auto"/>
            <w:right w:val="none" w:sz="0" w:space="0" w:color="auto"/>
          </w:divBdr>
        </w:div>
        <w:div w:id="1888443502">
          <w:marLeft w:val="0"/>
          <w:marRight w:val="0"/>
          <w:marTop w:val="0"/>
          <w:marBottom w:val="0"/>
          <w:divBdr>
            <w:top w:val="none" w:sz="0" w:space="0" w:color="auto"/>
            <w:left w:val="none" w:sz="0" w:space="0" w:color="auto"/>
            <w:bottom w:val="none" w:sz="0" w:space="0" w:color="auto"/>
            <w:right w:val="none" w:sz="0" w:space="0" w:color="auto"/>
          </w:divBdr>
        </w:div>
        <w:div w:id="1078214369">
          <w:marLeft w:val="0"/>
          <w:marRight w:val="0"/>
          <w:marTop w:val="0"/>
          <w:marBottom w:val="0"/>
          <w:divBdr>
            <w:top w:val="none" w:sz="0" w:space="0" w:color="auto"/>
            <w:left w:val="none" w:sz="0" w:space="0" w:color="auto"/>
            <w:bottom w:val="none" w:sz="0" w:space="0" w:color="auto"/>
            <w:right w:val="none" w:sz="0" w:space="0" w:color="auto"/>
          </w:divBdr>
        </w:div>
        <w:div w:id="1799178244">
          <w:marLeft w:val="0"/>
          <w:marRight w:val="0"/>
          <w:marTop w:val="0"/>
          <w:marBottom w:val="0"/>
          <w:divBdr>
            <w:top w:val="none" w:sz="0" w:space="0" w:color="auto"/>
            <w:left w:val="none" w:sz="0" w:space="0" w:color="auto"/>
            <w:bottom w:val="none" w:sz="0" w:space="0" w:color="auto"/>
            <w:right w:val="none" w:sz="0" w:space="0" w:color="auto"/>
          </w:divBdr>
        </w:div>
        <w:div w:id="1970932167">
          <w:marLeft w:val="0"/>
          <w:marRight w:val="0"/>
          <w:marTop w:val="0"/>
          <w:marBottom w:val="0"/>
          <w:divBdr>
            <w:top w:val="none" w:sz="0" w:space="0" w:color="auto"/>
            <w:left w:val="none" w:sz="0" w:space="0" w:color="auto"/>
            <w:bottom w:val="none" w:sz="0" w:space="0" w:color="auto"/>
            <w:right w:val="none" w:sz="0" w:space="0" w:color="auto"/>
          </w:divBdr>
        </w:div>
        <w:div w:id="1534079015">
          <w:marLeft w:val="0"/>
          <w:marRight w:val="0"/>
          <w:marTop w:val="0"/>
          <w:marBottom w:val="0"/>
          <w:divBdr>
            <w:top w:val="none" w:sz="0" w:space="0" w:color="auto"/>
            <w:left w:val="none" w:sz="0" w:space="0" w:color="auto"/>
            <w:bottom w:val="none" w:sz="0" w:space="0" w:color="auto"/>
            <w:right w:val="none" w:sz="0" w:space="0" w:color="auto"/>
          </w:divBdr>
        </w:div>
        <w:div w:id="317811994">
          <w:marLeft w:val="0"/>
          <w:marRight w:val="0"/>
          <w:marTop w:val="0"/>
          <w:marBottom w:val="0"/>
          <w:divBdr>
            <w:top w:val="none" w:sz="0" w:space="0" w:color="auto"/>
            <w:left w:val="none" w:sz="0" w:space="0" w:color="auto"/>
            <w:bottom w:val="none" w:sz="0" w:space="0" w:color="auto"/>
            <w:right w:val="none" w:sz="0" w:space="0" w:color="auto"/>
          </w:divBdr>
        </w:div>
        <w:div w:id="1962416777">
          <w:marLeft w:val="0"/>
          <w:marRight w:val="0"/>
          <w:marTop w:val="0"/>
          <w:marBottom w:val="0"/>
          <w:divBdr>
            <w:top w:val="none" w:sz="0" w:space="0" w:color="auto"/>
            <w:left w:val="none" w:sz="0" w:space="0" w:color="auto"/>
            <w:bottom w:val="none" w:sz="0" w:space="0" w:color="auto"/>
            <w:right w:val="none" w:sz="0" w:space="0" w:color="auto"/>
          </w:divBdr>
        </w:div>
        <w:div w:id="405493664">
          <w:marLeft w:val="0"/>
          <w:marRight w:val="0"/>
          <w:marTop w:val="0"/>
          <w:marBottom w:val="0"/>
          <w:divBdr>
            <w:top w:val="none" w:sz="0" w:space="0" w:color="auto"/>
            <w:left w:val="none" w:sz="0" w:space="0" w:color="auto"/>
            <w:bottom w:val="none" w:sz="0" w:space="0" w:color="auto"/>
            <w:right w:val="none" w:sz="0" w:space="0" w:color="auto"/>
          </w:divBdr>
        </w:div>
        <w:div w:id="1756706397">
          <w:marLeft w:val="0"/>
          <w:marRight w:val="0"/>
          <w:marTop w:val="0"/>
          <w:marBottom w:val="0"/>
          <w:divBdr>
            <w:top w:val="none" w:sz="0" w:space="0" w:color="auto"/>
            <w:left w:val="none" w:sz="0" w:space="0" w:color="auto"/>
            <w:bottom w:val="none" w:sz="0" w:space="0" w:color="auto"/>
            <w:right w:val="none" w:sz="0" w:space="0" w:color="auto"/>
          </w:divBdr>
        </w:div>
        <w:div w:id="1469056673">
          <w:marLeft w:val="0"/>
          <w:marRight w:val="0"/>
          <w:marTop w:val="0"/>
          <w:marBottom w:val="0"/>
          <w:divBdr>
            <w:top w:val="none" w:sz="0" w:space="0" w:color="auto"/>
            <w:left w:val="none" w:sz="0" w:space="0" w:color="auto"/>
            <w:bottom w:val="none" w:sz="0" w:space="0" w:color="auto"/>
            <w:right w:val="none" w:sz="0" w:space="0" w:color="auto"/>
          </w:divBdr>
        </w:div>
        <w:div w:id="1432166950">
          <w:marLeft w:val="0"/>
          <w:marRight w:val="0"/>
          <w:marTop w:val="0"/>
          <w:marBottom w:val="0"/>
          <w:divBdr>
            <w:top w:val="none" w:sz="0" w:space="0" w:color="auto"/>
            <w:left w:val="none" w:sz="0" w:space="0" w:color="auto"/>
            <w:bottom w:val="none" w:sz="0" w:space="0" w:color="auto"/>
            <w:right w:val="none" w:sz="0" w:space="0" w:color="auto"/>
          </w:divBdr>
        </w:div>
        <w:div w:id="657804745">
          <w:marLeft w:val="0"/>
          <w:marRight w:val="0"/>
          <w:marTop w:val="0"/>
          <w:marBottom w:val="0"/>
          <w:divBdr>
            <w:top w:val="none" w:sz="0" w:space="0" w:color="auto"/>
            <w:left w:val="none" w:sz="0" w:space="0" w:color="auto"/>
            <w:bottom w:val="none" w:sz="0" w:space="0" w:color="auto"/>
            <w:right w:val="none" w:sz="0" w:space="0" w:color="auto"/>
          </w:divBdr>
        </w:div>
        <w:div w:id="765729824">
          <w:marLeft w:val="0"/>
          <w:marRight w:val="0"/>
          <w:marTop w:val="0"/>
          <w:marBottom w:val="0"/>
          <w:divBdr>
            <w:top w:val="none" w:sz="0" w:space="0" w:color="auto"/>
            <w:left w:val="none" w:sz="0" w:space="0" w:color="auto"/>
            <w:bottom w:val="none" w:sz="0" w:space="0" w:color="auto"/>
            <w:right w:val="none" w:sz="0" w:space="0" w:color="auto"/>
          </w:divBdr>
        </w:div>
        <w:div w:id="605892365">
          <w:marLeft w:val="0"/>
          <w:marRight w:val="0"/>
          <w:marTop w:val="0"/>
          <w:marBottom w:val="0"/>
          <w:divBdr>
            <w:top w:val="none" w:sz="0" w:space="0" w:color="auto"/>
            <w:left w:val="none" w:sz="0" w:space="0" w:color="auto"/>
            <w:bottom w:val="none" w:sz="0" w:space="0" w:color="auto"/>
            <w:right w:val="none" w:sz="0" w:space="0" w:color="auto"/>
          </w:divBdr>
        </w:div>
      </w:divsChild>
    </w:div>
    <w:div w:id="1564216260">
      <w:bodyDiv w:val="1"/>
      <w:marLeft w:val="0"/>
      <w:marRight w:val="0"/>
      <w:marTop w:val="0"/>
      <w:marBottom w:val="0"/>
      <w:divBdr>
        <w:top w:val="none" w:sz="0" w:space="0" w:color="auto"/>
        <w:left w:val="none" w:sz="0" w:space="0" w:color="auto"/>
        <w:bottom w:val="none" w:sz="0" w:space="0" w:color="auto"/>
        <w:right w:val="none" w:sz="0" w:space="0" w:color="auto"/>
      </w:divBdr>
    </w:div>
    <w:div w:id="187611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ort.ec.europa.eu/transport-themes/infrastructure-and-investment/trans-european-transport-network-ten-t_en" TargetMode="External"/><Relationship Id="rId3" Type="http://schemas.openxmlformats.org/officeDocument/2006/relationships/settings" Target="settings.xml"/><Relationship Id="rId7" Type="http://schemas.openxmlformats.org/officeDocument/2006/relationships/hyperlink" Target="https://www.lesechos.fr/industrie-services/tourisme-transport/letat-une-enieme-fois-au-chevet-du-fret-ferroviaire-122668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mbined-transport.eu/german-railway-system" TargetMode="External"/><Relationship Id="rId11" Type="http://schemas.openxmlformats.org/officeDocument/2006/relationships/theme" Target="theme/theme1.xml"/><Relationship Id="rId5" Type="http://schemas.openxmlformats.org/officeDocument/2006/relationships/hyperlink" Target="https://www.ebi.ac.uk/metagenomics/studies/MGYS00000516"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F7DF81E-F96E-BF45-85F2-875BE77B440F}"/>
      </w:docPartPr>
      <w:docPartBody>
        <w:p w:rsidR="00000000" w:rsidRDefault="00D21BC1">
          <w:r w:rsidRPr="00D16A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C1"/>
    <w:rsid w:val="00480DA5"/>
    <w:rsid w:val="00D2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BC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E4F62F-5DB8-A24A-8ECB-B2A39880765C}">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C9536-5A95-2D46-AA5F-0CA3A922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Honson, Drew D.</dc:creator>
  <cp:keywords/>
  <dc:description/>
  <cp:lastModifiedBy>Honson, Drew D.</cp:lastModifiedBy>
  <cp:revision>4</cp:revision>
  <dcterms:created xsi:type="dcterms:W3CDTF">2023-10-16T14:54:00Z</dcterms:created>
  <dcterms:modified xsi:type="dcterms:W3CDTF">2023-10-16T17:17:00Z</dcterms:modified>
</cp:coreProperties>
</file>