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4098" w14:textId="45B34AC7" w:rsidR="00E675BD" w:rsidRPr="00352F10" w:rsidRDefault="00E675BD" w:rsidP="00E675BD">
      <w:pPr>
        <w:rPr>
          <w:rFonts w:ascii="Helvetica Neue" w:hAnsi="Helvetica Neue"/>
          <w:b/>
          <w:bCs/>
          <w:sz w:val="22"/>
          <w:szCs w:val="22"/>
        </w:rPr>
      </w:pPr>
      <w:r w:rsidRPr="00352F10">
        <w:rPr>
          <w:rFonts w:ascii="Helvetica Neue" w:hAnsi="Helvetica Neue"/>
          <w:b/>
          <w:bCs/>
          <w:sz w:val="22"/>
          <w:szCs w:val="22"/>
        </w:rPr>
        <w:t xml:space="preserve">Bi270a Update: </w:t>
      </w:r>
      <w:r w:rsidRPr="00352F10">
        <w:rPr>
          <w:rFonts w:ascii="Helvetica Neue" w:hAnsi="Helvetica Neue"/>
          <w:b/>
          <w:bCs/>
          <w:sz w:val="22"/>
          <w:szCs w:val="22"/>
        </w:rPr>
        <w:t>The influence of human transport networks on mouse microbiomes</w:t>
      </w:r>
    </w:p>
    <w:p w14:paraId="564EE6FA" w14:textId="77777777" w:rsidR="00E675BD" w:rsidRPr="00352F10" w:rsidRDefault="00E675BD" w:rsidP="00E675BD">
      <w:pPr>
        <w:contextualSpacing/>
        <w:rPr>
          <w:rFonts w:ascii="Helvetica Neue" w:hAnsi="Helvetica Neue"/>
          <w:sz w:val="22"/>
          <w:szCs w:val="22"/>
        </w:rPr>
      </w:pPr>
      <w:r w:rsidRPr="00352F10">
        <w:rPr>
          <w:rFonts w:ascii="Helvetica Neue" w:hAnsi="Helvetica Neue"/>
          <w:sz w:val="22"/>
          <w:szCs w:val="22"/>
        </w:rPr>
        <w:t>Drew Honson</w:t>
      </w:r>
    </w:p>
    <w:p w14:paraId="52224724" w14:textId="57C8AE97" w:rsidR="00CE22A5" w:rsidRPr="00352F10" w:rsidRDefault="00C41811" w:rsidP="00352F10">
      <w:pPr>
        <w:contextualSpacing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7 November</w:t>
      </w:r>
      <w:r w:rsidR="00E675BD" w:rsidRPr="00352F10">
        <w:rPr>
          <w:rFonts w:ascii="Helvetica Neue" w:hAnsi="Helvetica Neue"/>
          <w:sz w:val="22"/>
          <w:szCs w:val="22"/>
        </w:rPr>
        <w:t xml:space="preserve"> 2023</w:t>
      </w:r>
    </w:p>
    <w:p w14:paraId="623E7923" w14:textId="02008EB5" w:rsidR="00E675BD" w:rsidRPr="00352F10" w:rsidRDefault="00E675BD">
      <w:pPr>
        <w:rPr>
          <w:rFonts w:ascii="Helvetica Neue" w:hAnsi="Helvetica Neue"/>
          <w:b/>
          <w:bCs/>
          <w:sz w:val="22"/>
          <w:szCs w:val="22"/>
        </w:rPr>
      </w:pPr>
      <w:r w:rsidRPr="00352F10">
        <w:rPr>
          <w:rFonts w:ascii="Helvetica Neue" w:hAnsi="Helvetica Neue"/>
          <w:b/>
          <w:bCs/>
          <w:sz w:val="22"/>
          <w:szCs w:val="22"/>
        </w:rPr>
        <w:t>Background</w:t>
      </w:r>
    </w:p>
    <w:p w14:paraId="39DE40B0" w14:textId="77777777" w:rsidR="003C2C04" w:rsidRPr="00352F10" w:rsidRDefault="00B6690D">
      <w:pPr>
        <w:divId w:val="329842847"/>
        <w:rPr>
          <w:rFonts w:ascii="Helvetica Neue" w:hAnsi="Helvetica Neue"/>
          <w:sz w:val="22"/>
          <w:szCs w:val="22"/>
        </w:rPr>
      </w:pPr>
      <w:proofErr w:type="spellStart"/>
      <w:r w:rsidRPr="00352F10">
        <w:rPr>
          <w:rFonts w:ascii="Helvetica Neue" w:hAnsi="Helvetica Neue"/>
          <w:sz w:val="22"/>
          <w:szCs w:val="22"/>
        </w:rPr>
        <w:t>Linnenbrink</w:t>
      </w:r>
      <w:proofErr w:type="spellEnd"/>
      <w:r w:rsidRPr="00352F10">
        <w:rPr>
          <w:rFonts w:ascii="Helvetica Neue" w:hAnsi="Helvetica Neue"/>
          <w:sz w:val="22"/>
          <w:szCs w:val="22"/>
        </w:rPr>
        <w:t xml:space="preserve"> et al</w:t>
      </w:r>
      <w:r w:rsidR="003220CB" w:rsidRPr="00352F10">
        <w:rPr>
          <w:rFonts w:ascii="Helvetica Neue" w:hAnsi="Helvetica Neue"/>
          <w:sz w:val="22"/>
          <w:szCs w:val="22"/>
        </w:rPr>
        <w:t xml:space="preserve"> examined the role of geography on</w:t>
      </w:r>
      <w:r w:rsidR="002143FC" w:rsidRPr="00352F10">
        <w:rPr>
          <w:rFonts w:ascii="Helvetica Neue" w:hAnsi="Helvetica Neue"/>
          <w:sz w:val="22"/>
          <w:szCs w:val="22"/>
        </w:rPr>
        <w:t xml:space="preserve"> microbial communities in mice in their 2013 paper </w:t>
      </w:r>
      <w:r w:rsidR="00544B24" w:rsidRPr="00352F10">
        <w:rPr>
          <w:rFonts w:ascii="Helvetica Neue" w:hAnsi="Helvetica Neue"/>
          <w:i/>
          <w:iCs/>
          <w:sz w:val="22"/>
          <w:szCs w:val="22"/>
        </w:rPr>
        <w:t>The role of biogeography in shaping diversity of the intestinal microbiota in house mice</w:t>
      </w:r>
      <w:r w:rsidR="00544B24" w:rsidRPr="00352F10">
        <w:rPr>
          <w:rFonts w:ascii="Helvetica Neue" w:hAnsi="Helvetica Neue"/>
          <w:sz w:val="22"/>
          <w:szCs w:val="22"/>
        </w:rPr>
        <w:t>.</w:t>
      </w:r>
      <w:sdt>
        <w:sdtPr>
          <w:rPr>
            <w:rFonts w:ascii="Helvetica Neue" w:hAnsi="Helvetica Neue"/>
            <w:sz w:val="22"/>
            <w:szCs w:val="22"/>
          </w:rPr>
          <w:alias w:val="SmartCite Citation"/>
          <w:tag w:val="f99c625e-8599-4de1-9eaa-567fccb9d9aa:3a75b126-82e1-443f-8a92-e44c8de377ff+"/>
          <w:id w:val="2124494159"/>
          <w:placeholder>
            <w:docPart w:val="DefaultPlaceholder_-1854013440"/>
          </w:placeholder>
        </w:sdtPr>
        <w:sdtContent>
          <w:r w:rsidR="00BD4C01" w:rsidRPr="00352F10">
            <w:rPr>
              <w:rFonts w:ascii="Helvetica Neue" w:eastAsia="Times New Roman" w:hAnsi="Helvetica Neue"/>
              <w:sz w:val="22"/>
              <w:szCs w:val="22"/>
              <w:vertAlign w:val="superscript"/>
            </w:rPr>
            <w:t>1</w:t>
          </w:r>
        </w:sdtContent>
      </w:sdt>
      <w:r w:rsidR="00544B24" w:rsidRPr="00352F10">
        <w:rPr>
          <w:rFonts w:ascii="Helvetica Neue" w:hAnsi="Helvetica Neue"/>
          <w:sz w:val="22"/>
          <w:szCs w:val="22"/>
        </w:rPr>
        <w:t xml:space="preserve"> Their conclusion was that physical distance between two locations </w:t>
      </w:r>
      <w:r w:rsidR="00837A06" w:rsidRPr="00352F10">
        <w:rPr>
          <w:rFonts w:ascii="Helvetica Neue" w:hAnsi="Helvetica Neue"/>
          <w:sz w:val="22"/>
          <w:szCs w:val="22"/>
        </w:rPr>
        <w:t>explained more of the microbial variance (11-16%) than genetic distance</w:t>
      </w:r>
      <w:r w:rsidR="00BD4C01" w:rsidRPr="00352F10">
        <w:rPr>
          <w:rFonts w:ascii="Helvetica Neue" w:hAnsi="Helvetica Neue"/>
          <w:sz w:val="22"/>
          <w:szCs w:val="22"/>
        </w:rPr>
        <w:t xml:space="preserve"> (6%).</w:t>
      </w:r>
      <w:sdt>
        <w:sdtPr>
          <w:rPr>
            <w:rFonts w:ascii="Helvetica Neue" w:hAnsi="Helvetica Neue"/>
            <w:sz w:val="22"/>
            <w:szCs w:val="22"/>
          </w:rPr>
          <w:alias w:val="SmartCite Citation"/>
          <w:tag w:val="f99c625e-8599-4de1-9eaa-567fccb9d9aa:3a75b126-82e1-443f-8a92-e44c8de377ff+"/>
          <w:id w:val="108165935"/>
          <w:placeholder>
            <w:docPart w:val="DefaultPlaceholder_-1854013440"/>
          </w:placeholder>
        </w:sdtPr>
        <w:sdtContent>
          <w:r w:rsidR="00BD4C01" w:rsidRPr="00352F10">
            <w:rPr>
              <w:rFonts w:ascii="Helvetica Neue" w:eastAsia="Times New Roman" w:hAnsi="Helvetica Neue"/>
              <w:sz w:val="22"/>
              <w:szCs w:val="22"/>
              <w:vertAlign w:val="superscript"/>
            </w:rPr>
            <w:t>1</w:t>
          </w:r>
        </w:sdtContent>
      </w:sdt>
      <w:r w:rsidR="00BD4C01" w:rsidRPr="00352F10">
        <w:rPr>
          <w:rFonts w:ascii="Helvetica Neue" w:hAnsi="Helvetica Neue"/>
          <w:sz w:val="22"/>
          <w:szCs w:val="22"/>
        </w:rPr>
        <w:t xml:space="preserve"> Interestingly, however, some</w:t>
      </w:r>
      <w:r w:rsidR="004C5729" w:rsidRPr="00352F10">
        <w:rPr>
          <w:rFonts w:ascii="Helvetica Neue" w:hAnsi="Helvetica Neue"/>
          <w:sz w:val="22"/>
          <w:szCs w:val="22"/>
        </w:rPr>
        <w:t xml:space="preserve"> more</w:t>
      </w:r>
      <w:r w:rsidR="00BD4C01" w:rsidRPr="00352F10">
        <w:rPr>
          <w:rFonts w:ascii="Helvetica Neue" w:hAnsi="Helvetica Neue"/>
          <w:sz w:val="22"/>
          <w:szCs w:val="22"/>
        </w:rPr>
        <w:t xml:space="preserve"> </w:t>
      </w:r>
      <w:r w:rsidR="004C5729" w:rsidRPr="00352F10">
        <w:rPr>
          <w:rFonts w:ascii="Helvetica Neue" w:hAnsi="Helvetica Neue"/>
          <w:sz w:val="22"/>
          <w:szCs w:val="22"/>
        </w:rPr>
        <w:t xml:space="preserve">distant sampling sites appeared to have more similar microbial content than </w:t>
      </w:r>
      <w:r w:rsidR="002818F6" w:rsidRPr="00352F10">
        <w:rPr>
          <w:rFonts w:ascii="Helvetica Neue" w:hAnsi="Helvetica Neue"/>
          <w:sz w:val="22"/>
          <w:szCs w:val="22"/>
        </w:rPr>
        <w:t xml:space="preserve">sites that were closer together. I hypothesized that the mice might move between these locations on </w:t>
      </w:r>
      <w:r w:rsidR="008749FE" w:rsidRPr="00352F10">
        <w:rPr>
          <w:rFonts w:ascii="Helvetica Neue" w:hAnsi="Helvetica Neue"/>
          <w:sz w:val="22"/>
          <w:szCs w:val="22"/>
        </w:rPr>
        <w:t xml:space="preserve">human transport networks, particularly commuter rail. This </w:t>
      </w:r>
      <w:r w:rsidR="00E6519B" w:rsidRPr="00352F10">
        <w:rPr>
          <w:rFonts w:ascii="Helvetica Neue" w:hAnsi="Helvetica Neue"/>
          <w:sz w:val="22"/>
          <w:szCs w:val="22"/>
        </w:rPr>
        <w:t>c</w:t>
      </w:r>
      <w:r w:rsidR="008749FE" w:rsidRPr="00352F10">
        <w:rPr>
          <w:rFonts w:ascii="Helvetica Neue" w:hAnsi="Helvetica Neue"/>
          <w:sz w:val="22"/>
          <w:szCs w:val="22"/>
        </w:rPr>
        <w:t xml:space="preserve">ould make the </w:t>
      </w:r>
      <w:r w:rsidR="00106932" w:rsidRPr="00352F10">
        <w:rPr>
          <w:rFonts w:ascii="Helvetica Neue" w:hAnsi="Helvetica Neue"/>
          <w:sz w:val="22"/>
          <w:szCs w:val="22"/>
        </w:rPr>
        <w:t>likelihood of mice travelling between distant locations</w:t>
      </w:r>
      <w:r w:rsidR="003C2C04" w:rsidRPr="00352F10">
        <w:rPr>
          <w:rFonts w:ascii="Helvetica Neue" w:hAnsi="Helvetica Neue"/>
          <w:sz w:val="22"/>
          <w:szCs w:val="22"/>
        </w:rPr>
        <w:t xml:space="preserve"> higher than geographic distance would suggest. In turn, more communication between these physically distant mouse communities could make their microbial content more similar.</w:t>
      </w:r>
    </w:p>
    <w:p w14:paraId="24588AEC" w14:textId="77777777" w:rsidR="003C2C04" w:rsidRPr="00352F10" w:rsidRDefault="003C2C04">
      <w:pPr>
        <w:divId w:val="329842847"/>
        <w:rPr>
          <w:rFonts w:ascii="Helvetica Neue" w:hAnsi="Helvetica Neue"/>
          <w:b/>
          <w:bCs/>
          <w:sz w:val="22"/>
          <w:szCs w:val="22"/>
        </w:rPr>
      </w:pPr>
      <w:r w:rsidRPr="00352F10">
        <w:rPr>
          <w:rFonts w:ascii="Helvetica Neue" w:hAnsi="Helvetica Neue"/>
          <w:b/>
          <w:bCs/>
          <w:sz w:val="22"/>
          <w:szCs w:val="22"/>
        </w:rPr>
        <w:t>Progress</w:t>
      </w:r>
    </w:p>
    <w:p w14:paraId="2EB6DEEA" w14:textId="50FEA95C" w:rsidR="007E1C73" w:rsidRPr="00352F10" w:rsidRDefault="00D040B8">
      <w:pPr>
        <w:divId w:val="329842847"/>
        <w:rPr>
          <w:rFonts w:ascii="Helvetica Neue" w:hAnsi="Helvetica Neue"/>
          <w:sz w:val="22"/>
          <w:szCs w:val="22"/>
        </w:rPr>
      </w:pPr>
      <w:r w:rsidRPr="00352F10">
        <w:rPr>
          <w:rFonts w:ascii="Helvetica Neue" w:hAnsi="Helvetica Neue"/>
          <w:sz w:val="22"/>
          <w:szCs w:val="22"/>
        </w:rPr>
        <w:t>To calculate physical distance between the study sites, I used the Haversine formula</w:t>
      </w:r>
      <w:r w:rsidR="00346FA2" w:rsidRPr="00352F10">
        <w:rPr>
          <w:rFonts w:ascii="Helvetica Neue" w:hAnsi="Helvetica Neue"/>
          <w:sz w:val="22"/>
          <w:szCs w:val="22"/>
        </w:rPr>
        <w:t xml:space="preserve"> with the coordinates given for each site in the paper. To scrape public transportation data I used </w:t>
      </w:r>
      <w:r w:rsidR="003C2C04" w:rsidRPr="00352F10">
        <w:rPr>
          <w:rFonts w:ascii="Helvetica Neue" w:hAnsi="Helvetica Neue"/>
          <w:sz w:val="22"/>
          <w:szCs w:val="22"/>
        </w:rPr>
        <w:t>Google Maps API</w:t>
      </w:r>
      <w:r w:rsidR="00346FA2" w:rsidRPr="00352F10">
        <w:rPr>
          <w:rFonts w:ascii="Helvetica Neue" w:hAnsi="Helvetica Neue"/>
          <w:sz w:val="22"/>
          <w:szCs w:val="22"/>
        </w:rPr>
        <w:t xml:space="preserve">. This allowed me to gather </w:t>
      </w:r>
      <w:r w:rsidR="00033337" w:rsidRPr="00352F10">
        <w:rPr>
          <w:rFonts w:ascii="Helvetica Neue" w:hAnsi="Helvetica Neue"/>
          <w:sz w:val="22"/>
          <w:szCs w:val="22"/>
        </w:rPr>
        <w:t xml:space="preserve">the number of legs of the journey, the mode of transportation used for each leg, the number of stops </w:t>
      </w:r>
      <w:r w:rsidR="00A83450" w:rsidRPr="00352F10">
        <w:rPr>
          <w:rFonts w:ascii="Helvetica Neue" w:hAnsi="Helvetica Neue"/>
          <w:sz w:val="22"/>
          <w:szCs w:val="22"/>
        </w:rPr>
        <w:t>for heavy rail legs, and the distance for bus, subway, or automobile</w:t>
      </w:r>
      <w:r w:rsidR="00AB7654" w:rsidRPr="00352F10">
        <w:rPr>
          <w:rFonts w:ascii="Helvetica Neue" w:hAnsi="Helvetica Neue"/>
          <w:sz w:val="22"/>
          <w:szCs w:val="22"/>
        </w:rPr>
        <w:t xml:space="preserve"> legs. </w:t>
      </w:r>
      <w:r w:rsidR="001439B9" w:rsidRPr="00352F10">
        <w:rPr>
          <w:rFonts w:ascii="Helvetica Neue" w:hAnsi="Helvetica Neue"/>
          <w:sz w:val="22"/>
          <w:szCs w:val="22"/>
        </w:rPr>
        <w:t>I then</w:t>
      </w:r>
      <w:r w:rsidR="005D4BE4" w:rsidRPr="00352F10">
        <w:rPr>
          <w:rFonts w:ascii="Helvetica Neue" w:hAnsi="Helvetica Neue"/>
          <w:sz w:val="22"/>
          <w:szCs w:val="22"/>
        </w:rPr>
        <w:t xml:space="preserve"> decided on penalties for each </w:t>
      </w:r>
      <w:r w:rsidR="00911805" w:rsidRPr="00352F10">
        <w:rPr>
          <w:rFonts w:ascii="Helvetica Neue" w:hAnsi="Helvetica Neue"/>
          <w:sz w:val="22"/>
          <w:szCs w:val="22"/>
        </w:rPr>
        <w:t xml:space="preserve">of these parameters. </w:t>
      </w:r>
      <w:r w:rsidR="00B673F4" w:rsidRPr="00352F10">
        <w:rPr>
          <w:rFonts w:ascii="Helvetica Neue" w:hAnsi="Helvetica Neue"/>
          <w:sz w:val="22"/>
          <w:szCs w:val="22"/>
        </w:rPr>
        <w:t>These penalties are detailed in the notebook.</w:t>
      </w:r>
      <w:r w:rsidR="00376ABE" w:rsidRPr="00352F10">
        <w:rPr>
          <w:rFonts w:ascii="Helvetica Neue" w:hAnsi="Helvetica Neue"/>
          <w:sz w:val="22"/>
          <w:szCs w:val="22"/>
        </w:rPr>
        <w:t xml:space="preserve"> In retrospect, I think this strategy </w:t>
      </w:r>
      <w:r w:rsidR="00A55646" w:rsidRPr="00352F10">
        <w:rPr>
          <w:rFonts w:ascii="Helvetica Neue" w:hAnsi="Helvetica Neue"/>
          <w:sz w:val="22"/>
          <w:szCs w:val="22"/>
        </w:rPr>
        <w:t xml:space="preserve">is overly complex and unintuitive. I plan to alter it such that </w:t>
      </w:r>
      <w:r w:rsidR="00EC7A5E" w:rsidRPr="00352F10">
        <w:rPr>
          <w:rFonts w:ascii="Helvetica Neue" w:hAnsi="Helvetica Neue"/>
          <w:sz w:val="22"/>
          <w:szCs w:val="22"/>
        </w:rPr>
        <w:t xml:space="preserve">pairs of locations are made “closer” based on the percentage of the distance between them that is serviced by heavy rail. </w:t>
      </w:r>
    </w:p>
    <w:p w14:paraId="2C53A23B" w14:textId="77777777" w:rsidR="007E1C73" w:rsidRPr="00352F10" w:rsidRDefault="007E1C73">
      <w:pPr>
        <w:divId w:val="329842847"/>
        <w:rPr>
          <w:rFonts w:ascii="Helvetica Neue" w:hAnsi="Helvetica Neue"/>
          <w:sz w:val="22"/>
          <w:szCs w:val="22"/>
        </w:rPr>
      </w:pPr>
      <w:r w:rsidRPr="00352F10">
        <w:rPr>
          <w:rFonts w:ascii="Helvetica Neue" w:hAnsi="Helvetica Neue"/>
          <w:sz w:val="22"/>
          <w:szCs w:val="22"/>
        </w:rPr>
        <w:t>I have also begun to replicate the analyses of the original paper. More details of that are in the “Problems” section.</w:t>
      </w:r>
    </w:p>
    <w:p w14:paraId="2F21DC4C" w14:textId="77777777" w:rsidR="007E1C73" w:rsidRPr="00352F10" w:rsidRDefault="007E1C73">
      <w:pPr>
        <w:divId w:val="329842847"/>
        <w:rPr>
          <w:rFonts w:ascii="Helvetica Neue" w:hAnsi="Helvetica Neue"/>
          <w:b/>
          <w:bCs/>
          <w:sz w:val="22"/>
          <w:szCs w:val="22"/>
        </w:rPr>
      </w:pPr>
      <w:r w:rsidRPr="00352F10">
        <w:rPr>
          <w:rFonts w:ascii="Helvetica Neue" w:hAnsi="Helvetica Neue"/>
          <w:b/>
          <w:bCs/>
          <w:sz w:val="22"/>
          <w:szCs w:val="22"/>
        </w:rPr>
        <w:t>Problems</w:t>
      </w:r>
    </w:p>
    <w:p w14:paraId="25F131A6" w14:textId="267591B1" w:rsidR="00BD4C01" w:rsidRDefault="002A20BF">
      <w:pPr>
        <w:divId w:val="329842847"/>
        <w:rPr>
          <w:rFonts w:ascii="Helvetica Neue" w:hAnsi="Helvetica Neue"/>
          <w:sz w:val="22"/>
          <w:szCs w:val="22"/>
        </w:rPr>
      </w:pPr>
      <w:r w:rsidRPr="00352F10">
        <w:rPr>
          <w:rFonts w:ascii="Helvetica Neue" w:hAnsi="Helvetica Neue"/>
          <w:sz w:val="22"/>
          <w:szCs w:val="22"/>
        </w:rPr>
        <w:t>In addition to the work described in “Progress,” I have independently analyzed the microbial data</w:t>
      </w:r>
      <w:r w:rsidR="00E34741" w:rsidRPr="00352F10">
        <w:rPr>
          <w:rFonts w:ascii="Helvetica Neue" w:hAnsi="Helvetica Neue"/>
          <w:sz w:val="22"/>
          <w:szCs w:val="22"/>
        </w:rPr>
        <w:t xml:space="preserve">. So far, I have used </w:t>
      </w:r>
      <w:r w:rsidR="00A11BAF" w:rsidRPr="00352F10">
        <w:rPr>
          <w:rFonts w:ascii="Helvetica Neue" w:hAnsi="Helvetica Neue"/>
          <w:sz w:val="22"/>
          <w:szCs w:val="22"/>
        </w:rPr>
        <w:t xml:space="preserve">LAPACK </w:t>
      </w:r>
      <w:r w:rsidR="00003242" w:rsidRPr="00352F10">
        <w:rPr>
          <w:rFonts w:ascii="Helvetica Neue" w:hAnsi="Helvetica Neue"/>
          <w:sz w:val="22"/>
          <w:szCs w:val="22"/>
        </w:rPr>
        <w:t xml:space="preserve">Single Value Decomposition as distributed in </w:t>
      </w:r>
      <w:r w:rsidR="005E66C8" w:rsidRPr="00352F10">
        <w:rPr>
          <w:rFonts w:ascii="Helvetica Neue" w:hAnsi="Helvetica Neue"/>
          <w:sz w:val="22"/>
          <w:szCs w:val="22"/>
        </w:rPr>
        <w:t xml:space="preserve">sci-kit learn </w:t>
      </w:r>
      <w:r w:rsidR="00044577" w:rsidRPr="00352F10">
        <w:rPr>
          <w:rFonts w:ascii="Helvetica Neue" w:hAnsi="Helvetica Neue"/>
          <w:sz w:val="22"/>
          <w:szCs w:val="22"/>
        </w:rPr>
        <w:t xml:space="preserve">for PCA, </w:t>
      </w:r>
      <w:r w:rsidR="005E66C8" w:rsidRPr="00352F10">
        <w:rPr>
          <w:rFonts w:ascii="Helvetica Neue" w:hAnsi="Helvetica Neue"/>
          <w:sz w:val="22"/>
          <w:szCs w:val="22"/>
        </w:rPr>
        <w:t>as well as Bray-</w:t>
      </w:r>
      <w:proofErr w:type="gramStart"/>
      <w:r w:rsidR="005E66C8" w:rsidRPr="00352F10">
        <w:rPr>
          <w:rFonts w:ascii="Helvetica Neue" w:hAnsi="Helvetica Neue"/>
          <w:sz w:val="22"/>
          <w:szCs w:val="22"/>
        </w:rPr>
        <w:t>Curtis</w:t>
      </w:r>
      <w:proofErr w:type="gramEnd"/>
      <w:r w:rsidR="005E66C8" w:rsidRPr="00352F10">
        <w:rPr>
          <w:rFonts w:ascii="Helvetica Neue" w:hAnsi="Helvetica Neue"/>
          <w:sz w:val="22"/>
          <w:szCs w:val="22"/>
        </w:rPr>
        <w:t xml:space="preserve"> distance as described in the original paper. Neither seems to </w:t>
      </w:r>
      <w:r w:rsidR="003B311E" w:rsidRPr="00352F10">
        <w:rPr>
          <w:rFonts w:ascii="Helvetica Neue" w:hAnsi="Helvetica Neue"/>
          <w:sz w:val="22"/>
          <w:szCs w:val="22"/>
        </w:rPr>
        <w:t>show any obvious correlation between microbial content and geographic distance as reported in the paper</w:t>
      </w:r>
      <w:r w:rsidR="007E1E01" w:rsidRPr="00352F10">
        <w:rPr>
          <w:rFonts w:ascii="Helvetica Neue" w:hAnsi="Helvetica Neue"/>
          <w:sz w:val="22"/>
          <w:szCs w:val="22"/>
        </w:rPr>
        <w:t xml:space="preserve">. </w:t>
      </w:r>
      <w:r w:rsidR="003A5DFA">
        <w:rPr>
          <w:rFonts w:ascii="Helvetica Neue" w:hAnsi="Helvetica Neue"/>
          <w:sz w:val="22"/>
          <w:szCs w:val="22"/>
        </w:rPr>
        <w:t xml:space="preserve">In particular, the range of Bray-Curtis distances between samples within a single site is indistinguishable from the range of values between samples taken hundreds of kilometers apart. </w:t>
      </w:r>
      <w:r w:rsidR="00594C4C" w:rsidRPr="00352F10">
        <w:rPr>
          <w:rFonts w:ascii="Helvetica Neue" w:hAnsi="Helvetica Neue"/>
          <w:sz w:val="22"/>
          <w:szCs w:val="22"/>
        </w:rPr>
        <w:t xml:space="preserve">I still need to replicate the remaining analyses in the paper, </w:t>
      </w:r>
      <w:r w:rsidR="00266A14" w:rsidRPr="00352F10">
        <w:rPr>
          <w:rFonts w:ascii="Helvetica Neue" w:hAnsi="Helvetica Neue"/>
          <w:sz w:val="22"/>
          <w:szCs w:val="22"/>
        </w:rPr>
        <w:t xml:space="preserve">but I am concerned that either my analysis </w:t>
      </w:r>
      <w:r w:rsidR="00C550BB" w:rsidRPr="00352F10">
        <w:rPr>
          <w:rFonts w:ascii="Helvetica Neue" w:hAnsi="Helvetica Neue"/>
          <w:sz w:val="22"/>
          <w:szCs w:val="22"/>
        </w:rPr>
        <w:t xml:space="preserve">is incorrect or that the original conclusions of the paper were overstated. Either scenario would make it difficult to meaningfully compare the roles of geographic and </w:t>
      </w:r>
      <w:r w:rsidR="00352F10" w:rsidRPr="00352F10">
        <w:rPr>
          <w:rFonts w:ascii="Helvetica Neue" w:hAnsi="Helvetica Neue"/>
          <w:sz w:val="22"/>
          <w:szCs w:val="22"/>
        </w:rPr>
        <w:t>human transit adjusted distances on microbial content.</w:t>
      </w:r>
      <w:r w:rsidR="00B673F4" w:rsidRPr="00352F10">
        <w:rPr>
          <w:rFonts w:ascii="Helvetica Neue" w:hAnsi="Helvetica Neue"/>
          <w:sz w:val="22"/>
          <w:szCs w:val="22"/>
        </w:rPr>
        <w:t xml:space="preserve"> </w:t>
      </w:r>
    </w:p>
    <w:p w14:paraId="24F36E65" w14:textId="79CBD6B0" w:rsidR="00C41811" w:rsidRPr="00C41811" w:rsidRDefault="00C41811">
      <w:pPr>
        <w:divId w:val="329842847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References</w:t>
      </w:r>
    </w:p>
    <w:sdt>
      <w:sdtPr>
        <w:rPr>
          <w:rFonts w:ascii="Helvetica Neue" w:hAnsi="Helvetica Neue"/>
          <w:sz w:val="22"/>
          <w:szCs w:val="22"/>
        </w:rPr>
        <w:alias w:val="SmartCite Bibliography"/>
        <w:tag w:val="Nature+{&quot;language&quot;:&quot;en-US&quot;,&quot;isSectionsModeOn&quot;:false}"/>
        <w:id w:val="-377707323"/>
        <w:placeholder>
          <w:docPart w:val="DefaultPlaceholder_-1854013440"/>
        </w:placeholder>
      </w:sdtPr>
      <w:sdtContent>
        <w:p w14:paraId="7C2D858E" w14:textId="598ACF62" w:rsidR="00BD4C01" w:rsidRPr="00C41811" w:rsidRDefault="00BD4C01" w:rsidP="00C41811">
          <w:pPr>
            <w:divId w:val="181013909"/>
            <w:rPr>
              <w:rFonts w:ascii="Helvetica Neue" w:eastAsia="Times New Roman" w:hAnsi="Helvetica Neue"/>
              <w:sz w:val="22"/>
              <w:szCs w:val="22"/>
            </w:rPr>
          </w:pPr>
          <w:r w:rsidRPr="00352F10">
            <w:rPr>
              <w:rFonts w:ascii="Helvetica Neue" w:hAnsi="Helvetica Neue"/>
              <w:sz w:val="22"/>
              <w:szCs w:val="22"/>
            </w:rPr>
            <w:t xml:space="preserve">1. </w:t>
          </w:r>
          <w:proofErr w:type="spellStart"/>
          <w:r w:rsidRPr="00352F10">
            <w:rPr>
              <w:rFonts w:ascii="Helvetica Neue" w:hAnsi="Helvetica Neue"/>
              <w:sz w:val="22"/>
              <w:szCs w:val="22"/>
            </w:rPr>
            <w:t>Linnenbrink</w:t>
          </w:r>
          <w:proofErr w:type="spellEnd"/>
          <w:r w:rsidRPr="00352F10">
            <w:rPr>
              <w:rFonts w:ascii="Helvetica Neue" w:hAnsi="Helvetica Neue"/>
              <w:sz w:val="22"/>
              <w:szCs w:val="22"/>
            </w:rPr>
            <w:t xml:space="preserve">, M. </w:t>
          </w:r>
          <w:r w:rsidRPr="00352F10">
            <w:rPr>
              <w:rFonts w:ascii="Helvetica Neue" w:hAnsi="Helvetica Neue"/>
              <w:i/>
              <w:iCs/>
              <w:sz w:val="22"/>
              <w:szCs w:val="22"/>
            </w:rPr>
            <w:t>et al.</w:t>
          </w:r>
          <w:r w:rsidRPr="00352F10">
            <w:rPr>
              <w:rFonts w:ascii="Helvetica Neue" w:hAnsi="Helvetica Neue"/>
              <w:sz w:val="22"/>
              <w:szCs w:val="22"/>
            </w:rPr>
            <w:t xml:space="preserve"> The role of biogeography in shaping diversity of the intestinal microbiota in house mice. </w:t>
          </w:r>
          <w:r w:rsidRPr="00352F10">
            <w:rPr>
              <w:rFonts w:ascii="Helvetica Neue" w:hAnsi="Helvetica Neue"/>
              <w:i/>
              <w:iCs/>
              <w:sz w:val="22"/>
              <w:szCs w:val="22"/>
            </w:rPr>
            <w:t>Mol. Ecol.</w:t>
          </w:r>
          <w:r w:rsidRPr="00352F10">
            <w:rPr>
              <w:rFonts w:ascii="Helvetica Neue" w:hAnsi="Helvetica Neue"/>
              <w:sz w:val="22"/>
              <w:szCs w:val="22"/>
            </w:rPr>
            <w:t xml:space="preserve"> </w:t>
          </w:r>
          <w:r w:rsidRPr="00352F10">
            <w:rPr>
              <w:rFonts w:ascii="Helvetica Neue" w:hAnsi="Helvetica Neue"/>
              <w:b/>
              <w:bCs/>
              <w:sz w:val="22"/>
              <w:szCs w:val="22"/>
            </w:rPr>
            <w:t>22</w:t>
          </w:r>
          <w:r w:rsidRPr="00352F10">
            <w:rPr>
              <w:rFonts w:ascii="Helvetica Neue" w:hAnsi="Helvetica Neue"/>
              <w:sz w:val="22"/>
              <w:szCs w:val="22"/>
            </w:rPr>
            <w:t>, 1904–1916 (2013).</w:t>
          </w:r>
        </w:p>
        <w:p w14:paraId="4D13E5E7" w14:textId="79698022" w:rsidR="00E675BD" w:rsidRPr="00352F10" w:rsidRDefault="00BD4C01">
          <w:pPr>
            <w:rPr>
              <w:rFonts w:ascii="Helvetica Neue" w:hAnsi="Helvetica Neue"/>
              <w:sz w:val="22"/>
              <w:szCs w:val="22"/>
            </w:rPr>
          </w:pPr>
          <w:r w:rsidRPr="00352F10">
            <w:rPr>
              <w:rFonts w:ascii="Helvetica Neue" w:eastAsia="Times New Roman" w:hAnsi="Helvetica Neue"/>
              <w:sz w:val="22"/>
              <w:szCs w:val="22"/>
            </w:rPr>
            <w:t> </w:t>
          </w:r>
        </w:p>
      </w:sdtContent>
    </w:sdt>
    <w:sectPr w:rsidR="00E675BD" w:rsidRPr="00352F10" w:rsidSect="006C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C3"/>
    <w:rsid w:val="00003242"/>
    <w:rsid w:val="00033337"/>
    <w:rsid w:val="00044577"/>
    <w:rsid w:val="000518BC"/>
    <w:rsid w:val="00106932"/>
    <w:rsid w:val="001439B9"/>
    <w:rsid w:val="00166B23"/>
    <w:rsid w:val="001E3B44"/>
    <w:rsid w:val="002143FC"/>
    <w:rsid w:val="00224B92"/>
    <w:rsid w:val="00266A14"/>
    <w:rsid w:val="002818F6"/>
    <w:rsid w:val="0029435A"/>
    <w:rsid w:val="002A20BF"/>
    <w:rsid w:val="002E3983"/>
    <w:rsid w:val="002F49C6"/>
    <w:rsid w:val="003220CB"/>
    <w:rsid w:val="00332E79"/>
    <w:rsid w:val="00346FA2"/>
    <w:rsid w:val="00352F10"/>
    <w:rsid w:val="00376ABE"/>
    <w:rsid w:val="003A5DFA"/>
    <w:rsid w:val="003B311E"/>
    <w:rsid w:val="003C2C04"/>
    <w:rsid w:val="00407971"/>
    <w:rsid w:val="00460179"/>
    <w:rsid w:val="0049306A"/>
    <w:rsid w:val="004C4F11"/>
    <w:rsid w:val="004C5729"/>
    <w:rsid w:val="00544B24"/>
    <w:rsid w:val="00594C4C"/>
    <w:rsid w:val="005D4BE4"/>
    <w:rsid w:val="005E66C8"/>
    <w:rsid w:val="00634312"/>
    <w:rsid w:val="00644EC3"/>
    <w:rsid w:val="006B333A"/>
    <w:rsid w:val="006B5F80"/>
    <w:rsid w:val="006C4703"/>
    <w:rsid w:val="006C63C8"/>
    <w:rsid w:val="0079461B"/>
    <w:rsid w:val="007E1C73"/>
    <w:rsid w:val="007E1E01"/>
    <w:rsid w:val="00810C76"/>
    <w:rsid w:val="00837A06"/>
    <w:rsid w:val="008749FE"/>
    <w:rsid w:val="008811F0"/>
    <w:rsid w:val="008B2279"/>
    <w:rsid w:val="00911805"/>
    <w:rsid w:val="00914774"/>
    <w:rsid w:val="00936513"/>
    <w:rsid w:val="009813C3"/>
    <w:rsid w:val="009C03A9"/>
    <w:rsid w:val="00A11BAF"/>
    <w:rsid w:val="00A21441"/>
    <w:rsid w:val="00A33490"/>
    <w:rsid w:val="00A55646"/>
    <w:rsid w:val="00A83450"/>
    <w:rsid w:val="00A91A8D"/>
    <w:rsid w:val="00AB4076"/>
    <w:rsid w:val="00AB7654"/>
    <w:rsid w:val="00B26C0E"/>
    <w:rsid w:val="00B6690D"/>
    <w:rsid w:val="00B673F4"/>
    <w:rsid w:val="00BD4C01"/>
    <w:rsid w:val="00BE57D6"/>
    <w:rsid w:val="00BE73AD"/>
    <w:rsid w:val="00C41811"/>
    <w:rsid w:val="00C550BB"/>
    <w:rsid w:val="00C72296"/>
    <w:rsid w:val="00CC591E"/>
    <w:rsid w:val="00CE22A5"/>
    <w:rsid w:val="00D040B8"/>
    <w:rsid w:val="00E34741"/>
    <w:rsid w:val="00E37C4F"/>
    <w:rsid w:val="00E6519B"/>
    <w:rsid w:val="00E675BD"/>
    <w:rsid w:val="00EC7A5E"/>
    <w:rsid w:val="00F16CAC"/>
    <w:rsid w:val="00F8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3112"/>
  <w15:chartTrackingRefBased/>
  <w15:docId w15:val="{22E07182-3C09-FA4E-B4A2-1DB571C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/>
        <w:ind w:left="288" w:righ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C01"/>
    <w:rPr>
      <w:color w:val="666666"/>
    </w:rPr>
  </w:style>
  <w:style w:type="paragraph" w:customStyle="1" w:styleId="bibliography">
    <w:name w:val="bibliography"/>
    <w:basedOn w:val="Normal"/>
    <w:rsid w:val="00BD4C01"/>
    <w:pPr>
      <w:spacing w:before="100" w:beforeAutospacing="1" w:after="100" w:afterAutospacing="1"/>
      <w:ind w:left="0" w:right="0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0845D-D027-1141-97D4-A99B1D6F0CDC}"/>
      </w:docPartPr>
      <w:docPartBody>
        <w:p w:rsidR="002641F1" w:rsidRDefault="002641F1">
          <w:r w:rsidRPr="00116E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F1"/>
    <w:rsid w:val="002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1F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03149A-7722-3149-8429-D543477A81B8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993A5-E513-BA47-89AB-B91A14BB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Honson, Drew D.</dc:creator>
  <cp:keywords/>
  <dc:description/>
  <cp:lastModifiedBy>Honson, Drew D.</cp:lastModifiedBy>
  <cp:revision>72</cp:revision>
  <dcterms:created xsi:type="dcterms:W3CDTF">2023-11-07T03:00:00Z</dcterms:created>
  <dcterms:modified xsi:type="dcterms:W3CDTF">2023-11-07T04:39:00Z</dcterms:modified>
</cp:coreProperties>
</file>