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Fevadol Oral Suspension - Product Label (SYNTHETIC)</w:t>
      </w:r>
    </w:p>
    <w:p>
      <w:r>
        <w:t>SYNTHETIC TEST DOCUMENT - fictional content, not medical guidance.</w:t>
      </w:r>
    </w:p>
    <w:p>
      <w:pPr>
        <w:pStyle w:val="Heading1"/>
      </w:pPr>
      <w:r>
        <w:t>4.2 Dosage in children</w:t>
      </w:r>
    </w:p>
    <w:p>
      <w:r>
        <w:t>Fevadol is a fictional fever-reducing medicine. Fevadol is not licensed for children under 6 years in this synthetic label.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Label dose</w:t>
            </w:r>
          </w:p>
        </w:tc>
        <w:tc>
          <w:tcPr>
            <w:tcW w:type="dxa" w:w="2880"/>
          </w:tcPr>
          <w:p>
            <w:r>
              <w:t>Maximum</w:t>
            </w:r>
          </w:p>
        </w:tc>
      </w:tr>
      <w:tr>
        <w:tc>
          <w:tcPr>
            <w:tcW w:type="dxa" w:w="2880"/>
          </w:tcPr>
          <w:p>
            <w:r>
              <w:t>6 to 8 years</w:t>
            </w:r>
          </w:p>
        </w:tc>
        <w:tc>
          <w:tcPr>
            <w:tcW w:type="dxa" w:w="2880"/>
          </w:tcPr>
          <w:p>
            <w:r>
              <w:t>5 ml every 6 hours</w:t>
            </w:r>
          </w:p>
        </w:tc>
        <w:tc>
          <w:tcPr>
            <w:tcW w:type="dxa" w:w="2880"/>
          </w:tcPr>
          <w:p>
            <w:r>
              <w:t>4 doses in 24 hours</w:t>
            </w:r>
          </w:p>
        </w:tc>
      </w:tr>
      <w:tr>
        <w:tc>
          <w:tcPr>
            <w:tcW w:type="dxa" w:w="2880"/>
          </w:tcPr>
          <w:p>
            <w:r>
              <w:t>9 to 12 years</w:t>
            </w:r>
          </w:p>
        </w:tc>
        <w:tc>
          <w:tcPr>
            <w:tcW w:type="dxa" w:w="2880"/>
          </w:tcPr>
          <w:p>
            <w:r>
              <w:t>7.5 ml every 6 hours</w:t>
            </w:r>
          </w:p>
        </w:tc>
        <w:tc>
          <w:tcPr>
            <w:tcW w:type="dxa" w:w="2880"/>
          </w:tcPr>
          <w:p>
            <w:r>
              <w:t>4 doses in 24 hours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