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Policy Statement</w:t>
      </w:r>
    </w:p>
    <w:p>
      <w:r>
        <w:t>Northwind Asset Management. Effective 1 January 2026. Version 4.2.</w:t>
      </w:r>
    </w:p>
    <w:p>
      <w:pPr>
        <w:pStyle w:val="Heading1"/>
      </w:pPr>
      <w:r>
        <w:t>1. Concentration limits</w:t>
      </w:r>
    </w:p>
    <w:p>
      <w:r>
        <w:t>No single issuer may exceed 25% of portfolio NAV. A position above 20% of NAV is a warning and must be reviewed by the portfolio manager within five business days.</w:t>
      </w:r>
    </w:p>
    <w:p>
      <w:r>
        <w:t>No sector may exceed 40% of portfolio NAV.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Hard limit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Single issuer weight</w:t>
            </w:r>
          </w:p>
        </w:tc>
        <w:tc>
          <w:tcPr>
            <w:tcW w:type="dxa" w:w="2160"/>
          </w:tcPr>
          <w:p>
            <w:r>
              <w:t>20% of NAV</w:t>
            </w:r>
          </w:p>
        </w:tc>
        <w:tc>
          <w:tcPr>
            <w:tcW w:type="dxa" w:w="2160"/>
          </w:tcPr>
          <w:p>
            <w:r>
              <w:t>25% of NAV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Sector weight</w:t>
            </w:r>
          </w:p>
        </w:tc>
        <w:tc>
          <w:tcPr>
            <w:tcW w:type="dxa" w:w="2160"/>
          </w:tcPr>
          <w:p>
            <w:r>
              <w:t>35% of NAV</w:t>
            </w:r>
          </w:p>
        </w:tc>
        <w:tc>
          <w:tcPr>
            <w:tcW w:type="dxa" w:w="2160"/>
          </w:tcPr>
          <w:p>
            <w:r>
              <w:t>40% of NAV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1-day 95% VaR</w:t>
            </w:r>
          </w:p>
        </w:tc>
        <w:tc>
          <w:tcPr>
            <w:tcW w:type="dxa" w:w="2160"/>
          </w:tcPr>
          <w:p>
            <w:r>
              <w:t>2.0% of NAV</w:t>
            </w:r>
          </w:p>
        </w:tc>
        <w:tc>
          <w:tcPr>
            <w:tcW w:type="dxa" w:w="2160"/>
          </w:tcPr>
          <w:p>
            <w:r>
              <w:t>2.5% of NAV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Maximum drawdown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Investment Committee</w:t>
            </w:r>
          </w:p>
        </w:tc>
      </w:tr>
    </w:tbl>
    <w:p>
      <w:pPr>
        <w:pStyle w:val="Heading1"/>
      </w:pPr>
      <w:r>
        <w:t>2. Market risk</w:t>
      </w:r>
    </w:p>
    <w:p>
      <w:r>
        <w:t>The 1-day 95% Value-at-Risk budget is 2.5% of NAV, measured with historical simulation over the last 252 trading days.</w:t>
      </w:r>
    </w:p>
    <w:p>
      <w:pPr>
        <w:pStyle w:val="Heading1"/>
      </w:pPr>
      <w:r>
        <w:t>3. Rebalancing and approvals</w:t>
      </w:r>
    </w:p>
    <w:p>
      <w:r>
        <w:t>Any proposed trade with a notional value above $250,000 requires approval from a portfolio manager or the compliance officer before an order is created. Agents and analysts may only prepare draft orders.</w:t>
      </w:r>
    </w:p>
    <w:p>
      <w:pPr>
        <w:pStyle w:val="Heading1"/>
      </w:pPr>
      <w:r>
        <w:t>4. Breach escalation</w:t>
      </w:r>
    </w:p>
    <w:p>
      <w:r>
        <w:t>A hard-limit breach must be escalated to the Chief Risk Officer within one business day and remediated within 30 calendar days unless the Investment Committee grants a waiver.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Policy Statement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