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b/>
          <w:bCs/>
          <w:color w:val="0F3D5C"/>
          <w:sz w:val="60"/>
          <w:szCs w:val="60"/>
        </w:rPr>
        <w:t xml:space="preserve">MONEY MOVE$</w:t>
      </w:r>
    </w:p>
    <w:p>
      <w:pPr>
        <w:spacing w:after="40"/>
      </w:pPr>
      <w:r>
        <w:rPr>
          <w:i/>
          <w:iCs/>
          <w:color w:val="1E8A5A"/>
          <w:sz w:val="26"/>
          <w:szCs w:val="26"/>
        </w:rPr>
        <w:t xml:space="preserve">Small moves. Big future.</w:t>
      </w:r>
    </w:p>
    <w:p>
      <w:pPr>
        <w:pBdr>
          <w:bottom w:val="single" w:color="B8860B" w:sz="10" w:space="1"/>
        </w:pBdr>
        <w:spacing w:after="120"/>
      </w:pPr>
    </w:p>
    <w:p>
      <w:pPr>
        <w:spacing w:after="0" w:before="240"/>
      </w:pPr>
      <w:r>
        <w:rPr>
          <w:b/>
          <w:bCs/>
          <w:color w:val="1F6FB2"/>
          <w:sz w:val="44"/>
          <w:szCs w:val="44"/>
        </w:rPr>
        <w:t xml:space="preserve">Marketing Plan</w:t>
      </w:r>
    </w:p>
    <w:p>
      <w:pPr>
        <w:spacing w:after="600" w:before="80"/>
      </w:pPr>
      <w:r>
        <w:rPr>
          <w:color w:val="5A6672"/>
          <w:sz w:val="24"/>
          <w:szCs w:val="24"/>
        </w:rPr>
        <w:t xml:space="preserve">Two funnels, one growth engine — how to acquire users and land sponsors</w:t>
      </w:r>
    </w:p>
    <w:p>
      <w:pPr>
        <w:spacing w:after="6" w:before="1200"/>
      </w:pPr>
      <w:r>
        <w:rPr>
          <w:color w:val="0F3D5C"/>
          <w:sz w:val="24"/>
          <w:szCs w:val="24"/>
        </w:rPr>
        <w:t xml:space="preserve">Prepared for: David</w:t>
      </w:r>
    </w:p>
    <w:p>
      <w:pPr>
        <w:spacing w:after="20"/>
      </w:pPr>
      <w:r>
        <w:rPr>
          <w:b/>
          <w:bCs/>
          <w:color w:val="1E8A5A"/>
          <w:sz w:val="24"/>
          <w:szCs w:val="24"/>
        </w:rPr>
        <w:t xml:space="preserve">Your Financial Freedom Plan</w:t>
      </w:r>
    </w:p>
    <w:p>
      <w:pPr>
        <w:spacing w:after="20"/>
      </w:pPr>
      <w:r>
        <w:rPr>
          <w:color w:val="0F3D5C"/>
          <w:sz w:val="24"/>
          <w:szCs w:val="24"/>
        </w:rPr>
        <w:t xml:space="preserve">Date: June 25, 2026</w:t>
      </w:r>
    </w:p>
    <w:p>
      <w:pPr>
        <w:spacing w:after="20"/>
      </w:pPr>
      <w:r>
        <w:rPr>
          <w:color w:val="5A6672"/>
          <w:sz w:val="24"/>
          <w:szCs w:val="24"/>
        </w:rPr>
        <w:t xml:space="preserve">Companion to: Monetization Strategy &amp; Roadmap</w:t>
      </w:r>
    </w:p>
    <w:p>
      <w:pPr>
        <w:spacing w:after="20"/>
      </w:pPr>
      <w:r>
        <w:rPr>
          <w:color w:val="5A6672"/>
          <w:sz w:val="22"/>
          <w:szCs w:val="22"/>
        </w:rPr>
        <w:t xml:space="preserve">Budget assumption: lean / bootstrapped (scales noted in §8)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this plan has to achieve</w:t>
      </w:r>
    </w:p>
    <w:p>
      <w:pPr>
        <w:spacing w:after="140" w:line="276"/>
      </w:pPr>
      <w:r>
        <w:t xml:space="preserve">Marketing here serves the two-engine business model: a free-to-play app that grows a large user base, monetized by institutional sponsors (near-term cash) and a consumer premium tier (compounding). So marketing has two jobs that feed each 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Funnel</w:t>
            </w:r>
          </w:p>
        </w:tc>
        <w:tc>
          <w:tcPr>
            <w:tcW w:type="dxa" w:w="46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The job</w:t>
            </w:r>
          </w:p>
        </w:tc>
      </w:tr>
      <w:tr>
        <w:tc>
          <w:tcPr>
            <w:tcW w:type="dxa" w:w="46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Consumer growth (B2C)</w:t>
            </w:r>
          </w:p>
        </w:tc>
        <w:tc>
          <w:tcPr>
            <w:tcW w:type="dxa" w:w="46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Get as many people as possible playing — for free. Volume is the asset that sponsors and premium upgrades are both priced against.</w:t>
            </w:r>
          </w:p>
        </w:tc>
      </w:tr>
      <w:tr>
        <w:tc>
          <w:tcPr>
            <w:tcW w:type="dxa" w:w="46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Sponsor acquisition (B2B)</w:t>
            </w:r>
          </w:p>
        </w:tc>
        <w:tc>
          <w:tcPr>
            <w:tcW w:type="dxa" w:w="46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Convert that traction into signed credit-union / bank / school sponsorships. Usage data and case studies are the ammunition.</w:t>
            </w:r>
          </w:p>
        </w:tc>
      </w:tr>
    </w:tbl>
    <w:p>
      <w:pPr>
        <w:pStyle w:val="Heading2"/>
      </w:pPr>
      <w:r>
        <w:t xml:space="preserve">12-month marketing objectives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Reach 30,000+ monthly active users </w:t>
      </w:r>
      <w:r>
        <w:t xml:space="preserve">(free) by month 12 — the base case in the strategy doc.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Build a 2,000+ email/waitlist audience </w:t>
      </w:r>
      <w:r>
        <w:t xml:space="preserve">before and around launch as an owned channel.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Generate 10+ qualified sponsor leads and 3+ signed pilots </w:t>
      </w:r>
      <w:r>
        <w:t xml:space="preserve">from outbound + inbound.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Hit 2–4% free-to-paid conversion </w:t>
      </w:r>
      <w:r>
        <w:t xml:space="preserve">on the consumer side once premium is live.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Produce one published case study </w:t>
      </w:r>
      <w:r>
        <w:t xml:space="preserve">(engagement + completion stats) to power B2B sales.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FA" w:sz="1"/>
              <w:left w:val="single" w:color="1F6FB2" w:sz="24"/>
              <w:bottom w:val="single" w:color="EAF3FA" w:sz="1"/>
              <w:right w:val="single" w:color="EAF3FA" w:sz="1"/>
            </w:tcBorders>
            <w:shd w:fill="EA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3D5C"/>
              </w:rPr>
              <w:t xml:space="preserve">Operating assumption</w:t>
            </w:r>
          </w:p>
          <w:p>
            <w:pPr>
              <w:spacing w:after="40" w:line="260"/>
            </w:pPr>
            <w:r>
              <w:t xml:space="preserve">This plan assumes a </w:t>
            </w:r>
            <w:r>
              <w:rPr>
                <w:b/>
                <w:bCs/>
              </w:rPr>
              <w:t xml:space="preserve">lean, mostly-organic budget</w:t>
            </w:r>
            <w:r>
              <w:t xml:space="preserve"> — founder-led content, no big ad spend at first. That is the right call pre-product-market-fit: prove that content converts and the game retains before paying for traffic. Section 8 shows what changes at higher budgets.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Positioning, brand &amp; audience</w:t>
      </w:r>
    </w:p>
    <w:p>
      <w:pPr>
        <w:pStyle w:val="Heading2"/>
      </w:pPr>
      <w:r>
        <w:t xml:space="preserve">2.1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3DD" w:sz="1"/>
              <w:left w:val="single" w:color="B8860B" w:sz="24"/>
              <w:bottom w:val="single" w:color="FBF3DD" w:sz="1"/>
              <w:right w:val="single" w:color="FBF3DD" w:sz="1"/>
            </w:tcBorders>
            <w:shd w:fill="FBF3D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3D5C"/>
              </w:rPr>
              <w:t xml:space="preserve">Positioning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For </w:t>
            </w:r>
            <w:r>
              <w:t xml:space="preserve">anyone from middle-schoolers to adults who feels behind on money,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Money Move$ is </w:t>
            </w:r>
            <w:r>
              <w:t xml:space="preserve">a financial-literacy game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that </w:t>
            </w:r>
            <w:r>
              <w:t xml:space="preserve">turns building real money skills into a climb you actually want to keep playing —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unlike </w:t>
            </w:r>
            <w:r>
              <w:t xml:space="preserve">dry courses and lock-everything-behind-a-card apps,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because </w:t>
            </w:r>
            <w:r>
              <w:t xml:space="preserve">the core is free, the lessons are real, and the rewards are real too.</w:t>
            </w:r>
          </w:p>
        </w:tc>
      </w:tr>
    </w:tbl>
    <w:p>
      <w:pPr>
        <w:pStyle w:val="Heading2"/>
      </w:pPr>
      <w:r>
        <w:t xml:space="preserve">2.2 Brand pillars (what every message should reinforce)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What it means in marketing</w:t>
            </w:r>
          </w:p>
        </w:tc>
      </w:tr>
      <w:tr>
        <w:tc>
          <w:tcPr>
            <w:tcW w:type="dxa" w:w="24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Real, not preachy</w:t>
            </w:r>
          </w:p>
        </w:tc>
        <w:tc>
          <w:tcPr>
            <w:tcW w:type="dxa" w:w="696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Concrete moves and dollar stories (“$500, ten years ago”), never finger-wagging.</w:t>
            </w:r>
          </w:p>
        </w:tc>
      </w:tr>
      <w:tr>
        <w:tc>
          <w:tcPr>
            <w:tcW w:type="dxa" w:w="24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Fun by design</w:t>
            </w:r>
          </w:p>
        </w:tc>
        <w:tc>
          <w:tcPr>
            <w:tcW w:type="dxa" w:w="696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Lead with the game — streaks, ranks, the climb. Learning is the side effect.</w:t>
            </w:r>
          </w:p>
        </w:tc>
      </w:tr>
      <w:tr>
        <w:tc>
          <w:tcPr>
            <w:tcW w:type="dxa" w:w="24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For everyone</w:t>
            </w:r>
          </w:p>
        </w:tc>
        <w:tc>
          <w:tcPr>
            <w:tcW w:type="dxa" w:w="696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Age tracks from middle school to all-ages; nobody is “too late” or “too young.”</w:t>
            </w:r>
          </w:p>
        </w:tc>
      </w:tr>
      <w:tr>
        <w:tc>
          <w:tcPr>
            <w:tcW w:type="dxa" w:w="24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Trustworthy</w:t>
            </w:r>
          </w:p>
        </w:tc>
        <w:tc>
          <w:tcPr>
            <w:tcW w:type="dxa" w:w="696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No hype, no get-rich-quick. Clear about affiliate links. This is what makes sponsors comfortable.</w:t>
            </w:r>
          </w:p>
        </w:tc>
      </w:tr>
    </w:tbl>
    <w:p>
      <w:pPr>
        <w:pStyle w:val="Heading2"/>
      </w:pPr>
      <w:r>
        <w:t xml:space="preserve">2.3 The four audiences (and the one-line that moves 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Audience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What they want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The hook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Teens / young adults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Status, autonomy, not feeling dumb about money.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“Level up your money like a game. Start free.”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Parents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Their kids to be set up better than they were.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“They get the card. We build the brain behind it.”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Adults playing catch-up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A non-judgmental, doable path.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“Small moves. Big future. It's not too late.”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Sponsors (CUs / banks / schools)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Reach, goodwill, younger members, measurable impact.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“Co-branded financial literacy your community will actually use.”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Messaging &amp; the content engine</w:t>
      </w:r>
    </w:p>
    <w:p>
      <w:pPr>
        <w:spacing w:after="140" w:line="276"/>
      </w:pPr>
      <w:r>
        <w:t xml:space="preserve">The product already contains its own best marketing. These existing assets become the top of the funnel: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“$500, ten years ago.” </w:t>
      </w:r>
      <w:r>
        <w:t xml:space="preserve">A compounding-story hook — perfect for a 30-second video or carousel.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The 7-Day Money Challenge. </w:t>
      </w:r>
      <w:r>
        <w:t xml:space="preserve">A built-in campaign: shareable, time-boxed, repeatable, and sponsorable.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The six money moves &amp; “traps to dodge.” </w:t>
      </w:r>
      <w:r>
        <w:t xml:space="preserve">An endless series of bite-sized, screenshot-ready tips.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Rank-ups and streaks. </w:t>
      </w:r>
      <w:r>
        <w:t xml:space="preserve">“I just hit Investor rank” / “30-day streak” — social proof users post themselves.</w:t>
      </w:r>
    </w:p>
    <w:p>
      <w:pPr>
        <w:pStyle w:val="Heading2"/>
      </w:pPr>
      <w:r>
        <w:t xml:space="preserve">3.1 Content pillars (what to post, on repeat)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676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Example posts</w:t>
            </w:r>
          </w:p>
        </w:tc>
      </w:tr>
      <w:tr>
        <w:tc>
          <w:tcPr>
            <w:tcW w:type="dxa" w:w="26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Money myths &amp; traps</w:t>
            </w:r>
          </w:p>
        </w:tc>
        <w:tc>
          <w:tcPr>
            <w:tcW w:type="dxa" w:w="676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“The $1/day move most people skip.” “Why your bank wants you confused.”</w:t>
            </w:r>
          </w:p>
        </w:tc>
      </w:tr>
      <w:tr>
        <w:tc>
          <w:tcPr>
            <w:tcW w:type="dxa" w:w="26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Tiny wins / quick math</w:t>
            </w:r>
          </w:p>
        </w:tc>
        <w:tc>
          <w:tcPr>
            <w:tcW w:type="dxa" w:w="676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“$5/day → this much in 10 years.” Fast, visual, save-worthy.</w:t>
            </w:r>
          </w:p>
        </w:tc>
      </w:tr>
      <w:tr>
        <w:tc>
          <w:tcPr>
            <w:tcW w:type="dxa" w:w="26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Real stories</w:t>
            </w:r>
          </w:p>
        </w:tc>
        <w:tc>
          <w:tcPr>
            <w:tcW w:type="dxa" w:w="676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Before/after, “the move I wish I made at 18,” user rank-ups.</w:t>
            </w:r>
          </w:p>
        </w:tc>
      </w:tr>
      <w:tr>
        <w:tc>
          <w:tcPr>
            <w:tcW w:type="dxa" w:w="26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Behind the game</w:t>
            </w:r>
          </w:p>
        </w:tc>
        <w:tc>
          <w:tcPr>
            <w:tcW w:type="dxa" w:w="676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Show the climb, the streaks, the rewards — make people want to play.</w:t>
            </w:r>
          </w:p>
        </w:tc>
      </w:tr>
      <w:tr>
        <w:tc>
          <w:tcPr>
            <w:tcW w:type="dxa" w:w="26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Challenge content</w:t>
            </w:r>
          </w:p>
        </w:tc>
        <w:tc>
          <w:tcPr>
            <w:tcW w:type="dxa" w:w="676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Daily prompts during a 7-day challenge; recap reels after.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FA" w:sz="1"/>
              <w:left w:val="single" w:color="1E8A5A" w:sz="24"/>
              <w:bottom w:val="single" w:color="EAF3FA" w:sz="1"/>
              <w:right w:val="single" w:color="EAF3FA" w:sz="1"/>
            </w:tcBorders>
            <w:shd w:fill="EA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3D5C"/>
              </w:rPr>
              <w:t xml:space="preserve">The one rule that makes organic work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Hook in the first 2 seconds, teach one thing, end on “play it free.” </w:t>
            </w:r>
            <w:r>
              <w:t xml:space="preserve">Volume + consistency beats polish. Aim for a sustainable cadence (e.g. 1 short video/day across TikTok, Reels, Shorts from the same clip) rather than occasional perfect posts.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Consumer funnel (B2C) — the growth engine</w:t>
      </w:r>
    </w:p>
    <w:p>
      <w:pPr>
        <w:spacing w:after="140" w:line="276"/>
      </w:pPr>
      <w:r>
        <w:t xml:space="preserve">Free product + organic content is the core motion. Map channels to the funnel: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Tactic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Awareness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Short-form video (TikTok / Reels / Shorts)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Daily money-tip + behind-the-game clips. The #1 lever. Repurpose one clip to all three.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Awareness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SEO / blog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Rank for “how to start investing with $100,” “best money apps for teens,” “Roth IRA for beginners.”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Awareness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Creators / micro-influencers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Gift access to finance &amp; parenting micro-creators for authentic posts (low/zero cash early).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Consideration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App store + landing page (ASO)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Clear screenshots of the climb, the “free” promise, social proof. Optimize title/keywords.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Conversion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Onboarding + soft paywall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Fast first win in &lt;2 min; introduce Pro at a natural moment (energy cap, streak save).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Retention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Email + push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Streak reminders, “you're 1 level from Investor,” weekly money tip. Owned, free, high-ROI.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Referral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In-app invite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“Climb with a friend” — bonus coins both sides. Turns players into a growth loop.</w:t>
            </w:r>
          </w:p>
        </w:tc>
      </w:tr>
    </w:tbl>
    <w:p>
      <w:pPr>
        <w:pStyle w:val="Heading2"/>
      </w:pPr>
      <w:r>
        <w:t xml:space="preserve">4.1 The owned channel to build from day one</w:t>
      </w:r>
    </w:p>
    <w:p>
      <w:pPr>
        <w:spacing w:after="140" w:line="276"/>
      </w:pPr>
      <w:r>
        <w:rPr>
          <w:b/>
          <w:bCs/>
        </w:rPr>
        <w:t xml:space="preserve">Email / waitlist. </w:t>
      </w:r>
      <w:r>
        <w:t xml:space="preserve">Start collecting emails now via the landing page (“Get early access + the free 7-day money plan”). It is the one channel you own outright — no algorithm between you and your users — and it powers launch day, win-back, and premium upsell.</w:t>
      </w:r>
    </w:p>
    <w:p>
      <w:r>
        <w:br w:type="page"/>
      </w:r>
    </w:p>
    <w:p>
      <w:pPr>
        <w:pStyle w:val="Heading1"/>
      </w:pPr>
      <w:r>
        <w:t xml:space="preserve">5. Sponsor funnel (B2B) — the revenue engine</w:t>
      </w:r>
    </w:p>
    <w:p>
      <w:pPr>
        <w:spacing w:after="140" w:line="276"/>
      </w:pPr>
      <w:r>
        <w:t xml:space="preserve">This is a focused, founder-led sales motion, not a big-budget campaign. It runs in parallel with consumer growth and feeds on its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Tactic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List building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15–25 local/regional credit unions &amp; community banks with community-investment mandates.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Outreach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Email + LinkedIn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Personalized note to marketing / community / member-growth leads. Lead with the sponsored Challenge.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Credibility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One-page offer + demo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A clean sponsor sheet: what they get, co-branding mockup, pricing tiers, the impact story.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Proof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Case study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After pilot #1, publish engagement + completion numbers. This sells the next ten.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Presence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Industry channels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Credit-union / fintech newsletters, CUInsight-style outlets, regional CU association events.</w:t>
            </w:r>
          </w:p>
        </w:tc>
      </w:tr>
      <w:tr>
        <w:tc>
          <w:tcPr>
            <w:tcW w:type="dxa" w:w="22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Expansion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Schools &amp; employers</w:t>
            </w:r>
          </w:p>
        </w:tc>
        <w:tc>
          <w:tcPr>
            <w:tcW w:type="dxa" w:w="35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Use CU sponsors to fund school access locally; pitch employers a financial-wellness benefit.</w:t>
            </w:r>
          </w:p>
        </w:tc>
      </w:tr>
    </w:tbl>
    <w:p>
      <w:pPr>
        <w:pStyle w:val="Heading2"/>
      </w:pPr>
      <w:r>
        <w:t xml:space="preserve">5.1 The wedge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3DD" w:sz="1"/>
              <w:left w:val="single" w:color="B8860B" w:sz="24"/>
              <w:bottom w:val="single" w:color="FBF3DD" w:sz="1"/>
              <w:right w:val="single" w:color="FBF3DD" w:sz="1"/>
            </w:tcBorders>
            <w:shd w:fill="FBF3D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3D5C"/>
              </w:rPr>
              <w:t xml:space="preserve">Lead with the Sponsored 7-Day Challenge</w:t>
            </w:r>
          </w:p>
          <w:p>
            <w:pPr>
              <w:spacing w:after="40" w:line="260"/>
            </w:pPr>
            <w:r>
              <w:t xml:space="preserve">Don't open by selling an annual enterprise license. Open by selling a </w:t>
            </w:r>
            <w:r>
              <w:rPr>
                <w:b/>
                <w:bCs/>
              </w:rPr>
              <w:t xml:space="preserve">single co-branded 7-Day Challenge</w:t>
            </w:r>
            <w:r>
              <w:t xml:space="preserve"> — small budget, fast yes, fixed window, clear deliverable (their logo, funded prizes, reach + a results recap). It's the foot in the door that becomes the annual sponsorship.</w:t>
            </w:r>
          </w:p>
        </w:tc>
      </w:tr>
    </w:tbl>
    <w:p>
      <w:pPr>
        <w:pStyle w:val="Heading2"/>
      </w:pPr>
      <w:r>
        <w:t xml:space="preserve">5.2 Sponsor outreach message (template)</w:t>
      </w:r>
    </w:p>
    <w:p>
      <w:pPr>
        <w:spacing w:after="140" w:line="276"/>
      </w:pPr>
      <w:r>
        <w:rPr>
          <w:i/>
          <w:iCs/>
          <w:color w:val="0F3D5C"/>
        </w:rPr>
        <w:t xml:space="preserve">“Hi [Name] — we built Money Move$, a financial-literacy game people actually play (think Duolingo for money), for ages middle-school to adult. We're inviting a few community credit unions to co-sponsor a 7-Day Money Challenge for your members — your branding, real prizes, and a results report. Free to your members, low lift for your team. Open to a 15-minute look?”</w:t>
      </w:r>
    </w:p>
    <w:p>
      <w:r>
        <w:br w:type="page"/>
      </w:r>
    </w:p>
    <w:p>
      <w:pPr>
        <w:pStyle w:val="Heading1"/>
      </w:pPr>
      <w:r>
        <w:t xml:space="preserve">6. Launch plan</w:t>
      </w:r>
    </w:p>
    <w:p>
      <w:pPr>
        <w:spacing w:after="140" w:line="276"/>
      </w:pPr>
      <w:r>
        <w:t xml:space="preserve">Tied to the strategy roadmap. Marketing leads slightly ahead of each product phase so there's an audience waiting.</w:t>
      </w:r>
    </w:p>
    <w:p>
      <w:pPr>
        <w:pStyle w:val="Heading2"/>
      </w:pPr>
      <w:r>
        <w:t xml:space="preserve">Pre-launch (Weeks 1–4) — build the audience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Stand up a landing page with email capture and the free 7-day plan as the magnet.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Start posting daily short-form content now — begin building the back catalog and the algorithm's trust.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Draft the sponsor one-pager and build the target list of 15–25 institutions.</w:t>
      </w:r>
    </w:p>
    <w:p>
      <w:pPr>
        <w:pStyle w:val="Heading2"/>
      </w:pPr>
      <w:r>
        <w:t xml:space="preserve">Launch (Months 1–3) — convert attention to players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Coordinated “we're live” push to the waitlist, social, and any creator partners on the same day.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Run the first public 7-Day Challenge as a launch moment (and proof-of-concept for sponsors).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Turn on referral loop; begin sponsor outreach using early usage screenshots.</w:t>
      </w:r>
    </w:p>
    <w:p>
      <w:pPr>
        <w:pStyle w:val="Heading2"/>
      </w:pPr>
      <w:r>
        <w:t xml:space="preserve">Post-launch (Months 3–12) — compound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Double down on whatever content format is working; cut what isn't.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Land first 3–5 sponsor pilots; publish case study #1; expand to schools/employers.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Layer paid acquisition only after organic conversion + retention are proven (see §8).</w:t>
      </w:r>
    </w:p>
    <w:p>
      <w:r>
        <w:br w:type="page"/>
      </w:r>
    </w:p>
    <w:p>
      <w:pPr>
        <w:pStyle w:val="Heading1"/>
      </w:pPr>
      <w:r>
        <w:t xml:space="preserve">7. First 90 days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tcW w:type="dxa" w:w="393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Consumer (B2C)</w:t>
            </w:r>
          </w:p>
        </w:tc>
        <w:tc>
          <w:tcPr>
            <w:tcW w:type="dxa" w:w="393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Sponsor (B2B)</w:t>
            </w:r>
          </w:p>
        </w:tc>
      </w:tr>
      <w:tr>
        <w:tc>
          <w:tcPr>
            <w:tcW w:type="dxa" w:w="15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Weeks 1–2</w:t>
            </w:r>
          </w:p>
        </w:tc>
        <w:tc>
          <w:tcPr>
            <w:tcW w:type="dxa" w:w="393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Landing page + email capture live; start daily short-form; set up analytics.</w:t>
            </w:r>
          </w:p>
        </w:tc>
        <w:tc>
          <w:tcPr>
            <w:tcW w:type="dxa" w:w="393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Draft one-pager; build list of 15–25 targets.</w:t>
            </w:r>
          </w:p>
        </w:tc>
      </w:tr>
      <w:tr>
        <w:tc>
          <w:tcPr>
            <w:tcW w:type="dxa" w:w="15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Weeks 3–4</w:t>
            </w:r>
          </w:p>
        </w:tc>
        <w:tc>
          <w:tcPr>
            <w:tcW w:type="dxa" w:w="393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Build content back-catalog; line up 3–5 micro-creators; tease launch to waitlist.</w:t>
            </w:r>
          </w:p>
        </w:tc>
        <w:tc>
          <w:tcPr>
            <w:tcW w:type="dxa" w:w="393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Warm up: follow/engage targets on LinkedIn; finalize co-branding mockup.</w:t>
            </w:r>
          </w:p>
        </w:tc>
      </w:tr>
      <w:tr>
        <w:tc>
          <w:tcPr>
            <w:tcW w:type="dxa" w:w="15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Weeks 5–8</w:t>
            </w:r>
          </w:p>
        </w:tc>
        <w:tc>
          <w:tcPr>
            <w:tcW w:type="dxa" w:w="393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Launch app; waitlist push; run public 7-Day Challenge; turn on referral.</w:t>
            </w:r>
          </w:p>
        </w:tc>
        <w:tc>
          <w:tcPr>
            <w:tcW w:type="dxa" w:w="393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Begin outreach (email + LinkedIn) leading with the Sponsored Challenge.</w:t>
            </w:r>
          </w:p>
        </w:tc>
      </w:tr>
      <w:tr>
        <w:tc>
          <w:tcPr>
            <w:tcW w:type="dxa" w:w="15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Weeks 9–12</w:t>
            </w:r>
          </w:p>
        </w:tc>
        <w:tc>
          <w:tcPr>
            <w:tcW w:type="dxa" w:w="393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Optimize top formats; start ASO/SEO; weekly email habit.</w:t>
            </w:r>
          </w:p>
        </w:tc>
        <w:tc>
          <w:tcPr>
            <w:tcW w:type="dxa" w:w="393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Run pilot #1; capture engagement stats; book 2–3 more pilots.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Budget scenarios</w:t>
      </w:r>
    </w:p>
    <w:p>
      <w:pPr>
        <w:spacing w:after="140" w:line="276"/>
      </w:pPr>
      <w:r>
        <w:t xml:space="preserve">What marketing looks like at three spend levels. Start at Bootstrapped; graduate only when the numbers justify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880"/>
        <w:gridCol w:w="2880"/>
      </w:tblGrid>
      <w:tr>
        <w:trPr>
          <w:tblHeader/>
        </w:trPr>
        <w:tc>
          <w:tcPr>
            <w:tcW w:type="dxa" w:w="19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17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Monthly</w:t>
            </w:r>
          </w:p>
        </w:tc>
        <w:tc>
          <w:tcPr>
            <w:tcW w:type="dxa" w:w="28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Where it goes</w:t>
            </w:r>
          </w:p>
        </w:tc>
        <w:tc>
          <w:tcPr>
            <w:tcW w:type="dxa" w:w="28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When it's right</w:t>
            </w:r>
          </w:p>
        </w:tc>
      </w:tr>
      <w:tr>
        <w:tc>
          <w:tcPr>
            <w:tcW w:type="dxa" w:w="19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Bootstrapped</w:t>
            </w:r>
          </w:p>
        </w:tc>
        <w:tc>
          <w:tcPr>
            <w:tcW w:type="dxa" w:w="17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$0–$300</w:t>
            </w:r>
          </w:p>
        </w:tc>
        <w:tc>
          <w:tcPr>
            <w:tcW w:type="dxa" w:w="28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Founder-led content, free tools, email platform, gifted creators.</w:t>
            </w:r>
          </w:p>
        </w:tc>
        <w:tc>
          <w:tcPr>
            <w:tcW w:type="dxa" w:w="28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Now — pre-PMF. Prove content converts and the game retains.</w:t>
            </w:r>
          </w:p>
        </w:tc>
      </w:tr>
      <w:tr>
        <w:tc>
          <w:tcPr>
            <w:tcW w:type="dxa" w:w="19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Lean</w:t>
            </w:r>
          </w:p>
        </w:tc>
        <w:tc>
          <w:tcPr>
            <w:tcW w:type="dxa" w:w="17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$500–$2,000</w:t>
            </w:r>
          </w:p>
        </w:tc>
        <w:tc>
          <w:tcPr>
            <w:tcW w:type="dxa" w:w="28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Paid creator posts, light TikTok/Meta tests, design help, ASO tools.</w:t>
            </w:r>
          </w:p>
        </w:tc>
        <w:tc>
          <w:tcPr>
            <w:tcW w:type="dxa" w:w="28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Once D7/D30 retention and 2%+ conversion are proven.</w:t>
            </w:r>
          </w:p>
        </w:tc>
      </w:tr>
      <w:tr>
        <w:tc>
          <w:tcPr>
            <w:tcW w:type="dxa" w:w="19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Funded</w:t>
            </w:r>
          </w:p>
        </w:tc>
        <w:tc>
          <w:tcPr>
            <w:tcW w:type="dxa" w:w="170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$5,000+</w:t>
            </w:r>
          </w:p>
        </w:tc>
        <w:tc>
          <w:tcPr>
            <w:tcW w:type="dxa" w:w="28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Scaled paid acquisition, a part-time B2B sales rep, conference presence.</w:t>
            </w:r>
          </w:p>
        </w:tc>
        <w:tc>
          <w:tcPr>
            <w:tcW w:type="dxa" w:w="288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When LTV:CAC &gt; 3:1 and sponsor demand outpaces founder capacity.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FA" w:sz="1"/>
              <w:left w:val="single" w:color="1F6FB2" w:sz="24"/>
              <w:bottom w:val="single" w:color="EAF3FA" w:sz="1"/>
              <w:right w:val="single" w:color="EAF3FA" w:sz="1"/>
            </w:tcBorders>
            <w:shd w:fill="EA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3D5C"/>
              </w:rPr>
              <w:t xml:space="preserve">The discipline that protects your cash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Don't pay for traffic until organic proves the funnel. </w:t>
            </w:r>
            <w:r>
              <w:t xml:space="preserve">If free content can't convert visitors into retained players, paid traffic just loses money faster. The sponsor revenue can fund paid growth later — that's the sequencing advantage of the two-engine model.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Metrics &amp; the marketing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0F3D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</w:rPr>
              <w:t xml:space="preserve">Early target</w:t>
            </w:r>
          </w:p>
        </w:tc>
      </w:tr>
      <w:tr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Reach</w:t>
            </w:r>
          </w:p>
        </w:tc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Video views / week, follower growth</w:t>
            </w:r>
          </w:p>
        </w:tc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Up week over week; find 1–2 breakout formats</w:t>
            </w:r>
          </w:p>
        </w:tc>
      </w:tr>
      <w:tr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Acquisition</w:t>
            </w:r>
          </w:p>
        </w:tc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Landing → signup rate; installs</w:t>
            </w:r>
          </w:p>
        </w:tc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Signup &gt; 20% of landing visits</w:t>
            </w:r>
          </w:p>
        </w:tc>
      </w:tr>
      <w:tr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Activation</w:t>
            </w:r>
          </w:p>
        </w:tc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% who finish first lesson / first win</w:t>
            </w:r>
          </w:p>
        </w:tc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&gt; 60% reach first win</w:t>
            </w:r>
          </w:p>
        </w:tc>
      </w:tr>
      <w:tr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Retention</w:t>
            </w:r>
          </w:p>
        </w:tc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D7 / D30</w:t>
            </w:r>
          </w:p>
        </w:tc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D7 &gt; 20%, D30 &gt; 10%</w:t>
            </w:r>
          </w:p>
        </w:tc>
      </w:tr>
      <w:tr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Monetization</w:t>
            </w:r>
          </w:p>
        </w:tc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Free → paid conversion; ARPU</w:t>
            </w:r>
          </w:p>
        </w:tc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2–4% conversion year one</w:t>
            </w:r>
          </w:p>
        </w:tc>
      </w:tr>
      <w:tr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Referral</w:t>
            </w:r>
          </w:p>
        </w:tc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Invite rate; K-factor</w:t>
            </w:r>
          </w:p>
        </w:tc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EA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Any positive viral coefficient is gold</w:t>
            </w:r>
          </w:p>
        </w:tc>
      </w:tr>
      <w:tr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</w:rPr>
              <w:t xml:space="preserve">B2B</w:t>
            </w:r>
          </w:p>
        </w:tc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Qualified leads; pilots; close rate</w:t>
            </w:r>
          </w:p>
        </w:tc>
        <w:tc>
          <w:tcPr>
            <w:tcW w:type="dxa" w:w="3120"/>
            <w:tcBorders>
              <w:top w:val="single" w:color="CCD5DD" w:sz="1"/>
              <w:left w:val="single" w:color="CCD5DD" w:sz="1"/>
              <w:bottom w:val="single" w:color="CCD5DD" w:sz="1"/>
              <w:right w:val="single" w:color="CCD5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</w:rPr>
              <w:t xml:space="preserve">10+ leads, 3+ pilots in year one</w:t>
            </w:r>
          </w:p>
        </w:tc>
      </w:tr>
    </w:tbl>
    <w:p>
      <w:pPr>
        <w:spacing w:after="140" w:line="276"/>
      </w:pPr>
      <w:r>
        <w:rPr>
          <w:i/>
          <w:iCs/>
          <w:color w:val="5A6672"/>
        </w:rPr>
        <w:t xml:space="preserve">Review weekly: what content drove signups, where the funnel leaks, and which sponsor conversations advanced. Kill what isn't working fast; pour into what is.</w:t>
      </w:r>
    </w:p>
    <w:p>
      <w:pPr>
        <w:pStyle w:val="Heading2"/>
      </w:pPr>
      <w:r>
        <w:t xml:space="preserve">9.1 Do this in the first two weeks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Publish the landing page with email capture + the free 7-day plan magnet.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Post short-form content daily; repurpose each clip to TikTok, Reels, and Shorts.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Set up analytics (signups, retention, funnel) so launch decisions are data-driven.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Write the sponsor one-pager and build the 15–25 target list.</w:t>
      </w:r>
    </w:p>
    <w:p>
      <w:pPr>
        <w:pBdr>
          <w:bottom w:val="single" w:color="1F6FB2" w:sz="10" w:space="1"/>
        </w:pBdr>
        <w:spacing w:after="120"/>
      </w:pPr>
    </w:p>
    <w:p>
      <w:pPr>
        <w:spacing w:after="140" w:line="276"/>
      </w:pPr>
      <w:r>
        <w:rPr>
          <w:i/>
          <w:iCs/>
          <w:color w:val="0F3D5C"/>
        </w:rPr>
        <w:t xml:space="preserve">Bottom line: grow a free user base with founder-led content and an owned email list, run a parallel founder-led sponsor motion that leads with the Sponsored 7-Day Challenge, and let each engine make the other more credible. Spend nothing on ads until the organic funnel proves itself.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D5DD" w:sz="4" w:space="6"/>
      </w:pBdr>
      <w:tabs>
        <w:tab w:val="right" w:pos="9360"/>
      </w:tabs>
    </w:pPr>
    <w:r>
      <w:rPr>
        <w:color w:val="5A6672"/>
        <w:sz w:val="16"/>
        <w:szCs w:val="16"/>
      </w:rPr>
      <w:t xml:space="preserve">Money Move$ — Marketing Plan</w:t>
    </w:r>
    <w:r>
      <w:rPr>
        <w:sz w:val="16"/>
        <w:szCs w:val="16"/>
      </w:rPr>
      <w:t xml:space="preserve">	</w:t>
    </w:r>
    <w:r>
      <w:rPr>
        <w:color w:val="5A667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B2" w:sz="8" w:space="4"/>
      </w:pBdr>
      <w:spacing w:after="160" w:before="240"/>
      <w:outlineLvl w:val="0"/>
    </w:pPr>
    <w:rPr>
      <w:rFonts w:ascii="Arial" w:cs="Arial" w:eastAsia="Arial" w:hAnsi="Arial"/>
      <w:b/>
      <w:bCs/>
      <w:color w:val="0F3D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6FB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E8A5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Money Move$ — Marketing Plan</dc:title>
  <dc:creator>Money Move$</dc:creator>
  <cp:lastModifiedBy>Un-named</cp:lastModifiedBy>
  <cp:revision>1</cp:revision>
  <dcterms:created xsi:type="dcterms:W3CDTF">2026-06-26T15:50:11.117Z</dcterms:created>
  <dcterms:modified xsi:type="dcterms:W3CDTF">2026-06-26T15:50:11.117Z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