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F3D5C"/>
          <w:sz w:val="64"/>
          <w:szCs w:val="64"/>
        </w:rPr>
        <w:t xml:space="preserve">MONEY MOVE$</w:t>
      </w:r>
    </w:p>
    <w:p>
      <w:pPr>
        <w:spacing w:after="40"/>
      </w:pPr>
      <w:r>
        <w:rPr>
          <w:i/>
          <w:iCs/>
          <w:color w:val="1E8A5A"/>
          <w:sz w:val="28"/>
          <w:szCs w:val="28"/>
        </w:rPr>
        <w:t xml:space="preserve">Small moves. Big future.</w:t>
      </w:r>
    </w:p>
    <w:p>
      <w:pPr>
        <w:pBdr>
          <w:bottom w:val="single" w:color="B8860B" w:sz="10" w:space="1"/>
        </w:pBdr>
        <w:spacing w:after="120"/>
      </w:pPr>
    </w:p>
    <w:p>
      <w:pPr>
        <w:spacing w:after="0" w:before="240"/>
      </w:pPr>
      <w:r>
        <w:rPr>
          <w:b/>
          <w:bCs/>
          <w:color w:val="1F6FB2"/>
          <w:sz w:val="40"/>
          <w:szCs w:val="40"/>
        </w:rPr>
        <w:t xml:space="preserve">Monetization Strategy &amp; Roadmap</w:t>
      </w:r>
    </w:p>
    <w:p>
      <w:pPr>
        <w:spacing w:after="600" w:before="80"/>
      </w:pPr>
      <w:r>
        <w:rPr>
          <w:color w:val="5A6672"/>
          <w:sz w:val="24"/>
          <w:szCs w:val="24"/>
        </w:rPr>
        <w:t xml:space="preserve">How to turn a gamified financial-education app into durable, mission-aligned revenue</w:t>
      </w:r>
    </w:p>
    <w:p>
      <w:pPr>
        <w:spacing w:after="6" w:before="1200"/>
      </w:pPr>
      <w:r>
        <w:rPr>
          <w:color w:val="0F3D5C"/>
          <w:sz w:val="24"/>
          <w:szCs w:val="24"/>
        </w:rPr>
        <w:t xml:space="preserve">Prepared for: David</w:t>
      </w:r>
    </w:p>
    <w:p>
      <w:pPr>
        <w:spacing w:after="20"/>
      </w:pPr>
      <w:r>
        <w:rPr>
          <w:b/>
          <w:bCs/>
          <w:color w:val="1E8A5A"/>
          <w:sz w:val="24"/>
          <w:szCs w:val="24"/>
        </w:rPr>
        <w:t xml:space="preserve">Your Financial Freedom Plan</w:t>
      </w:r>
    </w:p>
    <w:p>
      <w:pPr>
        <w:spacing w:after="20"/>
      </w:pPr>
      <w:r>
        <w:rPr>
          <w:color w:val="0F3D5C"/>
          <w:sz w:val="24"/>
          <w:szCs w:val="24"/>
        </w:rPr>
        <w:t xml:space="preserve">Date: June 25, 2026</w:t>
      </w:r>
    </w:p>
    <w:p>
      <w:pPr>
        <w:spacing w:after="20"/>
      </w:pPr>
      <w:r>
        <w:rPr>
          <w:color w:val="5A6672"/>
          <w:sz w:val="24"/>
          <w:szCs w:val="24"/>
        </w:rPr>
        <w:t xml:space="preserve">Status: Strategy draft v1 — for review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b/>
          <w:bCs/>
        </w:rPr>
        <w:t xml:space="preserve">The product is ready to earn. </w:t>
      </w:r>
      <w:r>
        <w:t xml:space="preserve">Money Move$ is already a full gamified “climb” — worlds and levels, ranks from Penny Pincher to Financially Free, age tracks from Middle School to All Ages, plus XP, coins, streaks, badges and rewards. That engagement engine is the hard part, and it is built. What is missing is a way to capture value from it.</w:t>
      </w:r>
    </w:p>
    <w:p>
      <w:pPr>
        <w:spacing w:after="140" w:line="276"/>
      </w:pPr>
      <w:r>
        <w:rPr>
          <w:b/>
          <w:bCs/>
        </w:rPr>
        <w:t xml:space="preserve">The recommendation, in one line: keep the core free forever, and run two revenue engines at once — a sponsorship / B2B engine that pays the bills now, and a freemium consumer subscription that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A" w:sz="1"/>
              <w:left w:val="single" w:color="1E8A5A" w:sz="24"/>
              <w:bottom w:val="single" w:color="EAF3FA" w:sz="1"/>
              <w:right w:val="single" w:color="EAF3FA" w:sz="1"/>
            </w:tcBorders>
            <w:shd w:fill="EAF3FA" w:val="clear"/>
            <w:tcMar>
              <w:top w:type="dxa" w:w="120"/>
              <w:left w:type="dxa" w:w="160"/>
              <w:bottom w:type="dxa" w:w="120"/>
              <w:right w:type="dxa" w:w="160"/>
            </w:tcMar>
          </w:tcPr>
          <w:p>
            <w:pPr>
              <w:spacing w:after="60"/>
            </w:pPr>
            <w:r>
              <w:rPr>
                <w:b/>
                <w:bCs/>
                <w:color w:val="0F3D5C"/>
              </w:rPr>
              <w:t xml:space="preserve">The core decision</w:t>
            </w:r>
          </w:p>
          <w:p>
            <w:pPr>
              <w:spacing w:after="40" w:line="260"/>
            </w:pPr>
            <w:r>
              <w:rPr>
                <w:b/>
                <w:bCs/>
              </w:rPr>
              <w:t xml:space="preserve">Primary paying customer: </w:t>
            </w:r>
            <w:r>
              <w:t xml:space="preserve">financial institutions and organizations — credit unions, banks, schools and employers — who </w:t>
            </w:r>
            <w:r>
              <w:rPr>
                <w:b/>
                <w:bCs/>
              </w:rPr>
              <w:t xml:space="preserve">sponsor free access</w:t>
            </w:r>
            <w:r>
              <w:t xml:space="preserve"> for their members, students or staff.</w:t>
            </w:r>
          </w:p>
          <w:p>
            <w:pPr>
              <w:spacing w:after="40" w:line="260"/>
            </w:pPr>
            <w:r>
              <w:rPr>
                <w:b/>
                <w:bCs/>
              </w:rPr>
              <w:t xml:space="preserve">Best model for adoption: </w:t>
            </w:r>
            <w:r>
              <w:t xml:space="preserve">freemium. Free removes every barrier to signing up, which is exactly what drives the user growth that sponsors and premium upgrades are both priced against.</w:t>
            </w:r>
          </w:p>
          <w:p>
            <w:pPr>
              <w:spacing w:after="40" w:line="260"/>
            </w:pPr>
            <w:r>
              <w:rPr>
                <w:b/>
                <w:bCs/>
              </w:rPr>
              <w:t xml:space="preserve">Why both: </w:t>
            </w:r>
            <w:r>
              <w:t xml:space="preserve">sponsors fund reach and give near-term cash; the consumer premium tier turns that reach into high-margin recurring revenue. Each engine makes the other more valuable.</w:t>
            </w:r>
          </w:p>
        </w:tc>
      </w:tr>
    </w:tbl>
    <w:p>
      <w:pPr>
        <w:spacing w:after="140" w:line="276"/>
      </w:pPr>
      <w:r>
        <w:t xml:space="preserve">This mirrors the two proven playbooks in this exact category. </w:t>
      </w:r>
      <w:r>
        <w:rPr>
          <w:b/>
          <w:bCs/>
        </w:rPr>
        <w:t xml:space="preserve">Zogo</w:t>
      </w:r>
      <w:r>
        <w:t xml:space="preserve"> and </w:t>
      </w:r>
      <w:r>
        <w:rPr>
          <w:b/>
          <w:bCs/>
        </w:rPr>
        <w:t xml:space="preserve">EVERFI</w:t>
      </w:r>
      <w:r>
        <w:t xml:space="preserve"> reach millions of learners by being free to the user and paid for by sponsoring banks and schools. </w:t>
      </w:r>
      <w:r>
        <w:rPr>
          <w:b/>
          <w:bCs/>
        </w:rPr>
        <w:t xml:space="preserve">Duolingo</w:t>
      </w:r>
      <w:r>
        <w:t xml:space="preserve"> turns a free gamified app into ~9% paid penetration of its user base. Money Move$ can run both because its content spans kids and adults, which means both a school/sponsor buyer and a direct-to-consumer buyer are available.</w:t>
      </w:r>
    </w:p>
    <w:p>
      <w:pPr>
        <w:spacing w:after="140" w:line="276"/>
      </w:pPr>
      <w:r>
        <w:rPr>
          <w:b/>
          <w:bCs/>
        </w:rPr>
        <w:t xml:space="preserve">Headline 12-month target: </w:t>
      </w:r>
      <w:r>
        <w:t xml:space="preserve">a realistic path to roughly $90k–$220k in first-year revenue from a standing start — the bulk from 5–15 institutional sponsors, the remainder from consumer premium and affiliate. The revenue math behind that range is in Section 6.</w:t>
      </w:r>
    </w:p>
    <w:p>
      <w:r>
        <w:br w:type="page"/>
      </w:r>
    </w:p>
    <w:p>
      <w:pPr>
        <w:pStyle w:val="Heading1"/>
      </w:pPr>
      <w:r>
        <w:t xml:space="preserve">2. What you already have (the asset)</w:t>
      </w:r>
    </w:p>
    <w:p>
      <w:pPr>
        <w:spacing w:after="140" w:line="276"/>
      </w:pPr>
      <w:r>
        <w:t xml:space="preserve">A monetization plan is only as good as the product under it. Money Move$ is unusually far along for a pre-revenue app:</w:t>
      </w:r>
    </w:p>
    <w:p>
      <w:pPr>
        <w:pStyle w:val="ListParagraph"/>
        <w:numPr>
          <w:ilvl w:val="0"/>
          <w:numId w:val="2"/>
        </w:numPr>
        <w:spacing w:after="80" w:line="268"/>
      </w:pPr>
      <w:r>
        <w:rPr>
          <w:b/>
          <w:bCs/>
        </w:rPr>
        <w:t xml:space="preserve">A real game loop. </w:t>
      </w:r>
      <w:r>
        <w:t xml:space="preserve">Worlds, levels, and an “Endless Ascent” — the kind of progression that creates daily-habit retention rather than one-time visits.</w:t>
      </w:r>
    </w:p>
    <w:p>
      <w:pPr>
        <w:pStyle w:val="ListParagraph"/>
        <w:numPr>
          <w:ilvl w:val="0"/>
          <w:numId w:val="2"/>
        </w:numPr>
        <w:spacing w:after="80" w:line="268"/>
      </w:pPr>
      <w:r>
        <w:rPr>
          <w:b/>
          <w:bCs/>
        </w:rPr>
        <w:t xml:space="preserve">A rank ladder. </w:t>
      </w:r>
      <w:r>
        <w:t xml:space="preserve">Penny Pincher → Saver → Builder → Investor → Compounder → Financially Free. Identity and status, the same lever King and Candy Crush use to keep players climbing.</w:t>
      </w:r>
    </w:p>
    <w:p>
      <w:pPr>
        <w:pStyle w:val="ListParagraph"/>
        <w:numPr>
          <w:ilvl w:val="0"/>
          <w:numId w:val="2"/>
        </w:numPr>
        <w:spacing w:after="80" w:line="268"/>
      </w:pPr>
      <w:r>
        <w:rPr>
          <w:b/>
          <w:bCs/>
        </w:rPr>
        <w:t xml:space="preserve">Age tracks. </w:t>
      </w:r>
      <w:r>
        <w:t xml:space="preserve">Middle School, High School, College, Young Adult, All Ages — this is what lets you sell to both schools and adults from one codebase.</w:t>
      </w:r>
    </w:p>
    <w:p>
      <w:pPr>
        <w:pStyle w:val="ListParagraph"/>
        <w:numPr>
          <w:ilvl w:val="0"/>
          <w:numId w:val="2"/>
        </w:numPr>
        <w:spacing w:after="80" w:line="268"/>
      </w:pPr>
      <w:r>
        <w:rPr>
          <w:b/>
          <w:bCs/>
        </w:rPr>
        <w:t xml:space="preserve">Reward currency. </w:t>
      </w:r>
      <w:r>
        <w:t xml:space="preserve">XP, coins, streaks and badges already exist — the rails for both a rewards store and sponsor-funded prizes.</w:t>
      </w:r>
    </w:p>
    <w:p>
      <w:pPr>
        <w:pStyle w:val="ListParagraph"/>
        <w:numPr>
          <w:ilvl w:val="0"/>
          <w:numId w:val="2"/>
        </w:numPr>
        <w:spacing w:after="80" w:line="268"/>
      </w:pPr>
      <w:r>
        <w:rPr>
          <w:b/>
          <w:bCs/>
        </w:rPr>
        <w:t xml:space="preserve">Real curriculum. </w:t>
      </w:r>
      <w:r>
        <w:t xml:space="preserve">The six money moves, traps to dodge, a toolkit, a 7-day challenge, plus a “Hustle” build-your-own-business track. Substantive enough to satisfy a school or sponsor's education requirements.</w:t>
      </w:r>
    </w:p>
    <w:p>
      <w:pPr>
        <w:spacing w:after="140" w:line="276"/>
      </w:pPr>
      <w:r>
        <w:rPr>
          <w:b/>
          <w:bCs/>
        </w:rPr>
        <w:t xml:space="preserve">The gap: </w:t>
      </w:r>
      <w:r>
        <w:t xml:space="preserve">there is no account system, no payment processing, and only stub references to “premium.” Closing that gap is Phase 0 of the roadmap and the single highest-leverage thing to build next.</w:t>
      </w:r>
    </w:p>
    <w:p>
      <w:r>
        <w:br w:type="page"/>
      </w:r>
    </w:p>
    <w:p>
      <w:pPr>
        <w:pStyle w:val="Heading1"/>
      </w:pPr>
      <w:r>
        <w:t xml:space="preserve">3. What works in this market</w:t>
      </w:r>
    </w:p>
    <w:p>
      <w:pPr>
        <w:spacing w:after="140" w:line="276"/>
      </w:pPr>
      <w:r>
        <w:t xml:space="preserve">Four comparables define the proven paths. They sort cleanly into the two engines this plan recommends.</w:t>
      </w:r>
    </w:p>
    <w:p>
      <w:pPr>
        <w:pStyle w:val="Heading2"/>
      </w:pPr>
      <w:r>
        <w:t xml:space="preserve">3.1 The sponsorship / B2B engine (free to users, paid by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Company</w:t>
            </w:r>
          </w:p>
        </w:tc>
        <w:tc>
          <w:tcPr>
            <w:tcW w:type="dxa" w:w="44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How it makes money</w:t>
            </w:r>
          </w:p>
        </w:tc>
        <w:tc>
          <w:tcPr>
            <w:tcW w:type="dxa" w:w="276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Lesson for Money Move$</w:t>
            </w:r>
          </w:p>
        </w:tc>
      </w:tr>
      <w:tr>
        <w:tc>
          <w:tcPr>
            <w:tcW w:type="dxa" w:w="22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Zogo</w:t>
            </w:r>
          </w:p>
        </w:tc>
        <w:tc>
          <w:tcPr>
            <w:tcW w:type="dxa" w:w="44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Credit unions and banks pay to sponsor co-branded, gamified financial education; it is free to the end user, and sponsors get engagement, loyalty, and a pipeline of younger members.</w:t>
            </w:r>
          </w:p>
        </w:tc>
        <w:tc>
          <w:tcPr>
            <w:tcW w:type="dxa" w:w="27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A near-exact template. Money Move$ is more game-like, which is a selling point to the same buyers.</w:t>
            </w:r>
          </w:p>
        </w:tc>
      </w:tr>
      <w:tr>
        <w:tc>
          <w:tcPr>
            <w:tcW w:type="dxa" w:w="22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EVERFI</w:t>
            </w:r>
          </w:p>
        </w:tc>
        <w:tc>
          <w:tcPr>
            <w:tcW w:type="dxa" w:w="44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Free to K-12 schools; funded by corporate sponsors (banks like JPMorgan Chase) plus institutional licensing. Reaches ~9 million learners a year.</w:t>
            </w:r>
          </w:p>
        </w:tc>
        <w:tc>
          <w:tcPr>
            <w:tcW w:type="dxa" w:w="27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Schools are reachable for free if a sponsor foots the bill — faster than selling into school budgets.</w:t>
            </w:r>
          </w:p>
        </w:tc>
      </w:tr>
    </w:tbl>
    <w:p>
      <w:pPr>
        <w:spacing w:after="140" w:line="276"/>
      </w:pPr>
      <w:r>
        <w:rPr>
          <w:i/>
          <w:iCs/>
          <w:color w:val="5A6672"/>
        </w:rPr>
        <w:t xml:space="preserve">Takeaway: institutions will pay for reach and goodwill while keeping the product free to the learner — which protects adoption.</w:t>
      </w:r>
    </w:p>
    <w:p>
      <w:pPr>
        <w:pStyle w:val="Heading2"/>
      </w:pPr>
      <w:r>
        <w:t xml:space="preserve">3.2 The consumer engine (paid by families and adults)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Company</w:t>
            </w:r>
          </w:p>
        </w:tc>
        <w:tc>
          <w:tcPr>
            <w:tcW w:type="dxa" w:w="44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Pricing (2026)</w:t>
            </w:r>
          </w:p>
        </w:tc>
        <w:tc>
          <w:tcPr>
            <w:tcW w:type="dxa" w:w="276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Lesson for Money Move$</w:t>
            </w:r>
          </w:p>
        </w:tc>
      </w:tr>
      <w:tr>
        <w:tc>
          <w:tcPr>
            <w:tcW w:type="dxa" w:w="22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Greenlight</w:t>
            </w:r>
          </w:p>
        </w:tc>
        <w:tc>
          <w:tcPr>
            <w:tcW w:type="dxa" w:w="44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~$5.99/mo family Core (up to 5 kids); ~$10.98/mo Max with investing.</w:t>
            </w:r>
          </w:p>
        </w:tc>
        <w:tc>
          <w:tcPr>
            <w:tcW w:type="dxa" w:w="27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Families already pay ~$6–$11/mo for kids' money tools. Price your Family tier in this band.</w:t>
            </w:r>
          </w:p>
        </w:tc>
      </w:tr>
      <w:tr>
        <w:tc>
          <w:tcPr>
            <w:tcW w:type="dxa" w:w="22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Acorns Early (was GoHenry)</w:t>
            </w:r>
          </w:p>
        </w:tc>
        <w:tc>
          <w:tcPr>
            <w:tcW w:type="dxa" w:w="44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~$8/mo for up to 4 kids.</w:t>
            </w:r>
          </w:p>
        </w:tc>
        <w:tc>
          <w:tcPr>
            <w:tcW w:type="dxa" w:w="27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Confirms family willingness-to-pay and the up-to-N-kids packaging.</w:t>
            </w:r>
          </w:p>
        </w:tc>
      </w:tr>
      <w:tr>
        <w:tc>
          <w:tcPr>
            <w:tcW w:type="dxa" w:w="22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Duolingo</w:t>
            </w:r>
          </w:p>
        </w:tc>
        <w:tc>
          <w:tcPr>
            <w:tcW w:type="dxa" w:w="44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Free core; paid penetration ~9% of monthly users, 11.5M+ paid subscribers.</w:t>
            </w:r>
          </w:p>
        </w:tc>
        <w:tc>
          <w:tcPr>
            <w:tcW w:type="dxa" w:w="27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The freemium gold standard for gamified learning. A few % of a large free base is a real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D" w:sz="1"/>
              <w:left w:val="single" w:color="B8860B" w:sz="24"/>
              <w:bottom w:val="single" w:color="FBF3DD" w:sz="1"/>
              <w:right w:val="single" w:color="FBF3DD" w:sz="1"/>
            </w:tcBorders>
            <w:shd w:fill="FBF3DD" w:val="clear"/>
            <w:tcMar>
              <w:top w:type="dxa" w:w="120"/>
              <w:left w:type="dxa" w:w="160"/>
              <w:bottom w:type="dxa" w:w="120"/>
              <w:right w:type="dxa" w:w="160"/>
            </w:tcMar>
          </w:tcPr>
          <w:p>
            <w:pPr>
              <w:spacing w:after="60"/>
            </w:pPr>
            <w:r>
              <w:rPr>
                <w:b/>
                <w:bCs/>
                <w:color w:val="0F3D5C"/>
              </w:rPr>
              <w:t xml:space="preserve">Why freemium is the right adoption model</w:t>
            </w:r>
          </w:p>
          <w:p>
            <w:pPr>
              <w:spacing w:after="40" w:line="260"/>
            </w:pPr>
            <w:r>
              <w:t xml:space="preserve">Greenlight and Acorns Early gate the whole product behind a card + subscription. Duolingo and Zogo let anyone in free and monetize a slice. For a learning mission aimed at “all ages,” </w:t>
            </w:r>
            <w:r>
              <w:rPr>
                <w:b/>
                <w:bCs/>
              </w:rPr>
              <w:t xml:space="preserve">free-to-play wins on reach</w:t>
            </w:r>
            <w:r>
              <w:t xml:space="preserve"> — and reach is the number both sponsors and premium upgrades are priced against. Lock the product and you suppress the exact growth your revenue depends on.</w:t>
            </w:r>
          </w:p>
        </w:tc>
      </w:tr>
    </w:tbl>
    <w:p>
      <w:r>
        <w:br w:type="page"/>
      </w:r>
    </w:p>
    <w:p>
      <w:pPr>
        <w:pStyle w:val="Heading1"/>
      </w:pPr>
      <w:r>
        <w:t xml:space="preserve">4. The recommended model: two engines, one free product</w:t>
      </w:r>
    </w:p>
    <w:p>
      <w:pPr>
        <w:spacing w:after="140" w:line="276"/>
      </w:pPr>
      <w:r>
        <w:t xml:space="preserve">Keep the core climb free for everyone, forever. Layer revenue on top through two engines that share the same growing user base.</w:t>
      </w:r>
    </w:p>
    <w:p>
      <w:pPr>
        <w:pStyle w:val="Heading2"/>
      </w:pPr>
      <w:r>
        <w:t xml:space="preserve">Engine A — Sponsorship &amp; B2B (primary, near-term)</w:t>
      </w:r>
    </w:p>
    <w:p>
      <w:pPr>
        <w:spacing w:after="140" w:line="276"/>
      </w:pPr>
      <w:r>
        <w:t xml:space="preserve">Institutions pay to put Money Move$ in front of their people. This is the primary engine because it produces real cash in the first few months, and the sponsor does your distribution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Buyer</w:t>
            </w:r>
          </w:p>
        </w:tc>
        <w:tc>
          <w:tcPr>
            <w:tcW w:type="dxa" w:w="36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What they pay for</w:t>
            </w:r>
          </w:p>
        </w:tc>
        <w:tc>
          <w:tcPr>
            <w:tcW w:type="dxa" w:w="316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Indicative price</w:t>
            </w:r>
          </w:p>
        </w:tc>
      </w:tr>
      <w:tr>
        <w:tc>
          <w:tcPr>
            <w:tcW w:type="dxa" w:w="2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Credit unions &amp; community banks</w:t>
            </w:r>
          </w:p>
        </w:tc>
        <w:tc>
          <w:tcPr>
            <w:tcW w:type="dxa" w:w="3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Co-branded sponsorship: free access for members, their logo in-app, a financial-wellness story, and a soft pipeline to younger members.</w:t>
            </w:r>
          </w:p>
        </w:tc>
        <w:tc>
          <w:tcPr>
            <w:tcW w:type="dxa" w:w="31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$8k–$40k / year, tiered by asset size</w:t>
            </w:r>
          </w:p>
        </w:tc>
      </w:tr>
      <w:tr>
        <w:tc>
          <w:tcPr>
            <w:tcW w:type="dxa" w:w="2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Schools &amp; districts</w:t>
            </w:r>
          </w:p>
        </w:tc>
        <w:tc>
          <w:tcPr>
            <w:tcW w:type="dxa" w:w="3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Standards-aligned access for students + a teacher dashboard. Sell direct as a license, or land it sponsor-funded (a local bank pays).</w:t>
            </w:r>
          </w:p>
        </w:tc>
        <w:tc>
          <w:tcPr>
            <w:tcW w:type="dxa" w:w="31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$3–$8 / student / yr, or flat per building</w:t>
            </w:r>
          </w:p>
        </w:tc>
      </w:tr>
      <w:tr>
        <w:tc>
          <w:tcPr>
            <w:tcW w:type="dxa" w:w="2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Employers (financial wellness)</w:t>
            </w:r>
          </w:p>
        </w:tc>
        <w:tc>
          <w:tcPr>
            <w:tcW w:type="dxa" w:w="3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Money Move$ as a staff benefit; admin reporting on participation.</w:t>
            </w:r>
          </w:p>
        </w:tc>
        <w:tc>
          <w:tcPr>
            <w:tcW w:type="dxa" w:w="31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$2–$5 per employee / month</w:t>
            </w:r>
          </w:p>
        </w:tc>
      </w:tr>
      <w:tr>
        <w:tc>
          <w:tcPr>
            <w:tcW w:type="dxa" w:w="2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Nonprofits &amp; libraries</w:t>
            </w:r>
          </w:p>
        </w:tc>
        <w:tc>
          <w:tcPr>
            <w:tcW w:type="dxa" w:w="3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Community financial-literacy programming, often grant-funded.</w:t>
            </w:r>
          </w:p>
        </w:tc>
        <w:tc>
          <w:tcPr>
            <w:tcW w:type="dxa" w:w="31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Grant-sized flat fees</w:t>
            </w:r>
          </w:p>
        </w:tc>
      </w:tr>
    </w:tbl>
    <w:p>
      <w:pPr>
        <w:pStyle w:val="Heading2"/>
      </w:pPr>
      <w:r>
        <w:t xml:space="preserve">Engine B — Consumer freemium (compounding, recurring)</w:t>
      </w:r>
    </w:p>
    <w:p>
      <w:pPr>
        <w:spacing w:after="140" w:line="276"/>
      </w:pPr>
      <w:r>
        <w:t xml:space="preserve">Everything stays playable free. A premium tier removes friction and adds depth for the players (and parents) who want more. This is the high-margin engine that compounds as the free base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300"/>
        <w:gridCol w:w="3060"/>
      </w:tblGrid>
      <w:tr>
        <w:trPr>
          <w:tblHeader/>
        </w:trPr>
        <w:tc>
          <w:tcPr>
            <w:tcW w:type="dxa" w:w="19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Tier</w:t>
            </w:r>
          </w:p>
        </w:tc>
        <w:tc>
          <w:tcPr>
            <w:tcW w:type="dxa" w:w="21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Price</w:t>
            </w:r>
          </w:p>
        </w:tc>
        <w:tc>
          <w:tcPr>
            <w:tcW w:type="dxa" w:w="23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Who</w:t>
            </w:r>
          </w:p>
        </w:tc>
        <w:tc>
          <w:tcPr>
            <w:tcW w:type="dxa" w:w="306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What's included</w:t>
            </w:r>
          </w:p>
        </w:tc>
      </w:tr>
      <w:tr>
        <w:tc>
          <w:tcPr>
            <w:tcW w:type="dxa" w:w="19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Free</w:t>
            </w:r>
          </w:p>
        </w:tc>
        <w:tc>
          <w:tcPr>
            <w:tcW w:type="dxa" w:w="21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$0 forever</w:t>
            </w:r>
          </w:p>
        </w:tc>
        <w:tc>
          <w:tcPr>
            <w:tcW w:type="dxa" w:w="23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Everyone</w:t>
            </w:r>
          </w:p>
        </w:tc>
        <w:tc>
          <w:tcPr>
            <w:tcW w:type="dxa" w:w="30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Full core climb, limited daily energy/lives, core worlds, basic badges. The on-ramp.</w:t>
            </w:r>
          </w:p>
        </w:tc>
      </w:tr>
      <w:tr>
        <w:tc>
          <w:tcPr>
            <w:tcW w:type="dxa" w:w="19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Pro</w:t>
            </w:r>
          </w:p>
        </w:tc>
        <w:tc>
          <w:tcPr>
            <w:tcW w:type="dxa" w:w="21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$4.99/mo or $39.99/yr</w:t>
            </w:r>
          </w:p>
        </w:tc>
        <w:tc>
          <w:tcPr>
            <w:tcW w:type="dxa" w:w="23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Adults &amp; teens</w:t>
            </w:r>
          </w:p>
        </w:tc>
        <w:tc>
          <w:tcPr>
            <w:tcW w:type="dxa" w:w="30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Unlimited energy, all worlds, advanced tools/calculators, streak insurance, no ads, exclusive badges.</w:t>
            </w:r>
          </w:p>
        </w:tc>
      </w:tr>
      <w:tr>
        <w:tc>
          <w:tcPr>
            <w:tcW w:type="dxa" w:w="19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Family</w:t>
            </w:r>
          </w:p>
        </w:tc>
        <w:tc>
          <w:tcPr>
            <w:tcW w:type="dxa" w:w="21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$7.99/mo or $59.99/yr</w:t>
            </w:r>
          </w:p>
        </w:tc>
        <w:tc>
          <w:tcPr>
            <w:tcW w:type="dxa" w:w="23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Parents</w:t>
            </w:r>
          </w:p>
        </w:tc>
        <w:tc>
          <w:tcPr>
            <w:tcW w:type="dxa" w:w="306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Up to 5 profiles, parent dashboard, age-track controls, progress reports. Priced with Greenlight/Acorns.</w:t>
            </w:r>
          </w:p>
        </w:tc>
      </w:tr>
      <w:tr>
        <w:tc>
          <w:tcPr>
            <w:tcW w:type="dxa" w:w="19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Lifetime</w:t>
            </w:r>
          </w:p>
        </w:tc>
        <w:tc>
          <w:tcPr>
            <w:tcW w:type="dxa" w:w="21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$99 one-time</w:t>
            </w:r>
          </w:p>
        </w:tc>
        <w:tc>
          <w:tcPr>
            <w:tcW w:type="dxa" w:w="23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Superfans</w:t>
            </w:r>
          </w:p>
        </w:tc>
        <w:tc>
          <w:tcPr>
            <w:tcW w:type="dxa" w:w="306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All Pro features forever. A periodic FOMO offer to pull cash forward.</w:t>
            </w:r>
          </w:p>
        </w:tc>
      </w:tr>
    </w:tbl>
    <w:p>
      <w:pPr>
        <w:pStyle w:val="Heading2"/>
      </w:pPr>
      <w:r>
        <w:t xml:space="preserve">Engine C — Affiliate &amp; rewards partnerships (supplemental)</w:t>
      </w:r>
    </w:p>
    <w:p>
      <w:pPr>
        <w:spacing w:after="140" w:line="276"/>
      </w:pPr>
      <w:r>
        <w:t xml:space="preserve">The curriculum already points people toward exactly the products that pay referral commissions — “go credit union,” “buy the index inside a Roth IRA,” “cover your family for ~$1/day.” Done ethically and transparently, these become a third revenue line and a better user experience:</w:t>
      </w:r>
    </w:p>
    <w:p>
      <w:pPr>
        <w:pStyle w:val="ListParagraph"/>
        <w:numPr>
          <w:ilvl w:val="0"/>
          <w:numId w:val="2"/>
        </w:numPr>
        <w:spacing w:after="80" w:line="268"/>
      </w:pPr>
      <w:r>
        <w:rPr>
          <w:b/>
          <w:bCs/>
        </w:rPr>
        <w:t xml:space="preserve">Credit-union / banking referrals </w:t>
      </w:r>
      <w:r>
        <w:t xml:space="preserve">(ties directly into Engine A sponsors).</w:t>
      </w:r>
    </w:p>
    <w:p>
      <w:pPr>
        <w:pStyle w:val="ListParagraph"/>
        <w:numPr>
          <w:ilvl w:val="0"/>
          <w:numId w:val="2"/>
        </w:numPr>
        <w:spacing w:after="80" w:line="268"/>
      </w:pPr>
      <w:r>
        <w:rPr>
          <w:b/>
          <w:bCs/>
        </w:rPr>
        <w:t xml:space="preserve">Brokerage &amp; Roth IRA sign-ups </w:t>
      </w:r>
      <w:r>
        <w:t xml:space="preserve">with reputable, low-cost providers.</w:t>
      </w:r>
    </w:p>
    <w:p>
      <w:pPr>
        <w:pStyle w:val="ListParagraph"/>
        <w:numPr>
          <w:ilvl w:val="0"/>
          <w:numId w:val="2"/>
        </w:numPr>
        <w:spacing w:after="80" w:line="268"/>
      </w:pPr>
      <w:r>
        <w:rPr>
          <w:b/>
          <w:bCs/>
        </w:rPr>
        <w:t xml:space="preserve">Term-life insurance quotes </w:t>
      </w:r>
      <w:r>
        <w:t xml:space="preserve">(the “$1/day” move).</w:t>
      </w:r>
    </w:p>
    <w:p>
      <w:pPr>
        <w:pStyle w:val="ListParagraph"/>
        <w:numPr>
          <w:ilvl w:val="0"/>
          <w:numId w:val="2"/>
        </w:numPr>
        <w:spacing w:after="80" w:line="268"/>
      </w:pPr>
      <w:r>
        <w:rPr>
          <w:b/>
          <w:bCs/>
        </w:rPr>
        <w:t xml:space="preserve">Rewards-store fulfillment </w:t>
      </w:r>
      <w:r>
        <w:t xml:space="preserve">— coins redeem for gift cards or sponsor perks, funded by partners (the Zogo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D" w:sz="1"/>
              <w:left w:val="single" w:color="B8860B" w:sz="24"/>
              <w:bottom w:val="single" w:color="FBF3DD" w:sz="1"/>
              <w:right w:val="single" w:color="FBF3DD" w:sz="1"/>
            </w:tcBorders>
            <w:shd w:fill="FBF3DD" w:val="clear"/>
            <w:tcMar>
              <w:top w:type="dxa" w:w="120"/>
              <w:left w:type="dxa" w:w="160"/>
              <w:bottom w:type="dxa" w:w="120"/>
              <w:right w:type="dxa" w:w="160"/>
            </w:tcMar>
          </w:tcPr>
          <w:p>
            <w:pPr>
              <w:spacing w:after="60"/>
            </w:pPr>
            <w:r>
              <w:rPr>
                <w:b/>
                <w:bCs/>
                <w:color w:val="0F3D5C"/>
              </w:rPr>
              <w:t xml:space="preserve">Guardrail: ethics first, because your audience includes minors</w:t>
            </w:r>
          </w:p>
          <w:p>
            <w:pPr>
              <w:spacing w:after="40" w:line="260"/>
            </w:pPr>
            <w:r>
              <w:rPr>
                <w:b/>
                <w:bCs/>
              </w:rPr>
              <w:t xml:space="preserve">Do not </w:t>
            </w:r>
            <w:r>
              <w:t xml:space="preserve">use loot-box, pay-to-win, or manipulative spend mechanics on under-18 users. Keep kid monetization to sponsor-funded access and parent-paid Family plans only.</w:t>
            </w:r>
          </w:p>
          <w:p>
            <w:pPr>
              <w:spacing w:after="40" w:line="260"/>
            </w:pPr>
            <w:r>
              <w:rPr>
                <w:b/>
                <w:bCs/>
              </w:rPr>
              <w:t xml:space="preserve">Do </w:t>
            </w:r>
            <w:r>
              <w:t xml:space="preserve">keep premium about depth and convenience (no ads, more content, insights), and label every affiliate link clearly. Trust is the asset that makes the mission — and the business — work.</w:t>
            </w:r>
          </w:p>
        </w:tc>
      </w:tr>
    </w:tbl>
    <w:p>
      <w:r>
        <w:br w:type="page"/>
      </w:r>
    </w:p>
    <w:p>
      <w:pPr>
        <w:pStyle w:val="Heading1"/>
      </w:pPr>
      <w:r>
        <w:t xml:space="preserve">5. Turning game mechanics into revenue (the King / Candy Crush layer)</w:t>
      </w:r>
    </w:p>
    <w:p>
      <w:pPr>
        <w:spacing w:after="140" w:line="276"/>
      </w:pPr>
      <w:r>
        <w:t xml:space="preserve">The brief asked for the engagement tricks of the best games. Those same mechanics, already in the app, are also the conversion levers — used ethically: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Mechanic (you have it)</w:t>
            </w:r>
          </w:p>
        </w:tc>
        <w:tc>
          <w:tcPr>
            <w:tcW w:type="dxa" w:w="338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Keeps players coming back</w:t>
            </w:r>
          </w:p>
        </w:tc>
        <w:tc>
          <w:tcPr>
            <w:tcW w:type="dxa" w:w="338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How it converts (ethically)</w:t>
            </w:r>
          </w:p>
        </w:tc>
      </w:tr>
      <w:tr>
        <w:tc>
          <w:tcPr>
            <w:tcW w:type="dxa" w:w="2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Energy / lives</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Natural session pacing; a reason to return tomorrow.</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Pro removes the cap — the #1 reason adults upgrade in this genre.</w:t>
            </w:r>
          </w:p>
        </w:tc>
      </w:tr>
      <w:tr>
        <w:tc>
          <w:tcPr>
            <w:tcW w:type="dxa" w:w="2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Streaks</w:t>
            </w:r>
          </w:p>
        </w:tc>
        <w:tc>
          <w:tcPr>
            <w:tcW w:type="dxa" w:w="338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Loss-aversion; daily habit.</w:t>
            </w:r>
          </w:p>
        </w:tc>
        <w:tc>
          <w:tcPr>
            <w:tcW w:type="dxa" w:w="338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“Streak insurance” is a top Pro feature; milestones unlock sponsor rewards.</w:t>
            </w:r>
          </w:p>
        </w:tc>
      </w:tr>
      <w:tr>
        <w:tc>
          <w:tcPr>
            <w:tcW w:type="dxa" w:w="2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Coins &amp; rewards store</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A goal to grind toward.</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Coins redeem for real sponsor-funded prizes; Pro earns coins faster.</w:t>
            </w:r>
          </w:p>
        </w:tc>
      </w:tr>
      <w:tr>
        <w:tc>
          <w:tcPr>
            <w:tcW w:type="dxa" w:w="26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Ranks &amp; badges</w:t>
            </w:r>
          </w:p>
        </w:tc>
        <w:tc>
          <w:tcPr>
            <w:tcW w:type="dxa" w:w="338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Identity, status, completion.</w:t>
            </w:r>
          </w:p>
        </w:tc>
        <w:tc>
          <w:tcPr>
            <w:tcW w:type="dxa" w:w="338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Exclusive Pro badges/skins; “season” badges drive a battle-pass-style pass.</w:t>
            </w:r>
          </w:p>
        </w:tc>
      </w:tr>
      <w:tr>
        <w:tc>
          <w:tcPr>
            <w:tcW w:type="dxa" w:w="26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Leaderboards / challenges</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Social competition.</w:t>
            </w:r>
          </w:p>
        </w:tc>
        <w:tc>
          <w:tcPr>
            <w:tcW w:type="dxa" w:w="338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Sponsor-branded challenges (“The ___ Credit Union 7-Day Challenge”) — a sellable unit.</w:t>
            </w:r>
          </w:p>
        </w:tc>
      </w:tr>
    </w:tbl>
    <w:p>
      <w:pPr>
        <w:spacing w:after="140" w:line="276"/>
      </w:pPr>
      <w:r>
        <w:rPr>
          <w:b/>
          <w:bCs/>
        </w:rPr>
        <w:t xml:space="preserve">A concrete sellable product: </w:t>
      </w:r>
      <w:r>
        <w:t xml:space="preserve">the existing 7-Day Money Challenge becomes a </w:t>
      </w:r>
      <w:r>
        <w:rPr>
          <w:b/>
          <w:bCs/>
        </w:rPr>
        <w:t xml:space="preserve">sponsored seasonal event</w:t>
      </w:r>
      <w:r>
        <w:t xml:space="preserve">. A credit union pays to brand it, fund the prizes, and reach every participant — bundling Engine A revenue with your best retention feature.</w:t>
      </w:r>
    </w:p>
    <w:p>
      <w:r>
        <w:br w:type="page"/>
      </w:r>
    </w:p>
    <w:p>
      <w:pPr>
        <w:pStyle w:val="Heading1"/>
      </w:pPr>
      <w:r>
        <w:t xml:space="preserve">6. Revenue math (illustrative)</w:t>
      </w:r>
    </w:p>
    <w:p>
      <w:pPr>
        <w:spacing w:after="140" w:line="276"/>
      </w:pPr>
      <w:r>
        <w:rPr>
          <w:i/>
          <w:iCs/>
          <w:color w:val="5A6672"/>
        </w:rPr>
        <w:t xml:space="preserve">Figures are planning scenarios, not forecasts — they show the shape of the model and what each lever is worth. Real numbers depend on traffic and sales execution.</w:t>
      </w:r>
    </w:p>
    <w:p>
      <w:pPr>
        <w:pStyle w:val="Heading2"/>
      </w:pPr>
      <w:r>
        <w:t xml:space="preserve">6.1 First-year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Lever</w:t>
            </w:r>
          </w:p>
        </w:tc>
        <w:tc>
          <w:tcPr>
            <w:tcW w:type="dxa" w:w="23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Conservative</w:t>
            </w:r>
          </w:p>
        </w:tc>
        <w:tc>
          <w:tcPr>
            <w:tcW w:type="dxa" w:w="23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Base</w:t>
            </w:r>
          </w:p>
        </w:tc>
        <w:tc>
          <w:tcPr>
            <w:tcW w:type="dxa" w:w="23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Stretch</w:t>
            </w:r>
          </w:p>
        </w:tc>
      </w:tr>
      <w:tr>
        <w:tc>
          <w:tcPr>
            <w:tcW w:type="dxa" w:w="24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Institutional sponsors</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5 @ ~$10k = $50k</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10 @ ~$12k = $120k</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15 @ ~$12k = $180k</w:t>
            </w:r>
          </w:p>
        </w:tc>
      </w:tr>
      <w:tr>
        <w:tc>
          <w:tcPr>
            <w:tcW w:type="dxa" w:w="24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Consumer premium (annualized)</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$22k</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$55k</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$110k</w:t>
            </w:r>
          </w:p>
        </w:tc>
      </w:tr>
      <w:tr>
        <w:tc>
          <w:tcPr>
            <w:tcW w:type="dxa" w:w="240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Affiliate &amp; rewards</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$5k</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$15k</w:t>
            </w:r>
          </w:p>
        </w:tc>
        <w:tc>
          <w:tcPr>
            <w:tcW w:type="dxa" w:w="23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$35k</w:t>
            </w:r>
          </w:p>
        </w:tc>
      </w:tr>
      <w:tr>
        <w:tc>
          <w:tcPr>
            <w:tcW w:type="dxa" w:w="240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Total Year 1</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~$77k</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~$190k</w:t>
            </w:r>
          </w:p>
        </w:tc>
        <w:tc>
          <w:tcPr>
            <w:tcW w:type="dxa" w:w="23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~$325k</w:t>
            </w:r>
          </w:p>
        </w:tc>
      </w:tr>
    </w:tbl>
    <w:p>
      <w:pPr>
        <w:pStyle w:val="Heading2"/>
      </w:pPr>
      <w:r>
        <w:t xml:space="preserve">6.2 What drives the consumer line</w:t>
      </w:r>
    </w:p>
    <w:p>
      <w:pPr>
        <w:spacing w:after="140" w:line="276"/>
      </w:pPr>
      <w:r>
        <w:t xml:space="preserve">Premium revenue is a simple function of free users and conversion. Benchmarks: Duolingo converts ~9% of monthly users; a young app should plan for 2–4% in year one. Assume blended revenue per paying user (mix of Pro and Family, monthly and annual) of roughly $55/year: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Monthly active free users</w:t>
            </w:r>
          </w:p>
        </w:tc>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At 3% paid</w:t>
            </w:r>
          </w:p>
        </w:tc>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Annual premium revenue</w:t>
            </w:r>
          </w:p>
        </w:tc>
      </w:tr>
      <w:tr>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10,000</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300 payers</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~$16.5k</w:t>
            </w:r>
          </w:p>
        </w:tc>
      </w:tr>
      <w:tr>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30,000</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900 payers</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~$50k</w:t>
            </w:r>
          </w:p>
        </w:tc>
      </w:tr>
      <w:tr>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75,000</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2,250 payers</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~$124k</w:t>
            </w:r>
          </w:p>
        </w:tc>
      </w:tr>
      <w:tr>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150,000</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4,500 payers</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~$248k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A" w:sz="1"/>
              <w:left w:val="single" w:color="1F6FB2" w:sz="24"/>
              <w:bottom w:val="single" w:color="EAF3FA" w:sz="1"/>
              <w:right w:val="single" w:color="EAF3FA" w:sz="1"/>
            </w:tcBorders>
            <w:shd w:fill="EAF3FA" w:val="clear"/>
            <w:tcMar>
              <w:top w:type="dxa" w:w="120"/>
              <w:left w:type="dxa" w:w="160"/>
              <w:bottom w:type="dxa" w:w="120"/>
              <w:right w:type="dxa" w:w="160"/>
            </w:tcMar>
          </w:tcPr>
          <w:p>
            <w:pPr>
              <w:spacing w:after="60"/>
            </w:pPr>
            <w:r>
              <w:rPr>
                <w:b/>
                <w:bCs/>
                <w:color w:val="0F3D5C"/>
              </w:rPr>
              <w:t xml:space="preserve">The leverage point</w:t>
            </w:r>
          </w:p>
          <w:p>
            <w:pPr>
              <w:spacing w:after="40" w:line="260"/>
            </w:pPr>
            <w:r>
              <w:t xml:space="preserve">Notice that </w:t>
            </w:r>
            <w:r>
              <w:rPr>
                <w:b/>
                <w:bCs/>
              </w:rPr>
              <w:t xml:space="preserve">one institutional sponsor ≈ the premium revenue of ~10,000–20,000 free users</w:t>
            </w:r>
            <w:r>
              <w:t xml:space="preserve">. Early on, sponsorship is far faster to grow than consumer conversion. Lead with Engine A, and let Engine B compound underneath it.</w:t>
            </w:r>
          </w:p>
        </w:tc>
      </w:tr>
    </w:tbl>
    <w:p>
      <w:r>
        <w:br w:type="page"/>
      </w:r>
    </w:p>
    <w:p>
      <w:pPr>
        <w:pStyle w:val="Heading1"/>
      </w:pPr>
      <w:r>
        <w:t xml:space="preserve">7. Phased roadmap</w:t>
      </w:r>
    </w:p>
    <w:p>
      <w:pPr>
        <w:pStyle w:val="Heading2"/>
      </w:pPr>
      <w:r>
        <w:t xml:space="preserve">Phase 0 — Make it chargeable (Weeks 1–4)</w:t>
      </w:r>
    </w:p>
    <w:p>
      <w:pPr>
        <w:spacing w:after="140" w:line="276"/>
      </w:pPr>
      <w:r>
        <w:t xml:space="preserve">Nothing earns until these exist. This is the unlock.</w:t>
      </w:r>
    </w:p>
    <w:p>
      <w:pPr>
        <w:pStyle w:val="ListParagraph"/>
        <w:numPr>
          <w:ilvl w:val="0"/>
          <w:numId w:val="3"/>
        </w:numPr>
        <w:spacing w:after="80" w:line="268"/>
      </w:pPr>
      <w:r>
        <w:t xml:space="preserve">Add accounts &amp; auth (email / social login) so progress and entitlements persist.</w:t>
      </w:r>
    </w:p>
    <w:p>
      <w:pPr>
        <w:pStyle w:val="ListParagraph"/>
        <w:numPr>
          <w:ilvl w:val="0"/>
          <w:numId w:val="3"/>
        </w:numPr>
        <w:spacing w:after="80" w:line="268"/>
      </w:pPr>
      <w:r>
        <w:t xml:space="preserve">Integrate payments (Stripe recommended) for subscriptions plus the one-time Lifetime.</w:t>
      </w:r>
    </w:p>
    <w:p>
      <w:pPr>
        <w:pStyle w:val="ListParagraph"/>
        <w:numPr>
          <w:ilvl w:val="0"/>
          <w:numId w:val="3"/>
        </w:numPr>
        <w:spacing w:after="80" w:line="268"/>
      </w:pPr>
      <w:r>
        <w:t xml:space="preserve">Define the free / Pro / Family feature gates in the existing game (energy cap, world locks, tools).</w:t>
      </w:r>
    </w:p>
    <w:p>
      <w:pPr>
        <w:pStyle w:val="ListParagraph"/>
        <w:numPr>
          <w:ilvl w:val="0"/>
          <w:numId w:val="3"/>
        </w:numPr>
        <w:spacing w:after="80" w:line="268"/>
      </w:pPr>
      <w:r>
        <w:t xml:space="preserve">Instrument analytics: signups, DAU/MAU, retention (D1/D7/D30), and the funnel to the paywall.</w:t>
      </w:r>
    </w:p>
    <w:p>
      <w:pPr>
        <w:pStyle w:val="Heading2"/>
      </w:pPr>
      <w:r>
        <w:t xml:space="preserve">Phase 1 — Launch consumer freemium (Months 1–3)</w:t>
      </w:r>
    </w:p>
    <w:p>
      <w:pPr>
        <w:pStyle w:val="ListParagraph"/>
        <w:numPr>
          <w:ilvl w:val="0"/>
          <w:numId w:val="2"/>
        </w:numPr>
        <w:spacing w:after="80" w:line="268"/>
      </w:pPr>
      <w:r>
        <w:t xml:space="preserve">Ship Pro, Family, and Lifetime tiers behind a soft, non-blocking paywall.</w:t>
      </w:r>
    </w:p>
    <w:p>
      <w:pPr>
        <w:pStyle w:val="ListParagraph"/>
        <w:numPr>
          <w:ilvl w:val="0"/>
          <w:numId w:val="2"/>
        </w:numPr>
        <w:spacing w:after="80" w:line="268"/>
      </w:pPr>
      <w:r>
        <w:t xml:space="preserve">Add streak insurance, unlimited energy, and Pro-only badges as the first upgrade hooks.</w:t>
      </w:r>
    </w:p>
    <w:p>
      <w:pPr>
        <w:pStyle w:val="ListParagraph"/>
        <w:numPr>
          <w:ilvl w:val="0"/>
          <w:numId w:val="2"/>
        </w:numPr>
        <w:spacing w:after="80" w:line="268"/>
      </w:pPr>
      <w:r>
        <w:t xml:space="preserve">Turn on 1–2 affiliate partners (credit union + brokerage), clearly labeled.</w:t>
      </w:r>
    </w:p>
    <w:p>
      <w:pPr>
        <w:pStyle w:val="ListParagraph"/>
        <w:numPr>
          <w:ilvl w:val="0"/>
          <w:numId w:val="2"/>
        </w:numPr>
        <w:spacing w:after="80" w:line="268"/>
      </w:pPr>
      <w:r>
        <w:t xml:space="preserve">Goal: validate conversion (target 2–3%) and retention before spending on growth.</w:t>
      </w:r>
    </w:p>
    <w:p>
      <w:pPr>
        <w:pStyle w:val="Heading2"/>
      </w:pPr>
      <w:r>
        <w:t xml:space="preserve">Phase 2 — Land the first sponsors (Months 3–6)</w:t>
      </w:r>
    </w:p>
    <w:p>
      <w:pPr>
        <w:pStyle w:val="ListParagraph"/>
        <w:numPr>
          <w:ilvl w:val="0"/>
          <w:numId w:val="2"/>
        </w:numPr>
        <w:spacing w:after="80" w:line="268"/>
      </w:pPr>
      <w:r>
        <w:t xml:space="preserve">Build a one-page sponsor offer and a co-branding mode (logo, colors, sponsored challenge).</w:t>
      </w:r>
    </w:p>
    <w:p>
      <w:pPr>
        <w:pStyle w:val="ListParagraph"/>
        <w:numPr>
          <w:ilvl w:val="0"/>
          <w:numId w:val="2"/>
        </w:numPr>
        <w:spacing w:after="80" w:line="268"/>
      </w:pPr>
      <w:r>
        <w:t xml:space="preserve">Sell the sponsored 7-Day Challenge as the entry product to 3–5 local credit unions / banks.</w:t>
      </w:r>
    </w:p>
    <w:p>
      <w:pPr>
        <w:pStyle w:val="ListParagraph"/>
        <w:numPr>
          <w:ilvl w:val="0"/>
          <w:numId w:val="2"/>
        </w:numPr>
        <w:spacing w:after="80" w:line="268"/>
      </w:pPr>
      <w:r>
        <w:t xml:space="preserve">Stand up a teacher / admin dashboard to make schools and employers viable.</w:t>
      </w:r>
    </w:p>
    <w:p>
      <w:pPr>
        <w:pStyle w:val="ListParagraph"/>
        <w:numPr>
          <w:ilvl w:val="0"/>
          <w:numId w:val="2"/>
        </w:numPr>
        <w:spacing w:after="80" w:line="268"/>
      </w:pPr>
      <w:r>
        <w:t xml:space="preserve">Goal: 3–5 signed pilots and one published case study with impact numbers.</w:t>
      </w:r>
    </w:p>
    <w:p>
      <w:pPr>
        <w:pStyle w:val="Heading2"/>
      </w:pPr>
      <w:r>
        <w:t xml:space="preserve">Phase 3 — Scale both engines (Months 6–12)</w:t>
      </w:r>
    </w:p>
    <w:p>
      <w:pPr>
        <w:pStyle w:val="ListParagraph"/>
        <w:numPr>
          <w:ilvl w:val="0"/>
          <w:numId w:val="2"/>
        </w:numPr>
        <w:spacing w:after="80" w:line="268"/>
      </w:pPr>
      <w:r>
        <w:t xml:space="preserve">Expand sponsorship to schools (sponsor-funded) and employer financial-wellness deals.</w:t>
      </w:r>
    </w:p>
    <w:p>
      <w:pPr>
        <w:pStyle w:val="ListParagraph"/>
        <w:numPr>
          <w:ilvl w:val="0"/>
          <w:numId w:val="2"/>
        </w:numPr>
        <w:spacing w:after="80" w:line="268"/>
      </w:pPr>
      <w:r>
        <w:t xml:space="preserve">Add a rewards store with sponsor-funded prizes; introduce a seasonal “pass.”</w:t>
      </w:r>
    </w:p>
    <w:p>
      <w:pPr>
        <w:pStyle w:val="ListParagraph"/>
        <w:numPr>
          <w:ilvl w:val="0"/>
          <w:numId w:val="2"/>
        </w:numPr>
        <w:spacing w:after="80" w:line="268"/>
      </w:pPr>
      <w:r>
        <w:t xml:space="preserve">Optimize the consumer funnel (pricing tests, annual-plan nudges, a referral loop).</w:t>
      </w:r>
    </w:p>
    <w:p>
      <w:pPr>
        <w:pStyle w:val="ListParagraph"/>
        <w:numPr>
          <w:ilvl w:val="0"/>
          <w:numId w:val="2"/>
        </w:numPr>
        <w:spacing w:after="80" w:line="268"/>
      </w:pPr>
      <w:r>
        <w:t xml:space="preserve">Goal: reach the Base-case range in Section 6 and a repeatable sponsor sales motion.</w:t>
      </w:r>
    </w:p>
    <w:p>
      <w:r>
        <w:br w:type="page"/>
      </w:r>
    </w:p>
    <w:p>
      <w:pPr>
        <w:pStyle w:val="Heading1"/>
      </w:pPr>
      <w:r>
        <w:t xml:space="preserve">8. Go-to-market</w:t>
      </w:r>
    </w:p>
    <w:p>
      <w:pPr>
        <w:pStyle w:val="Heading2"/>
      </w:pPr>
      <w:r>
        <w:t xml:space="preserve">Sponsors (Engine A) — your fastest cash</w:t>
      </w:r>
    </w:p>
    <w:p>
      <w:pPr>
        <w:pStyle w:val="ListParagraph"/>
        <w:numPr>
          <w:ilvl w:val="0"/>
          <w:numId w:val="2"/>
        </w:numPr>
        <w:spacing w:after="80" w:line="268"/>
      </w:pPr>
      <w:r>
        <w:rPr>
          <w:b/>
          <w:bCs/>
        </w:rPr>
        <w:t xml:space="preserve">Target list: </w:t>
      </w:r>
      <w:r>
        <w:t xml:space="preserve">community credit unions and banks within reach first — they have community-investment mandates and budgets, and decisions are local and fast.</w:t>
      </w:r>
    </w:p>
    <w:p>
      <w:pPr>
        <w:pStyle w:val="ListParagraph"/>
        <w:numPr>
          <w:ilvl w:val="0"/>
          <w:numId w:val="2"/>
        </w:numPr>
        <w:spacing w:after="80" w:line="268"/>
      </w:pPr>
      <w:r>
        <w:rPr>
          <w:b/>
          <w:bCs/>
        </w:rPr>
        <w:t xml:space="preserve">The pitch: </w:t>
      </w:r>
      <w:r>
        <w:t xml:space="preserve">“Reach younger members with a financial-literacy game they'll actually use — co-branded, measurable, and free to them.” Lead with the sponsored 7-Day Challenge as a low-commitment entry.</w:t>
      </w:r>
    </w:p>
    <w:p>
      <w:pPr>
        <w:pStyle w:val="ListParagraph"/>
        <w:numPr>
          <w:ilvl w:val="0"/>
          <w:numId w:val="2"/>
        </w:numPr>
        <w:spacing w:after="80" w:line="268"/>
      </w:pPr>
      <w:r>
        <w:rPr>
          <w:b/>
          <w:bCs/>
        </w:rPr>
        <w:t xml:space="preserve">Proof: </w:t>
      </w:r>
      <w:r>
        <w:t xml:space="preserve">one pilot plus engagement and completion stats becomes the case study that sells the next ten.</w:t>
      </w:r>
    </w:p>
    <w:p>
      <w:pPr>
        <w:pStyle w:val="Heading2"/>
      </w:pPr>
      <w:r>
        <w:t xml:space="preserve">Consumers (Engine B) — your compounding base</w:t>
      </w:r>
    </w:p>
    <w:p>
      <w:pPr>
        <w:pStyle w:val="ListParagraph"/>
        <w:numPr>
          <w:ilvl w:val="0"/>
          <w:numId w:val="2"/>
        </w:numPr>
        <w:spacing w:after="80" w:line="268"/>
      </w:pPr>
      <w:r>
        <w:rPr>
          <w:b/>
          <w:bCs/>
        </w:rPr>
        <w:t xml:space="preserve">Hook content: </w:t>
      </w:r>
      <w:r>
        <w:t xml:space="preserve">the “$500, ten years ago” story and the 7-day challenge are share-ready — use them as top-of-funnel on TikTok / Reels / YouTube Shorts.</w:t>
      </w:r>
    </w:p>
    <w:p>
      <w:pPr>
        <w:pStyle w:val="ListParagraph"/>
        <w:numPr>
          <w:ilvl w:val="0"/>
          <w:numId w:val="2"/>
        </w:numPr>
        <w:spacing w:after="80" w:line="268"/>
      </w:pPr>
      <w:r>
        <w:rPr>
          <w:b/>
          <w:bCs/>
        </w:rPr>
        <w:t xml:space="preserve">Parents: </w:t>
      </w:r>
      <w:r>
        <w:t xml:space="preserve">position the Family tier next to Greenlight / Acorns — “they get the card; we build the brain behind it.”</w:t>
      </w:r>
    </w:p>
    <w:p>
      <w:pPr>
        <w:pStyle w:val="ListParagraph"/>
        <w:numPr>
          <w:ilvl w:val="0"/>
          <w:numId w:val="2"/>
        </w:numPr>
        <w:spacing w:after="80" w:line="268"/>
      </w:pPr>
      <w:r>
        <w:rPr>
          <w:b/>
          <w:bCs/>
        </w:rPr>
        <w:t xml:space="preserve">Schools as a funnel: </w:t>
      </w:r>
      <w:r>
        <w:t xml:space="preserve">kids who use it in class pull parents into Family plans at home.</w:t>
      </w:r>
    </w:p>
    <w:p>
      <w:pPr>
        <w:pStyle w:val="Heading2"/>
      </w:pPr>
      <w:r>
        <w:t xml:space="preserve">Sequencing</w:t>
      </w:r>
    </w:p>
    <w:p>
      <w:pPr>
        <w:spacing w:after="140" w:line="276"/>
      </w:pPr>
      <w:r>
        <w:rPr>
          <w:b/>
          <w:bCs/>
        </w:rPr>
        <w:t xml:space="preserve">Run consumer launch and sponsor outreach in parallel, not in series. </w:t>
      </w:r>
      <w:r>
        <w:t xml:space="preserve">The consumer app generates the usage data and screenshots that make the sponsor pitch credible; the sponsor deals fund the growth that feeds the consumer funnel.</w:t>
      </w:r>
    </w:p>
    <w:p>
      <w:r>
        <w:br w:type="page"/>
      </w:r>
    </w:p>
    <w:p>
      <w:pPr>
        <w:pStyle w:val="Heading1"/>
      </w:pPr>
      <w:r>
        <w:t xml:space="preserve">9. KPIs, risks &amp; the first 30 days</w:t>
      </w:r>
    </w:p>
    <w:p>
      <w:pPr>
        <w:pStyle w:val="Heading2"/>
      </w:pPr>
      <w:r>
        <w:t xml:space="preserve">9.1 The numbers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Metric</w:t>
            </w:r>
          </w:p>
        </w:tc>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Why it matters</w:t>
            </w:r>
          </w:p>
        </w:tc>
        <w:tc>
          <w:tcPr>
            <w:tcW w:type="dxa" w:w="3120"/>
            <w:tcBorders>
              <w:top w:val="single" w:color="CCD5DD" w:sz="1"/>
              <w:left w:val="single" w:color="CCD5DD" w:sz="1"/>
              <w:bottom w:val="single" w:color="CCD5DD" w:sz="1"/>
              <w:right w:val="single" w:color="CCD5DD" w:sz="1"/>
            </w:tcBorders>
            <w:shd w:fill="0F3D5C" w:val="clear"/>
            <w:tcMar>
              <w:top w:type="dxa" w:w="70"/>
              <w:left w:type="dxa" w:w="110"/>
              <w:bottom w:type="dxa" w:w="70"/>
              <w:right w:type="dxa" w:w="110"/>
            </w:tcMar>
          </w:tcPr>
          <w:p>
            <w:pPr>
              <w:spacing w:after="40" w:line="252"/>
            </w:pPr>
            <w:r>
              <w:rPr>
                <w:b/>
                <w:bCs/>
                <w:color w:val="FFFFFF"/>
              </w:rPr>
              <w:t xml:space="preserve">Healthy early target</w:t>
            </w:r>
          </w:p>
        </w:tc>
      </w:tr>
      <w:tr>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D7 / D30 retention</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Proves the game loop holds people.</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D7 &gt; 20%, D30 &gt; 10%</w:t>
            </w:r>
          </w:p>
        </w:tc>
      </w:tr>
      <w:tr>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Free → paid conversion</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The engine of consumer revenue.</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2–4% in year one</w:t>
            </w:r>
          </w:p>
        </w:tc>
      </w:tr>
      <w:tr>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Blended ARPU</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Revenue per active user across engines.</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Trends up quarter over quarter</w:t>
            </w:r>
          </w:p>
        </w:tc>
      </w:tr>
      <w:tr>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bCs/>
              </w:rPr>
              <w:t xml:space="preserve">Sponsor pipeline</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Near-term cash visibility.</w:t>
            </w:r>
          </w:p>
        </w:tc>
        <w:tc>
          <w:tcPr>
            <w:tcW w:type="dxa" w:w="3120"/>
            <w:tcBorders>
              <w:top w:val="single" w:color="CCD5DD" w:sz="1"/>
              <w:left w:val="single" w:color="CCD5DD" w:sz="1"/>
              <w:bottom w:val="single" w:color="CCD5DD" w:sz="1"/>
              <w:right w:val="single" w:color="CCD5DD" w:sz="1"/>
            </w:tcBorders>
            <w:shd w:fill="EAF3FA" w:val="clear"/>
            <w:tcMar>
              <w:top w:type="dxa" w:w="70"/>
              <w:left w:type="dxa" w:w="110"/>
              <w:bottom w:type="dxa" w:w="70"/>
              <w:right w:type="dxa" w:w="110"/>
            </w:tcMar>
          </w:tcPr>
          <w:p>
            <w:pPr>
              <w:spacing w:after="40" w:line="252"/>
            </w:pPr>
            <w:r>
              <w:rPr>
                <w:b w:val="false"/>
                <w:bCs w:val="false"/>
              </w:rPr>
              <w:t xml:space="preserve">10+ qualified leads, 3+ pilots</w:t>
            </w:r>
          </w:p>
        </w:tc>
      </w:tr>
      <w:tr>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bCs/>
              </w:rPr>
              <w:t xml:space="preserve">CAC vs. LTV</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Whether paid growth is sane.</w:t>
            </w:r>
          </w:p>
        </w:tc>
        <w:tc>
          <w:tcPr>
            <w:tcW w:type="dxa" w:w="3120"/>
            <w:tcBorders>
              <w:top w:val="single" w:color="CCD5DD" w:sz="1"/>
              <w:left w:val="single" w:color="CCD5DD" w:sz="1"/>
              <w:bottom w:val="single" w:color="CCD5DD" w:sz="1"/>
              <w:right w:val="single" w:color="CCD5DD" w:sz="1"/>
            </w:tcBorders>
            <w:shd w:fill="FFFFFF" w:val="clear"/>
            <w:tcMar>
              <w:top w:type="dxa" w:w="70"/>
              <w:left w:type="dxa" w:w="110"/>
              <w:bottom w:type="dxa" w:w="70"/>
              <w:right w:type="dxa" w:w="110"/>
            </w:tcMar>
          </w:tcPr>
          <w:p>
            <w:pPr>
              <w:spacing w:after="40" w:line="252"/>
            </w:pPr>
            <w:r>
              <w:rPr>
                <w:b w:val="false"/>
                <w:bCs w:val="false"/>
              </w:rPr>
              <w:t xml:space="preserve">LTV : CAC &gt; 3 : 1</w:t>
            </w:r>
          </w:p>
        </w:tc>
      </w:tr>
    </w:tbl>
    <w:p>
      <w:pPr>
        <w:pStyle w:val="Heading2"/>
      </w:pPr>
      <w:r>
        <w:t xml:space="preserve">9.2 Risks &amp; mitigations</w:t>
      </w:r>
    </w:p>
    <w:p>
      <w:pPr>
        <w:pStyle w:val="ListParagraph"/>
        <w:numPr>
          <w:ilvl w:val="0"/>
          <w:numId w:val="2"/>
        </w:numPr>
        <w:spacing w:after="80" w:line="268"/>
      </w:pPr>
      <w:r>
        <w:rPr>
          <w:b/>
          <w:bCs/>
        </w:rPr>
        <w:t xml:space="preserve">Monetizing minors. </w:t>
      </w:r>
      <w:r>
        <w:t xml:space="preserve">Mitigate: only sponsor-funded access and parent-paid Family for under-18s; no manipulative spend mechanics. Non-negotiable.</w:t>
      </w:r>
    </w:p>
    <w:p>
      <w:pPr>
        <w:pStyle w:val="ListParagraph"/>
        <w:numPr>
          <w:ilvl w:val="0"/>
          <w:numId w:val="2"/>
        </w:numPr>
        <w:spacing w:after="80" w:line="268"/>
      </w:pPr>
      <w:r>
        <w:rPr>
          <w:b/>
          <w:bCs/>
        </w:rPr>
        <w:t xml:space="preserve">Free cannibalizes paid. </w:t>
      </w:r>
      <w:r>
        <w:t xml:space="preserve">Mitigate: gate on convenience and depth (energy, tools, no ads), never on whether someone can learn the core material.</w:t>
      </w:r>
    </w:p>
    <w:p>
      <w:pPr>
        <w:pStyle w:val="ListParagraph"/>
        <w:numPr>
          <w:ilvl w:val="0"/>
          <w:numId w:val="2"/>
        </w:numPr>
        <w:spacing w:after="80" w:line="268"/>
      </w:pPr>
      <w:r>
        <w:rPr>
          <w:b/>
          <w:bCs/>
        </w:rPr>
        <w:t xml:space="preserve">Long B2B sales cycles. </w:t>
      </w:r>
      <w:r>
        <w:t xml:space="preserve">Mitigate: lead with the small, fast sponsored-challenge product, not an enterprise license.</w:t>
      </w:r>
    </w:p>
    <w:p>
      <w:pPr>
        <w:pStyle w:val="ListParagraph"/>
        <w:numPr>
          <w:ilvl w:val="0"/>
          <w:numId w:val="2"/>
        </w:numPr>
        <w:spacing w:after="80" w:line="268"/>
      </w:pPr>
      <w:r>
        <w:rPr>
          <w:b/>
          <w:bCs/>
        </w:rPr>
        <w:t xml:space="preserve">Compliance (kids' data / COPPA, school privacy). </w:t>
      </w:r>
      <w:r>
        <w:t xml:space="preserve">Mitigate: minimal data collection, clear parental consent, and a privacy review before any school deal.</w:t>
      </w:r>
    </w:p>
    <w:p>
      <w:pPr>
        <w:pStyle w:val="Heading2"/>
      </w:pPr>
      <w:r>
        <w:t xml:space="preserve">9.3 The first 30 days</w:t>
      </w:r>
    </w:p>
    <w:p>
      <w:pPr>
        <w:pStyle w:val="ListParagraph"/>
        <w:numPr>
          <w:ilvl w:val="0"/>
          <w:numId w:val="4"/>
        </w:numPr>
        <w:spacing w:after="80" w:line="268"/>
      </w:pPr>
      <w:r>
        <w:t xml:space="preserve">Pick the model (this doc) and lock pricing.</w:t>
      </w:r>
    </w:p>
    <w:p>
      <w:pPr>
        <w:pStyle w:val="ListParagraph"/>
        <w:numPr>
          <w:ilvl w:val="0"/>
          <w:numId w:val="4"/>
        </w:numPr>
        <w:spacing w:after="80" w:line="268"/>
      </w:pPr>
      <w:r>
        <w:t xml:space="preserve">Build Phase 0: accounts, Stripe, feature gates, analytics.</w:t>
      </w:r>
    </w:p>
    <w:p>
      <w:pPr>
        <w:pStyle w:val="ListParagraph"/>
        <w:numPr>
          <w:ilvl w:val="0"/>
          <w:numId w:val="4"/>
        </w:numPr>
        <w:spacing w:after="80" w:line="268"/>
      </w:pPr>
      <w:r>
        <w:t xml:space="preserve">Draft the one-page sponsor offer and a target list of 15 local credit unions / banks.</w:t>
      </w:r>
    </w:p>
    <w:p>
      <w:pPr>
        <w:pStyle w:val="ListParagraph"/>
        <w:numPr>
          <w:ilvl w:val="0"/>
          <w:numId w:val="4"/>
        </w:numPr>
        <w:spacing w:after="80" w:line="268"/>
      </w:pPr>
      <w:r>
        <w:t xml:space="preserve">Soft-launch Pro / Family to existing traffic and watch conversion + retention.</w:t>
      </w:r>
    </w:p>
    <w:p>
      <w:pPr>
        <w:pBdr>
          <w:bottom w:val="single" w:color="1F6FB2" w:sz="10" w:space="1"/>
        </w:pBdr>
        <w:spacing w:after="120"/>
      </w:pPr>
    </w:p>
    <w:p>
      <w:pPr>
        <w:spacing w:after="140" w:line="276"/>
      </w:pPr>
      <w:r>
        <w:rPr>
          <w:i/>
          <w:iCs/>
          <w:color w:val="0F3D5C"/>
        </w:rPr>
        <w:t xml:space="preserve">Bottom line: the engagement engine is built. Add accounts + payments, keep the product free, lead with institutional sponsors for cash, and let a freemium premium tier compound underneath. That is the shortest path from a great learning game to a real, mission-aligned business.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5DD" w:sz="4" w:space="6"/>
      </w:pBdr>
      <w:tabs>
        <w:tab w:val="right" w:pos="9360"/>
      </w:tabs>
    </w:pPr>
    <w:r>
      <w:rPr>
        <w:color w:val="5A6672"/>
        <w:sz w:val="16"/>
        <w:szCs w:val="16"/>
      </w:rPr>
      <w:t xml:space="preserve">Money Move$ — Monetization Strategy</w:t>
    </w:r>
    <w:r>
      <w:rPr>
        <w:sz w:val="16"/>
        <w:szCs w:val="16"/>
      </w:rPr>
      <w:t xml:space="preserve">	</w:t>
    </w:r>
    <w:r>
      <w:rPr>
        <w:color w:val="5A667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8" w:space="4"/>
      </w:pBdr>
      <w:spacing w:after="160" w:before="240"/>
      <w:outlineLvl w:val="0"/>
    </w:pPr>
    <w:rPr>
      <w:rFonts w:ascii="Arial" w:cs="Arial" w:eastAsia="Arial" w:hAnsi="Arial"/>
      <w:b/>
      <w:bCs/>
      <w:color w:val="0F3D5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B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E8A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Move$ — Monetization Strategy &amp; Roadmap</dc:title>
  <dc:creator>Money Move$</dc:creator>
  <cp:lastModifiedBy>Un-named</cp:lastModifiedBy>
  <cp:revision>1</cp:revision>
  <dcterms:created xsi:type="dcterms:W3CDTF">2026-06-26T15:50:11.018Z</dcterms:created>
  <dcterms:modified xsi:type="dcterms:W3CDTF">2026-06-26T15:50:11.018Z</dcterms:modified>
</cp:coreProperties>
</file>

<file path=docProps/custom.xml><?xml version="1.0" encoding="utf-8"?>
<Properties xmlns="http://schemas.openxmlformats.org/officeDocument/2006/custom-properties" xmlns:vt="http://schemas.openxmlformats.org/officeDocument/2006/docPropsVTypes"/>
</file>