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2E86AB"/>
          <w:sz w:val="20"/>
          <w:szCs w:val="20"/>
        </w:rPr>
        <w:t xml:space="preserve">TECHNICAL RESEARCH PAPER</w:t>
      </w:r>
    </w:p>
    <w:p>
      <w:pPr>
        <w:spacing w:after="200" w:before="200"/>
        <w:jc w:val="center"/>
      </w:pPr>
      <w:r>
        <w:rPr>
          <w:b/>
          <w:bCs/>
          <w:color w:val="1B2A4A"/>
          <w:sz w:val="40"/>
          <w:szCs w:val="40"/>
        </w:rPr>
        <w:t xml:space="preserve">Restaurant Growth Potential Modeling &amp;</w:t>
      </w:r>
    </w:p>
    <w:p>
      <w:pPr>
        <w:spacing w:after="400"/>
        <w:jc w:val="center"/>
      </w:pPr>
      <w:r>
        <w:rPr>
          <w:b/>
          <w:bCs/>
          <w:color w:val="1B2A4A"/>
          <w:sz w:val="40"/>
          <w:szCs w:val="40"/>
        </w:rPr>
        <w:t xml:space="preserve">Strategic Classification System</w:t>
      </w:r>
    </w:p>
    <w:p>
      <w:pPr>
        <w:spacing w:after="100"/>
        <w:jc w:val="center"/>
      </w:pPr>
      <w:r>
        <w:rPr>
          <w:i/>
          <w:iCs/>
          <w:color w:val="444444"/>
          <w:sz w:val="22"/>
          <w:szCs w:val="22"/>
        </w:rPr>
        <w:t xml:space="preserve">A Data Science Approach to Growth-Readiness Assessment for</w:t>
      </w:r>
    </w:p>
    <w:p>
      <w:pPr>
        <w:spacing w:after="600"/>
        <w:jc w:val="center"/>
      </w:pPr>
      <w:r>
        <w:rPr>
          <w:i/>
          <w:iCs/>
          <w:color w:val="444444"/>
          <w:sz w:val="22"/>
          <w:szCs w:val="22"/>
        </w:rPr>
        <w:t xml:space="preserve">SkyCity Auckland Restaurants &amp; Bars</w:t>
      </w:r>
    </w:p>
    <w:p>
      <w:pPr>
        <w:spacing w:after="60"/>
        <w:jc w:val="center"/>
      </w:pPr>
      <w:r>
        <w:rPr>
          <w:sz w:val="20"/>
          <w:szCs w:val="20"/>
        </w:rPr>
        <w:t xml:space="preserve">Dataset: 250 restaurant branches · 5 strategic archetypes</w:t>
      </w:r>
    </w:p>
    <w:p>
      <w:pPr>
        <w:jc w:val="center"/>
      </w:pPr>
      <w:r>
        <w:rPr>
          <w:color w:val="777777"/>
          <w:sz w:val="20"/>
          <w:szCs w:val="20"/>
        </w:rPr>
        <w:t xml:space="preserve">Prepared September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40"/>
      </w:pPr>
      <w:r>
        <w:t xml:space="preserve">This research analyzes 250 restaurant branches operating under SkyCity Auckland Restaurants &amp; Bars to answer a strategic question that traditional profit-and-loss analytics cannot: not "what happened," but which restaurants are structurally positioned to grow, and how each should be guided. Using unsupervised machine learning across 30+ operational, financial, and channel-mix dimensions, the analysis identifies 5 distinct restaurant archetypes and assigns every branch a Growth Potential Index (GPI) score from 0-100.</w:t>
      </w:r>
    </w:p>
    <w:p>
      <w:pPr>
        <w:spacing w:after="140"/>
      </w:pPr>
      <w:r>
        <w:t xml:space="preserve">Key findings: the "High-Growth / High-Risk" and "Scalable Self-Delivery Leaders" archetypes together represent the strongest expansion candidates, while a meaningful share of branches (60 branches, 24% of the portfolio) show healthy order volume undermined by heavy third-party delivery commission exposure — the "aggregator-ready but margin-fragile" pattern flagged in the original problem statement. A further 23 branches show low growth potential paired with high cost burden and should not be prioritized for further investment without operational remediation first.</w:t>
      </w:r>
    </w:p>
    <w:p>
      <w:pPr>
        <w:spacing w:after="140"/>
      </w:pPr>
      <w:r>
        <w:t xml:space="preserve">The system is delivered as three components: (1) this research paper, documenting methodology and findings; (2) an interactive Streamlit dashboard for ongoing self-service analysis; and (3) a concise executive summary for non-technical government stakeholders.</w:t>
      </w:r>
    </w:p>
    <w:p>
      <w:pPr>
        <w:pStyle w:val="Heading1"/>
        <w:spacing w:after="160" w:before="320"/>
      </w:pPr>
      <w:r>
        <w:t xml:space="preserve">2. Background and Context</w:t>
      </w:r>
    </w:p>
    <w:p>
      <w:pPr>
        <w:spacing w:after="140"/>
      </w:pPr>
      <w:r>
        <w:t xml:space="preserve">Not all restaurants within a multi-brand hospitality portfolio should pursue the same growth strategy. Within any comparable estate, branches typically fall into recognizable but rarely formalized patterns: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Aggregator-ready but margin-fragile — high order volume via delivery platforms, but commission structures erode 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Operationally strong but under-scaled — healthy unit economics that have not yet been extended to higher volume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Highly profitable yet geographically constrained — strong margins limited by a narrow delivery radius or catchment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Overextended with low growth sustainability — cost structure and channel mix no longer support further investment</w:t>
      </w:r>
    </w:p>
    <w:p>
      <w:pPr>
        <w:spacing w:after="140"/>
      </w:pPr>
      <w:r>
        <w:t xml:space="preserve">Traditional restaurant analytics answer "what happened" (historical sales, P&amp;L) or "what is optimal right now" (menu pricing, staffing). This project instead answers a structural, forward-looking question: which restaurants are positioned for sustainable growth, and how should each be classified and guided?</w:t>
      </w:r>
    </w:p>
    <w:p>
      <w:pPr>
        <w:pStyle w:val="Heading1"/>
        <w:spacing w:after="160" w:before="320"/>
      </w:pPr>
      <w:r>
        <w:t xml:space="preserve">3. Problem Statement</w:t>
      </w:r>
    </w:p>
    <w:p>
      <w:pPr>
        <w:spacing w:after="140"/>
      </w:pPr>
      <w:r>
        <w:t xml:space="preserve">Despite rich operational, financial, and channel data being collected for every branch, decision-makers lack: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holistic growth-readiness assessment that combines cost, channel, and demand signals into one comparable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data-driven restaurant classification system, rather than ad hoc or purely intuition-based segmentation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Insight into which levers — delivery mix, growth factor, average order value, or cost structure — matter most for expansion decisions</w:t>
      </w:r>
    </w:p>
    <w:p>
      <w:pPr>
        <w:spacing w:after="140"/>
      </w:pPr>
      <w:r>
        <w:t xml:space="preserve">As a result, expansion and investment decisions across the portfolio have historically been uniform, intuition-based, and risk-exposed. This project addresses that gap directly.</w:t>
      </w:r>
    </w:p>
    <w:p>
      <w:pPr>
        <w:pStyle w:val="Heading1"/>
        <w:spacing w:after="160" w:before="320"/>
      </w:pPr>
      <w:r>
        <w:t xml:space="preserve">4. Dataset Description</w:t>
      </w:r>
    </w:p>
    <w:p>
      <w:pPr>
        <w:spacing w:after="140"/>
      </w:pPr>
      <w:r>
        <w:t xml:space="preserve">The analysis dataset covers 250 restaurant branches across the Auckland region, with 32 fields spanning four conceptual groups, consistent with the original project brief's "broad feature coverage" design intent: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&amp; Demand — MonthlyOrders, GrowthFactor, AOV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Channel Mix — InStoreShare, UE_share, DD_share, SD_share, channel order counts and revenues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&amp; Efficiency — COGSRate, OPEXRate, CommissionRate, DeliveryCostOrder, SD_DeliveryTotalCost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Logistics &amp; Reach — DeliveryRadiusKM, Subregion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Identity — CuisineType, Segment</w:t>
      </w:r>
    </w:p>
    <w:p>
      <w:pPr>
        <w:spacing w:after="140"/>
      </w:pPr>
      <w:r>
        <w:t xml:space="preserve">Net profit is computed per channel as Revenue − COGS − OPEX, with an additional commission deduction for third-party delivery channels (UberEats, DoorDash) and a delivery-cost deduction for self-delivery. This mirrors how unit economics actually differ by fulfilment channel — a structural driver of the "aggregator-ready but margin-fragile" pattern.</w:t>
      </w:r>
    </w:p>
    <w:p>
      <w:pPr>
        <w:pStyle w:val="Heading1"/>
        <w:spacing w:after="160" w:before="320"/>
      </w:pPr>
      <w:r>
        <w:t xml:space="preserve">5. Data Science Methodology</w:t>
      </w:r>
    </w:p>
    <w:p>
      <w:pPr>
        <w:pStyle w:val="Heading2"/>
        <w:spacing w:after="120" w:before="240"/>
      </w:pPr>
      <w:r>
        <w:t xml:space="preserve">5.1 Data Preprocessing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Numerical features normalized via z-score standardization prior to clustering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Categorical features (Segment, CuisineType, Subregion) retained for profiling and filtering, excluded from the clustering feature matrix to avoid encoding artifacts dominating distance calculations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Skewed cost/revenue variables (TotalRevenue, MonthlyOrders, ScaleIndex, SD_DeliveryTotalCost) transformed via Yeo-Johnson power transform to reduce right-skew before scaling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Multi-scale feature dominance addressed by standardizing all 17 clustering features to unit variance before PCA</w:t>
      </w:r>
    </w:p>
    <w:p>
      <w:pPr>
        <w:pStyle w:val="Heading2"/>
        <w:spacing w:after="120" w:before="240"/>
      </w:pPr>
      <w:r>
        <w:t xml:space="preserve">5.2 Dimensionality Reduction</w:t>
      </w:r>
    </w:p>
    <w:p>
      <w:pPr>
        <w:spacing w:after="140"/>
      </w:pPr>
      <w:r>
        <w:t xml:space="preserve">Principal Component Analysis (PCA) was applied to the standardized 17-feature matrix to discover latent structure. The first five components were retained; PC1 and PC2 together explain 30.6% and 16.2% of variance respectively (46.8% combined). Examining component loadings reveals three interpretable latent factors: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Latent Factor 1 ("scale / cost pressure") — driven primarily by AOV, RevenuePerOrder, ScaleIndex_pt, CostBurden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Latent Factor 2 ("channel dependence / margin") — driven primarily by AggregatorDependence, SD_share, NetMarginPct, AggregatorRevenueShare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Latent Factor 3 ("logistics efficiency") — driven primarily by DeliveryEfficiency, InStoreShare, SD_share, AggregatorDependence</w:t>
      </w:r>
    </w:p>
    <w:p>
      <w:pPr>
        <w:pStyle w:val="Heading2"/>
        <w:spacing w:after="120" w:before="240"/>
      </w:pPr>
      <w:r>
        <w:t xml:space="preserve">5.3 Unsupervised Clustering</w:t>
      </w:r>
    </w:p>
    <w:p>
      <w:pPr>
        <w:spacing w:after="140"/>
      </w:pPr>
      <w:r>
        <w:t xml:space="preserve">K-Means was run for k = 3 through 6, selecting the value maximizing silhouette score. The optimal solution used k = 5 clusters (silhouette = 0.2341). As a robustness check, Agglomerative (hierarchical) clustering was run at the same k (silhouette = 0.2034, directionally consistent with K-Means), and DBSCAN was run as an optional density-based check; DBSCAN found 1 dense region(s) at the tested parameters, consistent with the branches forming a continuum rather than perfectly separated islands — expected given restaurant performance is a spectrum, not discrete categories. K-Means was retained as the primary method for its interpretability and stability across seeds.</w:t>
      </w:r>
    </w:p>
    <w:p>
      <w:pPr>
        <w:pStyle w:val="Heading2"/>
        <w:spacing w:after="120" w:before="240"/>
      </w:pPr>
      <w:r>
        <w:t xml:space="preserve">5.4 Growth Potential Index (GPI)</w:t>
      </w:r>
    </w:p>
    <w:p>
      <w:pPr>
        <w:spacing w:after="140"/>
      </w:pPr>
      <w:r>
        <w:t xml:space="preserve">Each restaurant receives a composite Growth Potential Index (0-100), constructed from four normalized (min-max, 0-1) sub-signals: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signal (30% weight) — scale (orders × growth factor) and month-over-month growth factor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resilience (20% weight) — inverse of combined COGS + OPEX burden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Channel balance (15% weight) — how evenly order volume is spread across in-store, UberEats, DoorDash, and self-delivery, penalizing over-concentration in any one channel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Logistics scalability (15% weight) — self-delivery efficiency relative to delivery radius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quality (20% weight) — net profit margin</w:t>
      </w:r>
    </w:p>
    <w:p>
      <w:pPr>
        <w:spacing w:after="140"/>
      </w:pPr>
      <w:r>
        <w:t xml:space="preserve">Across the portfolio, GPI ranges from 13.9 to 83.5, with a mean of 48.98 and median of 48.4 — a wide spread indicating genuine differentiation in growth readiness rather than a narrow, undifferentiated score.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Results: Cluster Interpretation &amp; Labeling</w:t>
      </w:r>
    </w:p>
    <w:p>
      <w:pPr>
        <w:spacing w:after="140"/>
      </w:pPr>
      <w:r>
        <w:t xml:space="preserve">Each cluster's mean profile was matched to five archetype patterns (defined a priori from the project's stated growth-strategy patterns) using an optimal linear assignment across relative z-scored cluster features, guaranteeing each cluster receives a distinct, interpretable label rather than collapsing toward a majority pattern.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1. Restaurant archetypes projected onto the first two latent (PCA) factors. Each point is one branch; color denotes assigned archetype.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2. Branch count by strategic archetype.</w:t>
      </w:r>
    </w:p>
    <w:p>
      <w:pPr>
        <w:pStyle w:val="Heading2"/>
        <w:spacing w:after="120" w:before="240"/>
      </w:pPr>
      <w:r>
        <w:t xml:space="preserve">6.1 Archetype Profiles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1200"/>
        <w:gridCol w:w="1400"/>
        <w:gridCol w:w="1200"/>
        <w:gridCol w:w="12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Archetype</w:t>
            </w:r>
          </w:p>
        </w:tc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Branches</w:t>
            </w:r>
          </w:p>
        </w:tc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GPI</w:t>
            </w:r>
          </w:p>
        </w:tc>
        <w:tc>
          <w:tcPr>
            <w:tcW w:type="dxa" w:w="1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Net Margin</w:t>
            </w:r>
          </w:p>
        </w:tc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Agg. Dependence</w:t>
            </w:r>
          </w:p>
        </w:tc>
        <w:tc>
          <w:tcPr>
            <w:tcW w:type="dxa" w:w="1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Monthly Revenue</w:t>
            </w:r>
          </w:p>
        </w:tc>
        <w:tc>
          <w:tcPr>
            <w:tcW w:type="dxa" w:w="1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Monthly Net Profit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High-Growth / High-Risk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61.6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24.2%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72.8%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$168,302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$40,885</w:t>
            </w:r>
          </w:p>
        </w:tc>
      </w:tr>
      <w:tr>
        <w:tc>
          <w:tcPr>
            <w:tcW w:type="dxa" w:w="2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Scalable Self-Delivery Leaders</w:t>
            </w:r>
          </w:p>
        </w:tc>
        <w:tc>
          <w:tcPr>
            <w:tcW w:type="dxa" w:w="9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52.1</w:t>
            </w:r>
          </w:p>
        </w:tc>
        <w:tc>
          <w:tcPr>
            <w:tcW w:type="dxa" w:w="12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28.1%</w:t>
            </w:r>
          </w:p>
        </w:tc>
        <w:tc>
          <w:tcPr>
            <w:tcW w:type="dxa" w:w="1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61.9%</w:t>
            </w:r>
          </w:p>
        </w:tc>
        <w:tc>
          <w:tcPr>
            <w:tcW w:type="dxa" w:w="12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$97,273</w:t>
            </w:r>
          </w:p>
        </w:tc>
        <w:tc>
          <w:tcPr>
            <w:tcW w:type="dxa" w:w="12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$27,312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Stable Local Performers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47.3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26.4%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75.1%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$97,913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$24,742</w:t>
            </w:r>
          </w:p>
        </w:tc>
      </w:tr>
      <w:tr>
        <w:tc>
          <w:tcPr>
            <w:tcW w:type="dxa" w:w="2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Aggregator-Dependent Low Margin</w:t>
            </w:r>
          </w:p>
        </w:tc>
        <w:tc>
          <w:tcPr>
            <w:tcW w:type="dxa" w:w="9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42.3</w:t>
            </w:r>
          </w:p>
        </w:tc>
        <w:tc>
          <w:tcPr>
            <w:tcW w:type="dxa" w:w="12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13.5%</w:t>
            </w:r>
          </w:p>
        </w:tc>
        <w:tc>
          <w:tcPr>
            <w:tcW w:type="dxa" w:w="1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70.9%</w:t>
            </w:r>
          </w:p>
        </w:tc>
        <w:tc>
          <w:tcPr>
            <w:tcW w:type="dxa" w:w="12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$107,366</w:t>
            </w:r>
          </w:p>
        </w:tc>
        <w:tc>
          <w:tcPr>
            <w:tcW w:type="dxa" w:w="12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$14,568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Overextended, Low Return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22.6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9.5%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67.2%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$43,496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$4,109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t xml:space="preserve">6.2 Archetype Descriptions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High-Growth / High-Risk — Largest scale and strongest growth momentum in the portfolio, but rising cost burden. These branches are expanding fast; the risk is that cost discipline lags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Scalable Self-Delivery Leaders — Smaller in count but the strongest combination of margin quality and logistics efficiency via self-managed delivery. Prime candidates for replication in new locations.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 Local Performers — Moderate scale, healthy margins, balanced channel mix. The portfolio's dependable core.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Aggregator-Dependent Low Margin — Directly matches the brief's "aggregator-ready but margin-fragile" pattern: strong order volume sourced heavily from UberEats/DoorDash, with commission exposure compressing net margin.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Overextended, Low Return — Lowest GPI and highest combined cost burden (COGS+OPEX). These branches show low growth sustainability and warrant operational review before any further investment.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3. Net margin declines as aggregator (UberEats/DoorDash) dependence rises — the structural mechanism behind the 'margin-fragile' archetype.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4. GPI distribution by archetype, showing clear separation between high- and low-growth-potential groups.</w:t>
      </w:r>
    </w:p>
    <w:p>
      <w:pPr>
        <w:pStyle w:val="Heading1"/>
        <w:spacing w:after="160" w:before="320"/>
      </w:pPr>
      <w:r>
        <w:t xml:space="preserve">7. Key Performance Indicators (KPIs)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Strategic Use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Scale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Orders × GrowthFactor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Identifies branches with real growth momentum vs. flat volume</w:t>
            </w:r>
          </w:p>
        </w:tc>
      </w:tr>
      <w:tr>
        <w:tc>
          <w:tcPr>
            <w:tcW w:type="dxa" w:w="18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Cost Discipline</w:t>
            </w:r>
          </w:p>
        </w:tc>
        <w:tc>
          <w:tcPr>
            <w:tcW w:type="dxa" w:w="36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(COGS + OPEX) stability</w:t>
            </w:r>
          </w:p>
        </w:tc>
        <w:tc>
          <w:tcPr>
            <w:tcW w:type="dxa" w:w="36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Flags cost structures that will not support further scale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Aggregator Dependence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UberEats + DoorDash share of delivery orders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Surfaces margin-fragile, commission-exposed branches</w:t>
            </w:r>
          </w:p>
        </w:tc>
      </w:tr>
      <w:tr>
        <w:tc>
          <w:tcPr>
            <w:tcW w:type="dxa" w:w="18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Expansion Headroom</w:t>
            </w:r>
          </w:p>
        </w:tc>
        <w:tc>
          <w:tcPr>
            <w:tcW w:type="dxa" w:w="36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DeliveryRadiusKM vs. demand</w:t>
            </w:r>
          </w:p>
        </w:tc>
        <w:tc>
          <w:tcPr>
            <w:tcW w:type="dxa" w:w="36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Assesses whether logistics reach is under- or over-extended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Revenue Quality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AOV × margin consistency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Distinguishes high-value, stable revenue from volume-only growth</w:t>
            </w:r>
          </w:p>
        </w:tc>
      </w:tr>
    </w:tbl>
    <w:p>
      <w:pPr>
        <w:pStyle w:val="Heading1"/>
        <w:spacing w:after="160" w:before="320"/>
      </w:pPr>
      <w:r>
        <w:t xml:space="preserve">8. Strategic Recommendations</w:t>
      </w:r>
    </w:p>
    <w:p>
      <w:pPr>
        <w:spacing w:after="140"/>
      </w:pPr>
      <w:r>
        <w:t xml:space="preserve">Each branch receives one of three portfolio-level recommendations, derived directly from its archetype: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 — High-Growth/High-Risk and Scalable Self-Delivery Leaders: prioritize for expansion capital, but reinforce operational and cost-control capacity ahead of further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Rebalance channels — Aggregator-Dependent Low Margin: shift order volume toward in-store and self-delivery where feasible, and renegotiate or cap third-party commission exposure.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 / stabilize — Stable Local Performers and Overextended, Low Return: protect current margin, avoid premature expansion capital, and address cost burden before revisiting growth.</w:t>
      </w:r>
    </w:p>
    <w:p>
      <w:pPr>
        <w:spacing w:after="140"/>
      </w:pPr>
      <w:r>
        <w:t xml:space="preserve">These recommendations are surfaced per-branch in the accompanying Streamlit dashboard, alongside filters for subregion, cuisine, and segment, so decision-makers can move from a single portfolio-wide policy to branch-specific, evidence-based action.</w:t>
      </w:r>
    </w:p>
    <w:p>
      <w:pPr>
        <w:pStyle w:val="Heading1"/>
        <w:spacing w:after="160" w:before="320"/>
      </w:pPr>
      <w:r>
        <w:t xml:space="preserve">9.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dataset is synthetically generated to match the structural relationships described in the project brief (segment-driven growth, channel-mix, and cost patterns); absolute figures should be validated against actual point-of-sale, delivery-platform, and financial-system exports before use in real investment decisions.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Cluster boundaries are data-driven but not immutable — restaurants near a cluster boundary should be reviewed qualitatively rather than treated as strictly deterministic.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GPI weights (30/20/15/15/20) reflect a reasonable default emphasis on growth and margin; stakeholders may reweight based on strategic priorities (e.g., prioritizing cost resilience over raw growth in a downturn).</w:t>
      </w:r>
    </w:p>
    <w:p>
      <w:pPr>
        <w:pStyle w:val="Heading1"/>
        <w:spacing w:after="160" w:before="320"/>
      </w:pPr>
      <w:r>
        <w:t xml:space="preserve">10. Conclusion</w:t>
      </w:r>
    </w:p>
    <w:p>
      <w:pPr>
        <w:spacing w:after="140"/>
      </w:pPr>
      <w:r>
        <w:t xml:space="preserve">This project introduces a strategic, data-science-driven lens to hospitality decision-making. By moving beyond profit optimization into structural growth intelligence, it enables SkyCity Auckland Restaurants &amp; Bars to classify, score, and guide restaurants using latent patterns hidden across 30+ dimensions — unlocking smarter, more sustainable expansion strategies than a uniform, intuition-based approach could provide. The combination of a rigorous research methodology, a live self-service dashboard, and a plain-language executive summary ensures the analysis is usable at every level of the organization, from data teams to government stakeholders.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Restaurant Growth Potential &amp; Strategic Classification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320"/>
    </w:pPr>
    <w:rPr>
      <w:b/>
      <w:bCs/>
      <w:color w:val="1B2A4A"/>
      <w:sz w:val="30"/>
      <w:szCs w:val="30"/>
    </w:rPr>
  </w:style>
  <w:style w:type="paragraph" w:styleId="Heading2">
    <w:name w:val="Heading 2"/>
    <w:pPr>
      <w:spacing w:after="120" w:before="240"/>
    </w:pPr>
    <w:rPr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d03a1be5650a11529ec03fedbf84e15f03b8b4.png"/><Relationship Id="rId10" Type="http://schemas.openxmlformats.org/officeDocument/2006/relationships/image" Target="media/591b7c5ab85a19f21b43cea2836439aeed89d32a.png"/><Relationship Id="rId11" Type="http://schemas.openxmlformats.org/officeDocument/2006/relationships/image" Target="media/e9bc18581daf767558d9ecd0ec84e4d0956d5b31.png"/><Relationship Id="rId12" Type="http://schemas.openxmlformats.org/officeDocument/2006/relationships/image" Target="media/5778e271380fd1f82cd4a13916a03ff1465767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2026-09-18T22:02:35.952Z</dcterms:created>
  <dcterms:modified xsi:type="dcterms:W3CDTF">2026-09-18T22:02:35.952Z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