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Copyright 2020 </w:t>
      </w:r>
      <w:r w:rsidDel="00000000" w:rsidR="00000000" w:rsidRPr="00000000">
        <w:rPr>
          <w:color w:val="24292e"/>
          <w:rtl w:val="0"/>
        </w:rPr>
        <w:t xml:space="preserve">WCG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https://scripts.sil.org/OFL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PREAMBLE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others.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fonts, including any derivative works, can be bundled, embedded,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copyright statement(s).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new environment.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PERMISSION &amp; CONDITIONS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presented to the users.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permission.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the Font Software.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TERMINATION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 met.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DISCLAIMER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6.9291338582677" w:top="1133.8582677165355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