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b/>
          <w:bCs/>
          <w:color w:val="10141F"/>
          <w:sz w:val="52"/>
          <w:szCs w:val="52"/>
        </w:rPr>
        <w:t xml:space="preserve">CANARY</w:t>
      </w:r>
    </w:p>
    <w:p>
      <w:pPr>
        <w:spacing w:after="40"/>
      </w:pPr>
      <w:r>
        <w:rPr>
          <w:i/>
          <w:iCs/>
          <w:color w:val="0E7C99"/>
          <w:sz w:val="26"/>
          <w:szCs w:val="26"/>
        </w:rPr>
        <w:t xml:space="preserve">Architecture &amp; Summary — Locked, Current Spec</w:t>
      </w:r>
    </w:p>
    <w:p>
      <w:pPr>
        <w:spacing w:after="400"/>
      </w:pPr>
      <w:r>
        <w:rPr>
          <w:i/>
          <w:iCs/>
          <w:color w:val="5B6472"/>
          <w:sz w:val="20"/>
          <w:szCs w:val="20"/>
        </w:rPr>
        <w:t xml:space="preserve">Supersedes all earlier CAN-FD / PUF / BTS7960 / 3-sensor versions of this document</w:t>
      </w:r>
    </w:p>
    <w:p>
      <w:pPr>
        <w:pStyle w:val="Heading1"/>
        <w:spacing w:after="160" w:before="360"/>
      </w:pPr>
      <w:r>
        <w:t xml:space="preserve">1. System Overview</w:t>
      </w:r>
    </w:p>
    <w:p>
      <w:pPr>
        <w:spacing w:after="160" w:line="276"/>
      </w:pPr>
      <w:r>
        <w:rPr>
          <w:sz w:val="22"/>
          <w:szCs w:val="22"/>
        </w:rPr>
        <w:t xml:space="preserve">CANARY is a two-layer automotive intrusion detection system implemented on a 4-wheel-drive, skid-steer rover. Six ESP32 nodes exchange CAN-like messages over ESP-NOW (not physical CAN/CAN-FD hardware). Layer 1 verifies message authenticity and freshness using Ed25519 signatures and a BLAKE3 hash-tree freshness token. Layer 2 checks physical plausibility using an AI-aided Kalman filter fusing wheel-encoder and IMU data. A dedicated attacker node and a WiFi-to-ESP-NOW gateway node complete the six-node system.</w:t>
      </w:r>
    </w:p>
    <w:p>
      <w:pPr>
        <w:pStyle w:val="Heading1"/>
        <w:spacing w:after="160" w:before="360"/>
      </w:pPr>
      <w:r>
        <w:t xml:space="preserve">2. Node Architecture (6 Nodes)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800"/>
        <w:gridCol w:w="2400"/>
      </w:tblGrid>
      <w:tr>
        <w:trPr>
          <w:tblHeader/>
        </w:trPr>
        <w:tc>
          <w:tcPr>
            <w:tcW w:type="dxa" w:w="1600"/>
            <w:shd w:fill="101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2600"/>
            <w:shd w:fill="101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shd w:fill="101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2400"/>
            <w:shd w:fill="101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Signs messages?</w:t>
            </w:r>
          </w:p>
        </w:tc>
      </w:tr>
      <w:tr>
        <w:tc>
          <w:tcPr>
            <w:tcW w:type="dxa" w:w="1600"/>
            <w:shd w:fill="E7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 1</w:t>
            </w:r>
          </w:p>
        </w:tc>
        <w:tc>
          <w:tcPr>
            <w:tcW w:type="dxa" w:w="2600"/>
            <w:shd w:fill="E7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Encoder ECU</w:t>
            </w:r>
          </w:p>
        </w:tc>
        <w:tc>
          <w:tcPr>
            <w:tcW w:type="dxa" w:w="2800"/>
            <w:shd w:fill="E7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ESP32 + motor encoders (4-wheel feedback)</w:t>
            </w:r>
          </w:p>
        </w:tc>
        <w:tc>
          <w:tcPr>
            <w:tcW w:type="dxa" w:w="2400"/>
            <w:shd w:fill="E7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shd w:fill="E7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 2</w:t>
            </w:r>
          </w:p>
        </w:tc>
        <w:tc>
          <w:tcPr>
            <w:tcW w:type="dxa" w:w="2600"/>
            <w:shd w:fill="E7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IMU ECU</w:t>
            </w:r>
          </w:p>
        </w:tc>
        <w:tc>
          <w:tcPr>
            <w:tcW w:type="dxa" w:w="2800"/>
            <w:shd w:fill="E7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ESP32 + MPU6050</w:t>
            </w:r>
          </w:p>
        </w:tc>
        <w:tc>
          <w:tcPr>
            <w:tcW w:type="dxa" w:w="2400"/>
            <w:shd w:fill="E7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shd w:fill="E8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 3</w:t>
            </w:r>
          </w:p>
        </w:tc>
        <w:tc>
          <w:tcPr>
            <w:tcW w:type="dxa" w:w="2600"/>
            <w:shd w:fill="E8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Motor-Control ECU</w:t>
            </w:r>
          </w:p>
        </w:tc>
        <w:tc>
          <w:tcPr>
            <w:tcW w:type="dxa" w:w="2800"/>
            <w:shd w:fill="E8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ESP32 + 2x L298 + 4x DC geared motors</w:t>
            </w:r>
          </w:p>
        </w:tc>
        <w:tc>
          <w:tcPr>
            <w:tcW w:type="dxa" w:w="2400"/>
            <w:shd w:fill="E8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Executes approved commands only</w:t>
            </w:r>
          </w:p>
        </w:tc>
      </w:tr>
      <w:tr>
        <w:tc>
          <w:tcPr>
            <w:tcW w:type="dxa" w:w="1600"/>
            <w:shd w:fill="FDF3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 4</w:t>
            </w:r>
          </w:p>
        </w:tc>
        <w:tc>
          <w:tcPr>
            <w:tcW w:type="dxa" w:w="2600"/>
            <w:shd w:fill="FDF3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/ IDS ECU</w:t>
            </w:r>
          </w:p>
        </w:tc>
        <w:tc>
          <w:tcPr>
            <w:tcW w:type="dxa" w:w="2800"/>
            <w:shd w:fill="FDF3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ESP32 only — no sensor</w:t>
            </w:r>
          </w:p>
        </w:tc>
        <w:tc>
          <w:tcPr>
            <w:tcW w:type="dxa" w:w="2400"/>
            <w:shd w:fill="FDF3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Verifies Nodes 1, 2, 6</w:t>
            </w:r>
          </w:p>
        </w:tc>
      </w:tr>
      <w:tr>
        <w:tc>
          <w:tcPr>
            <w:tcW w:type="dxa" w:w="1600"/>
            <w:shd w:fill="FBE9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 5</w:t>
            </w:r>
          </w:p>
        </w:tc>
        <w:tc>
          <w:tcPr>
            <w:tcW w:type="dxa" w:w="2600"/>
            <w:shd w:fill="FBE9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Attacker</w:t>
            </w:r>
          </w:p>
        </w:tc>
        <w:tc>
          <w:tcPr>
            <w:tcW w:type="dxa" w:w="2800"/>
            <w:shd w:fill="FBE9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ESP32 only — no sensor, no valid key</w:t>
            </w:r>
          </w:p>
        </w:tc>
        <w:tc>
          <w:tcPr>
            <w:tcW w:type="dxa" w:w="2400"/>
            <w:shd w:fill="FBE9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— that's the point</w:t>
            </w:r>
          </w:p>
        </w:tc>
      </w:tr>
      <w:tr>
        <w:tc>
          <w:tcPr>
            <w:tcW w:type="dxa" w:w="1600"/>
            <w:shd w:fill="E7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 6</w:t>
            </w:r>
          </w:p>
        </w:tc>
        <w:tc>
          <w:tcPr>
            <w:tcW w:type="dxa" w:w="2600"/>
            <w:shd w:fill="E7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Gateway ECU</w:t>
            </w:r>
          </w:p>
        </w:tc>
        <w:tc>
          <w:tcPr>
            <w:tcW w:type="dxa" w:w="2800"/>
            <w:shd w:fill="E7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ESP32, bridges laptop (WiFi) → ESP-NOW</w:t>
            </w:r>
          </w:p>
        </w:tc>
        <w:tc>
          <w:tcPr>
            <w:tcW w:type="dxa" w:w="2400"/>
            <w:shd w:fill="E7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3. Communication Architecture</w:t>
      </w:r>
    </w:p>
    <w:p>
      <w:pPr>
        <w:spacing w:after="160" w:line="276"/>
      </w:pPr>
      <w:r>
        <w:rPr>
          <w:sz w:val="22"/>
          <w:szCs w:val="22"/>
        </w:rPr>
        <w:t xml:space="preserve">Transport is ESP-NOW — a native ESP32-to-ESP32 wireless protocol, not physical CAN/CAN-FD. There is no CAN_H/CAN_L, no 120Ω termination, and no CAN transceiver hardware (MCP2518FD etc.) anywhere in this design. The application-layer message structure is deliberately designed to behave like a CAN frame (fixed fields, ID-based sender identification), so the security logic and message format are transport-agnostic — the same struct could later move to real CAN-FD hardware without changing Layer 1 or Layer 2 logic.</w:t>
      </w:r>
    </w:p>
    <w:p>
      <w:pPr>
        <w:spacing w:after="160" w:line="276"/>
      </w:pPr>
      <w:r>
        <w:rPr>
          <w:sz w:val="22"/>
          <w:szCs w:val="22"/>
        </w:rPr>
        <w:t xml:space="preserve">Documentation phrasing: “CAN-like simulated communication over ESP-NOW; CAN-FD physical-layer operation is not implemented.” Use this exact framing so the choice reads as deliberate, not as a misunderstanding of what CAN-FD requires.</w:t>
      </w:r>
    </w:p>
    <w:p>
      <w:pPr>
        <w:spacing w:after="160" w:line="276"/>
      </w:pPr>
      <w:r>
        <w:rPr>
          <w:sz w:val="22"/>
          <w:szCs w:val="22"/>
        </w:rPr>
        <w:t xml:space="preserve">Node 6 bridges an operator laptop (over WiFi) into the ESP-NOW mesh. The laptop→Node 6 WiFi hop is explicitly out of scope for CANARY's security guarantees — it is treated as a trusted operator channel. Node 6 itself is fully authenticated like every other legitimate node once it forwards a command onto ESP-NOW.</w:t>
      </w:r>
    </w:p>
    <w:p>
      <w:pPr>
        <w:pStyle w:val="Heading1"/>
        <w:spacing w:after="160" w:before="360"/>
      </w:pPr>
      <w:r>
        <w:t xml:space="preserve">4. CANARY Message Format (90 bytes)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600"/>
      </w:tblGrid>
      <w:tr>
        <w:trPr>
          <w:tblHeader/>
        </w:trPr>
        <w:tc>
          <w:tcPr>
            <w:tcW w:type="dxa" w:w="2400"/>
            <w:shd w:fill="101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shd w:fill="101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5600"/>
            <w:shd w:fill="101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shd w:fill="E8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sender_id</w:t>
            </w:r>
          </w:p>
        </w:tc>
        <w:tc>
          <w:tcPr>
            <w:tcW w:type="dxa" w:w="1400"/>
            <w:shd w:fill="E8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byte</w:t>
            </w:r>
          </w:p>
        </w:tc>
        <w:tc>
          <w:tcPr>
            <w:tcW w:type="dxa" w:w="5600"/>
            <w:shd w:fill="E8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Which node claims to have sent this (1, 2, or 6 for legitimate traffic)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msg_type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byte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wheel_speed / imu_data / motion_cmd / motor_ack</w:t>
            </w:r>
          </w:p>
        </w:tc>
      </w:tr>
      <w:tr>
        <w:tc>
          <w:tcPr>
            <w:tcW w:type="dxa" w:w="2400"/>
            <w:shd w:fill="E8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epoch</w:t>
            </w:r>
          </w:p>
        </w:tc>
        <w:tc>
          <w:tcPr>
            <w:tcW w:type="dxa" w:w="1400"/>
            <w:shd w:fill="E8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bytes</w:t>
            </w:r>
          </w:p>
        </w:tc>
        <w:tc>
          <w:tcPr>
            <w:tcW w:type="dxa" w:w="5600"/>
            <w:shd w:fill="E8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Monotonic per-sender counter (not wall-clock time) — replay protection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payload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bytes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actual sensor reading or command value</w:t>
            </w:r>
          </w:p>
        </w:tc>
      </w:tr>
      <w:tr>
        <w:tc>
          <w:tcPr>
            <w:tcW w:type="dxa" w:w="2400"/>
            <w:shd w:fill="E8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freshness</w:t>
            </w:r>
          </w:p>
        </w:tc>
        <w:tc>
          <w:tcPr>
            <w:tcW w:type="dxa" w:w="1400"/>
            <w:shd w:fill="E8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bytes</w:t>
            </w:r>
          </w:p>
        </w:tc>
        <w:tc>
          <w:tcPr>
            <w:tcW w:type="dxa" w:w="5600"/>
            <w:shd w:fill="E8F1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BLAKE3 hash-tree token for this epoch — second, independent freshness proof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 bytes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Ed25519 signature over all fields above</w:t>
            </w:r>
          </w:p>
        </w:tc>
      </w:tr>
      <w:tr>
        <w:tc>
          <w:tcPr>
            <w:tcW w:type="dxa" w:w="2400"/>
            <w:shd w:fill="FDF3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shd w:fill="FDF3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 bytes</w:t>
            </w:r>
          </w:p>
        </w:tc>
        <w:tc>
          <w:tcPr>
            <w:tcW w:type="dxa" w:w="5600"/>
            <w:shd w:fill="FDF3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Fits in a single ESP-NOW packet (250-byte limit) with 160 bytes to spare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5. Layer 1 — Cryptographic Authentication &amp; Freshness</w:t>
      </w:r>
    </w:p>
    <w:p>
      <w:pPr>
        <w:spacing w:after="160" w:line="276"/>
      </w:pPr>
      <w:r>
        <w:rPr>
          <w:sz w:val="22"/>
          <w:szCs w:val="22"/>
        </w:rPr>
        <w:t xml:space="preserve">Answers: “Who sent this, and is it fresh?”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Ed25519 (via Monocypher, which uses BLAKE2b internally rather than SHA-512 — provisioning and firmware both use Monocypher consistently to avoid any interoperability mismatch).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Each legitimate node (1, 2, 6) has one static Ed25519 keypair, generated once at provisioning. Node 4 stores only public keys; Node 5 (attacker) is provisioned with nothing.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Freshness: a per-node monotonic epoch counter, checked first (cheap), plus a BLAKE3 hash-tree-derived freshness token (same tree construction as OSU's eCTF 2025 design, repurposed here as a second independent secret — not for confidentiality, since sensor values aren't secret, but so that forgery requires compromising two separate secrets rather than one).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Verification order on Node 4, cheapest check first: (1) known sender_id, (2) epoch &gt; last_seen[sender_id], (3) Ed25519 signature valid, (4) freshness token matches independently-recomputed tree value.</w:t>
      </w:r>
    </w:p>
    <w:p>
      <w:pPr>
        <w:pStyle w:val="Heading1"/>
        <w:spacing w:after="160" w:before="360"/>
      </w:pPr>
      <w:r>
        <w:t xml:space="preserve">6. Layer 2 — Physical Plausibility (Sensor Fusion)</w:t>
      </w:r>
    </w:p>
    <w:p>
      <w:pPr>
        <w:spacing w:after="160" w:line="276"/>
      </w:pPr>
      <w:r>
        <w:rPr>
          <w:sz w:val="22"/>
          <w:szCs w:val="22"/>
        </w:rPr>
        <w:t xml:space="preserve">Answers: “Even if authenticated, does this match physical reality?”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Encoder data (Node 1, all 4 wheels) and IMU data (Node 2, particularly Z-axis/yaw rate) are fused via an AI-aided Kalman filter on Node 4.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Differential-drive kinematics check: expected_yaw_rate ≈ (v_right − v_left) / track_width, compared against the IMU's actual measured yaw rate. A large residual flags a physically implausible message — this replaces any dedicated steering-angle sensor, which was deliberately removed from the design (a potentiometer cannot survive being shaft-coupled to a continuously rotating wheel).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This layer catches the one thing Layer 1 structurally cannot: a fully compromised node producing correctly-signed, fresh, but physically false messages.</w:t>
      </w:r>
    </w:p>
    <w:p>
      <w:pPr>
        <w:pStyle w:val="Heading1"/>
        <w:spacing w:after="160" w:before="360"/>
      </w:pPr>
      <w:r>
        <w:t xml:space="preserve">7. Attack Handling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400"/>
      </w:tblGrid>
      <w:tr>
        <w:trPr>
          <w:tblHeader/>
        </w:trPr>
        <w:tc>
          <w:tcPr>
            <w:tcW w:type="dxa" w:w="2600"/>
            <w:shd w:fill="101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Attack attempt</w:t>
            </w:r>
          </w:p>
        </w:tc>
        <w:tc>
          <w:tcPr>
            <w:tcW w:type="dxa" w:w="3400"/>
            <w:shd w:fill="101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400"/>
            <w:shd w:fill="101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Caught by</w:t>
            </w:r>
          </w:p>
        </w:tc>
      </w:tr>
      <w:tr>
        <w:tc>
          <w:tcPr>
            <w:tcW w:type="dxa" w:w="2600"/>
            <w:shd w:fill="FBE9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Fabricated message (no valid key)</w:t>
            </w:r>
          </w:p>
        </w:tc>
        <w:tc>
          <w:tcPr>
            <w:tcW w:type="dxa" w:w="3400"/>
            <w:shd w:fill="FBE9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 5 cannot produce a valid signature at all</w:t>
            </w:r>
          </w:p>
        </w:tc>
        <w:tc>
          <w:tcPr>
            <w:tcW w:type="dxa" w:w="3400"/>
            <w:shd w:fill="FBE9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Layer 1 — signature check</w:t>
            </w:r>
          </w:p>
        </w:tc>
      </w:tr>
      <w:tr>
        <w:tc>
          <w:tcPr>
            <w:tcW w:type="dxa" w:w="2600"/>
            <w:shd w:fill="FDF3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Verbatim replay of an old valid message</w:t>
            </w:r>
          </w:p>
        </w:tc>
        <w:tc>
          <w:tcPr>
            <w:tcW w:type="dxa" w:w="3400"/>
            <w:shd w:fill="FDF3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Signature is valid, but the epoch is old</w:t>
            </w:r>
          </w:p>
        </w:tc>
        <w:tc>
          <w:tcPr>
            <w:tcW w:type="dxa" w:w="3400"/>
            <w:shd w:fill="FDF3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Layer 1 — freshness check (epoch ≤ last_seen)</w:t>
            </w:r>
          </w:p>
        </w:tc>
      </w:tr>
      <w:tr>
        <w:tc>
          <w:tcPr>
            <w:tcW w:type="dxa" w:w="2600"/>
            <w:shd w:fill="FDF3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Replay with a manually bumped epoch</w:t>
            </w:r>
          </w:p>
        </w:tc>
        <w:tc>
          <w:tcPr>
            <w:tcW w:type="dxa" w:w="3400"/>
            <w:shd w:fill="FDF3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Epoch is part of the signed region, so editing it invalidates the signature</w:t>
            </w:r>
          </w:p>
        </w:tc>
        <w:tc>
          <w:tcPr>
            <w:tcW w:type="dxa" w:w="3400"/>
            <w:shd w:fill="FDF3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Layer 1 — signature check</w:t>
            </w:r>
          </w:p>
        </w:tc>
      </w:tr>
      <w:tr>
        <w:tc>
          <w:tcPr>
            <w:tcW w:type="dxa" w:w="2600"/>
            <w:shd w:fill="E7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Fully compromised node, correctly signed, fresh, but physically false</w:t>
            </w:r>
          </w:p>
        </w:tc>
        <w:tc>
          <w:tcPr>
            <w:tcW w:type="dxa" w:w="3400"/>
            <w:shd w:fill="E7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 is cryptographically perfect but doesn't match real sensor behavior</w:t>
            </w:r>
          </w:p>
        </w:tc>
        <w:tc>
          <w:tcPr>
            <w:tcW w:type="dxa" w:w="3400"/>
            <w:shd w:fill="E7F5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Layer 2 — Kalman-filter residual check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8. Physical Platform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4WD, skid-steer (differential wheel speed) — no mechanical steering axle, no steering servo.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2x L298 motor drivers (one per side) driving 4 DC geared motors independently — replaces the earlier BTS7960 choice, better matched to actual motor current draw.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Chassis: 450mm (L) × 250mm (W), wheelbase 280mm, track width 180mm, wheel diameter 80mm, ground clearance ~20mm, two-tier deck layout.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Power: 3S Li-ion battery (11.1V nominal) via 30A fuse and main switch, buck-converted to 5V for logic; single common ground across all 6 nodes.</w:t>
      </w:r>
    </w:p>
    <w:p>
      <w:pPr>
        <w:pStyle w:val="Heading1"/>
        <w:spacing w:after="160" w:before="360"/>
      </w:pPr>
      <w:r>
        <w:t xml:space="preserve">9. Current Implementation Status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Done and tested: CANARY message struct (90 bytes, confirmed via host compilation); Ed25519 sign/verify wrapper over Monocypher; provisioning tool generating real keypairs for Nodes 1, 2, 6; a 4-case test harness proving legitimate-message acceptance and rejection of forgery, tampered payload, and replay-with-edited-epoch — all passing on real cryptographic operations, run on-host (not yet on ESP32 hardware).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Not yet started: BLAKE3 hash-tree freshness token (currently a zeroed placeholder field in the struct); ESP-NOW transport integration; Node 3/4/5/6 firmware; Layer 2 Kalman filter implementation; on-device (ESP32) testing.</w:t>
      </w:r>
    </w:p>
    <w:p>
      <w:pPr>
        <w:pStyle w:val="Heading1"/>
        <w:spacing w:after="160" w:before="360"/>
      </w:pPr>
      <w:r>
        <w:t xml:space="preserve">10. Explicit Scope Boundaries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The laptop→Node 6 WiFi link is a trusted operator channel, not defended by CANARY.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Layer 2 cannot flag attacks on message types with no correlated physical sensor (e.g., a hypothetical non-motion command).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This is a benchtop demonstration platform; a production deployment would consume sensor data already broadcast by existing vehicle ECUs (ABS, ESC) rather than requiring dedicated sensor hardware.</w:t>
      </w:r>
    </w:p>
    <w:sectPr>
      <w:headerReference w:type="default" r:id="rId7"/>
      <w:footerReference w:type="default" r:id="rId8"/>
      <w:pgSz w:w="12240" w:h="15840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8"/>
        <w:szCs w:val="18"/>
      </w:rPr>
      <w:t xml:space="preserve">Page </w:t>
    </w:r>
    <w:r>
      <w:rPr>
        <w:color w:val="5B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472"/>
        <w:sz w:val="18"/>
        <w:szCs w:val="18"/>
      </w:rPr>
      <w:t xml:space="preserve"> of </w:t>
    </w:r>
    <w:r>
      <w:rPr>
        <w:color w:val="5B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5B6472"/>
        <w:sz w:val="18"/>
        <w:szCs w:val="18"/>
      </w:rPr>
      <w:t xml:space="preserve">CANARY — Architecture &amp; Summary (Current)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C99" w:sz="6" w:space="4"/>
      </w:pBdr>
      <w:spacing w:after="160" w:before="360"/>
    </w:pPr>
    <w:rPr>
      <w:rFonts w:ascii="Cambria" w:cs="Cambria" w:eastAsia="Cambria" w:hAnsi="Cambria"/>
      <w:b/>
      <w:bCs/>
      <w:color w:val="10141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2026-09-13T17:03:52.146Z</dcterms:created>
  <dcterms:modified xsi:type="dcterms:W3CDTF">2026-09-13T17:03:52.156Z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