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26C0" w14:textId="176CF80B" w:rsidR="00C30EB6" w:rsidRPr="00DC7D6F" w:rsidRDefault="00DC7D6F">
      <w:pPr>
        <w:pStyle w:val="Heading1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Literature Review-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30EB6" w14:paraId="52EC79EB" w14:textId="77777777">
        <w:tc>
          <w:tcPr>
            <w:tcW w:w="1728" w:type="dxa"/>
          </w:tcPr>
          <w:p w14:paraId="3DC85FE1" w14:textId="77777777" w:rsidR="00C30EB6" w:rsidRDefault="00000000">
            <w:r>
              <w:rPr>
                <w:sz w:val="18"/>
              </w:rPr>
              <w:t>Paper</w:t>
            </w:r>
          </w:p>
        </w:tc>
        <w:tc>
          <w:tcPr>
            <w:tcW w:w="1728" w:type="dxa"/>
          </w:tcPr>
          <w:p w14:paraId="4B130332" w14:textId="77777777" w:rsidR="00C30EB6" w:rsidRDefault="00000000">
            <w:r>
              <w:rPr>
                <w:sz w:val="18"/>
              </w:rPr>
              <w:t>Previous Limitation Addressed</w:t>
            </w:r>
          </w:p>
        </w:tc>
        <w:tc>
          <w:tcPr>
            <w:tcW w:w="1728" w:type="dxa"/>
          </w:tcPr>
          <w:p w14:paraId="336E6171" w14:textId="77777777" w:rsidR="00C30EB6" w:rsidRDefault="00000000">
            <w:r>
              <w:rPr>
                <w:sz w:val="18"/>
              </w:rPr>
              <w:t>New Contribution</w:t>
            </w:r>
          </w:p>
        </w:tc>
        <w:tc>
          <w:tcPr>
            <w:tcW w:w="1728" w:type="dxa"/>
          </w:tcPr>
          <w:p w14:paraId="2C9D0272" w14:textId="77777777" w:rsidR="00C30EB6" w:rsidRDefault="00000000">
            <w:r>
              <w:rPr>
                <w:sz w:val="18"/>
              </w:rPr>
              <w:t>Remaining Research Gap</w:t>
            </w:r>
          </w:p>
        </w:tc>
        <w:tc>
          <w:tcPr>
            <w:tcW w:w="1728" w:type="dxa"/>
          </w:tcPr>
          <w:p w14:paraId="1E739374" w14:textId="77777777" w:rsidR="00C30EB6" w:rsidRDefault="00000000">
            <w:r>
              <w:rPr>
                <w:sz w:val="18"/>
              </w:rPr>
              <w:t>Why The Next Paper Is Needed</w:t>
            </w:r>
          </w:p>
        </w:tc>
      </w:tr>
      <w:tr w:rsidR="00C30EB6" w14:paraId="41568E1D" w14:textId="77777777">
        <w:tc>
          <w:tcPr>
            <w:tcW w:w="1728" w:type="dxa"/>
          </w:tcPr>
          <w:p w14:paraId="40324CB9" w14:textId="77777777" w:rsidR="00C30EB6" w:rsidRDefault="00000000">
            <w:pPr>
              <w:rPr>
                <w:sz w:val="18"/>
              </w:rPr>
            </w:pPr>
            <w:r>
              <w:rPr>
                <w:sz w:val="18"/>
              </w:rPr>
              <w:t>Digital-twin gap framing / T1D digital twin systematic review</w:t>
            </w:r>
          </w:p>
          <w:p w14:paraId="550E0FBA" w14:textId="77777777" w:rsidR="00CD2052" w:rsidRDefault="00CD2052"/>
        </w:tc>
        <w:tc>
          <w:tcPr>
            <w:tcW w:w="1728" w:type="dxa"/>
          </w:tcPr>
          <w:p w14:paraId="177E26DE" w14:textId="77777777" w:rsidR="00C30EB6" w:rsidRDefault="00000000">
            <w:r>
              <w:rPr>
                <w:sz w:val="18"/>
              </w:rPr>
              <w:t>Sets the baseline gap: existing T1D digital twins are not yet comprehensive, multi-scale virtual replicas, and they mostly model glucose-insulin metabolism rather than the full patient [1].</w:t>
            </w:r>
          </w:p>
        </w:tc>
        <w:tc>
          <w:tcPr>
            <w:tcW w:w="1728" w:type="dxa"/>
          </w:tcPr>
          <w:p w14:paraId="5DA5D363" w14:textId="77777777" w:rsidR="00C30EB6" w:rsidRDefault="00000000">
            <w:r>
              <w:rPr>
                <w:sz w:val="18"/>
              </w:rPr>
              <w:t>Clarifies what the field is missing and defines the need for a more integrated, personalized digital twin approach.</w:t>
            </w:r>
          </w:p>
        </w:tc>
        <w:tc>
          <w:tcPr>
            <w:tcW w:w="1728" w:type="dxa"/>
          </w:tcPr>
          <w:p w14:paraId="3DAB5468" w14:textId="77777777" w:rsidR="00C30EB6" w:rsidRDefault="00000000">
            <w:r>
              <w:rPr>
                <w:sz w:val="18"/>
              </w:rPr>
              <w:t>The literature still lacks an end-to-end framework that combines physiology, forecasting, personalization, and explainability in one system.</w:t>
            </w:r>
          </w:p>
        </w:tc>
        <w:tc>
          <w:tcPr>
            <w:tcW w:w="1728" w:type="dxa"/>
          </w:tcPr>
          <w:p w14:paraId="70D1F2A5" w14:textId="77777777" w:rsidR="00C30EB6" w:rsidRDefault="00000000">
            <w:r>
              <w:rPr>
                <w:sz w:val="18"/>
              </w:rPr>
              <w:t>A first step is to show that CGM-based risk prediction can be both accurate and explainable, not just descriptive.</w:t>
            </w:r>
          </w:p>
        </w:tc>
      </w:tr>
      <w:tr w:rsidR="00C30EB6" w14:paraId="24777519" w14:textId="77777777">
        <w:tc>
          <w:tcPr>
            <w:tcW w:w="1728" w:type="dxa"/>
          </w:tcPr>
          <w:p w14:paraId="3096D736" w14:textId="77777777" w:rsidR="00C30EB6" w:rsidRDefault="00000000">
            <w:r>
              <w:rPr>
                <w:sz w:val="18"/>
              </w:rPr>
              <w:t>Explainable T1D risk prediction</w:t>
            </w:r>
          </w:p>
        </w:tc>
        <w:tc>
          <w:tcPr>
            <w:tcW w:w="1728" w:type="dxa"/>
          </w:tcPr>
          <w:p w14:paraId="25CB02F1" w14:textId="77777777" w:rsidR="00C30EB6" w:rsidRDefault="00000000">
            <w:r>
              <w:rPr>
                <w:sz w:val="18"/>
              </w:rPr>
              <w:t>Addresses the opacity of black-box CGM models by adding SHAP explanations to short-horizon hypoglycemia and hyperglycemia prediction [2].</w:t>
            </w:r>
          </w:p>
        </w:tc>
        <w:tc>
          <w:tcPr>
            <w:tcW w:w="1728" w:type="dxa"/>
          </w:tcPr>
          <w:p w14:paraId="783CA699" w14:textId="77777777" w:rsidR="00C30EB6" w:rsidRDefault="00000000">
            <w:r>
              <w:rPr>
                <w:sz w:val="18"/>
              </w:rPr>
              <w:t>Shows that patient-level risk forecasting can be both strong and interpretable, with feature attributions tied to individual CGM patterns.</w:t>
            </w:r>
          </w:p>
        </w:tc>
        <w:tc>
          <w:tcPr>
            <w:tcW w:w="1728" w:type="dxa"/>
          </w:tcPr>
          <w:p w14:paraId="49D02D9F" w14:textId="77777777" w:rsidR="00C30EB6" w:rsidRDefault="00000000">
            <w:r>
              <w:rPr>
                <w:sz w:val="18"/>
              </w:rPr>
              <w:t>The model explains risk, but it does not recommend actions or encode glucose-insulin physiology.</w:t>
            </w:r>
          </w:p>
        </w:tc>
        <w:tc>
          <w:tcPr>
            <w:tcW w:w="1728" w:type="dxa"/>
          </w:tcPr>
          <w:p w14:paraId="52731848" w14:textId="77777777" w:rsidR="00C30EB6" w:rsidRDefault="00000000">
            <w:r>
              <w:rPr>
                <w:sz w:val="18"/>
              </w:rPr>
              <w:t>The next step is to move from explanation to bounded intervention suggestions.</w:t>
            </w:r>
          </w:p>
        </w:tc>
      </w:tr>
      <w:tr w:rsidR="00C30EB6" w14:paraId="494F2030" w14:textId="77777777">
        <w:tc>
          <w:tcPr>
            <w:tcW w:w="1728" w:type="dxa"/>
          </w:tcPr>
          <w:p w14:paraId="15D40BFD" w14:textId="77777777" w:rsidR="00C30EB6" w:rsidRDefault="00000000">
            <w:r>
              <w:rPr>
                <w:sz w:val="18"/>
              </w:rPr>
              <w:t>SHAP-guided control recommendations on OhioT1DM</w:t>
            </w:r>
          </w:p>
        </w:tc>
        <w:tc>
          <w:tcPr>
            <w:tcW w:w="1728" w:type="dxa"/>
          </w:tcPr>
          <w:p w14:paraId="02DC9C77" w14:textId="77777777" w:rsidR="00C30EB6" w:rsidRDefault="00000000">
            <w:r>
              <w:rPr>
                <w:sz w:val="18"/>
              </w:rPr>
              <w:t>Builds on explainable risk prediction by trying to use SHAP attributions to guide an actor-critic reinforcement-learning policy [3].</w:t>
            </w:r>
          </w:p>
        </w:tc>
        <w:tc>
          <w:tcPr>
            <w:tcW w:w="1728" w:type="dxa"/>
          </w:tcPr>
          <w:p w14:paraId="646B3381" w14:textId="77777777" w:rsidR="00C30EB6" w:rsidRDefault="00000000">
            <w:r>
              <w:rPr>
                <w:sz w:val="18"/>
              </w:rPr>
              <w:t>Introduces a bridge from prediction to action by generating bounded one-step behavioral recommendations on OhioT1DM.</w:t>
            </w:r>
          </w:p>
        </w:tc>
        <w:tc>
          <w:tcPr>
            <w:tcW w:w="1728" w:type="dxa"/>
          </w:tcPr>
          <w:p w14:paraId="7FA3D77E" w14:textId="77777777" w:rsidR="00C30EB6" w:rsidRDefault="00000000">
            <w:r>
              <w:rPr>
                <w:sz w:val="18"/>
              </w:rPr>
              <w:t>The authors explicitly frame it as exploratory and not clinically safe, so the intervention layer is still not deployable [3].</w:t>
            </w:r>
          </w:p>
        </w:tc>
        <w:tc>
          <w:tcPr>
            <w:tcW w:w="1728" w:type="dxa"/>
          </w:tcPr>
          <w:p w14:paraId="4B8F08BD" w14:textId="77777777" w:rsidR="00C30EB6" w:rsidRDefault="00000000">
            <w:r>
              <w:rPr>
                <w:sz w:val="18"/>
              </w:rPr>
              <w:t>A safer next step is a more focused personalized forecasting problem, especially postprandial response, where explanation can be tied to specific inputs.</w:t>
            </w:r>
          </w:p>
        </w:tc>
      </w:tr>
      <w:tr w:rsidR="00C30EB6" w14:paraId="3FA5710B" w14:textId="77777777">
        <w:tc>
          <w:tcPr>
            <w:tcW w:w="1728" w:type="dxa"/>
          </w:tcPr>
          <w:p w14:paraId="7B92AFFE" w14:textId="77777777" w:rsidR="00C30EB6" w:rsidRDefault="00000000">
            <w:r>
              <w:rPr>
                <w:sz w:val="18"/>
              </w:rPr>
              <w:t>Explainable postprandial glucose modeling</w:t>
            </w:r>
          </w:p>
        </w:tc>
        <w:tc>
          <w:tcPr>
            <w:tcW w:w="1728" w:type="dxa"/>
          </w:tcPr>
          <w:p w14:paraId="4576AC51" w14:textId="77777777" w:rsidR="00C30EB6" w:rsidRDefault="00000000">
            <w:r>
              <w:rPr>
                <w:sz w:val="18"/>
              </w:rPr>
              <w:t>Moves beyond generic risk prediction to explain which meal-response variables drive postprandial glucose excursions [4].</w:t>
            </w:r>
          </w:p>
        </w:tc>
        <w:tc>
          <w:tcPr>
            <w:tcW w:w="1728" w:type="dxa"/>
          </w:tcPr>
          <w:p w14:paraId="74BD81CE" w14:textId="77777777" w:rsidR="00C30EB6" w:rsidRDefault="00000000">
            <w:r>
              <w:rPr>
                <w:sz w:val="18"/>
              </w:rPr>
              <w:t>Shows how CGM windows can be turned into personalized meal-response forecasts with transparent feature attribution.</w:t>
            </w:r>
          </w:p>
        </w:tc>
        <w:tc>
          <w:tcPr>
            <w:tcW w:w="1728" w:type="dxa"/>
          </w:tcPr>
          <w:p w14:paraId="2529A8A2" w14:textId="77777777" w:rsidR="00C30EB6" w:rsidRDefault="00000000">
            <w:r>
              <w:rPr>
                <w:sz w:val="18"/>
              </w:rPr>
              <w:t>It is still a data-driven model and does not enforce glucose-insulin physiology or support digital-twin simulation.</w:t>
            </w:r>
          </w:p>
        </w:tc>
        <w:tc>
          <w:tcPr>
            <w:tcW w:w="1728" w:type="dxa"/>
          </w:tcPr>
          <w:p w14:paraId="4A371ECD" w14:textId="77777777" w:rsidR="00C30EB6" w:rsidRDefault="00000000">
            <w:r>
              <w:rPr>
                <w:sz w:val="18"/>
              </w:rPr>
              <w:t>The next paper needs to hard-wire physiological knowledge into the learning objective.</w:t>
            </w:r>
          </w:p>
        </w:tc>
      </w:tr>
      <w:tr w:rsidR="00C30EB6" w14:paraId="736FF913" w14:textId="77777777">
        <w:tc>
          <w:tcPr>
            <w:tcW w:w="1728" w:type="dxa"/>
          </w:tcPr>
          <w:p w14:paraId="48EE9347" w14:textId="77777777" w:rsidR="00C30EB6" w:rsidRDefault="00000000">
            <w:r>
              <w:rPr>
                <w:sz w:val="18"/>
              </w:rPr>
              <w:t>First PINN glucose predictor</w:t>
            </w:r>
          </w:p>
        </w:tc>
        <w:tc>
          <w:tcPr>
            <w:tcW w:w="1728" w:type="dxa"/>
          </w:tcPr>
          <w:p w14:paraId="0394F44C" w14:textId="77777777" w:rsidR="00C30EB6" w:rsidRDefault="00000000">
            <w:r>
              <w:rPr>
                <w:sz w:val="18"/>
              </w:rPr>
              <w:t>Adds a physics penalty to sequence learning so the model respects glucose metabolism dynamics [5].</w:t>
            </w:r>
          </w:p>
        </w:tc>
        <w:tc>
          <w:tcPr>
            <w:tcW w:w="1728" w:type="dxa"/>
          </w:tcPr>
          <w:p w14:paraId="046CB180" w14:textId="77777777" w:rsidR="00C30EB6" w:rsidRDefault="00000000">
            <w:r>
              <w:rPr>
                <w:sz w:val="18"/>
              </w:rPr>
              <w:t>Shows that a PINN-style design can improve short-term prediction on in-silico T1D subjects while preserving mechanistic plausibility.</w:t>
            </w:r>
          </w:p>
        </w:tc>
        <w:tc>
          <w:tcPr>
            <w:tcW w:w="1728" w:type="dxa"/>
          </w:tcPr>
          <w:p w14:paraId="58E21D37" w14:textId="77777777" w:rsidR="00C30EB6" w:rsidRDefault="00000000">
            <w:r>
              <w:rPr>
                <w:sz w:val="18"/>
              </w:rPr>
              <w:t>Validation is simulator-only and the horizon is short, so real-world generalization is still uncertain.</w:t>
            </w:r>
          </w:p>
        </w:tc>
        <w:tc>
          <w:tcPr>
            <w:tcW w:w="1728" w:type="dxa"/>
          </w:tcPr>
          <w:p w14:paraId="7587BD24" w14:textId="77777777" w:rsidR="00C30EB6" w:rsidRDefault="00000000">
            <w:r>
              <w:rPr>
                <w:sz w:val="18"/>
              </w:rPr>
              <w:t>The next paper should use a more explicit physiological model to strengthen the mechanistic prior.</w:t>
            </w:r>
          </w:p>
        </w:tc>
      </w:tr>
      <w:tr w:rsidR="00C30EB6" w14:paraId="3F7758EF" w14:textId="77777777">
        <w:tc>
          <w:tcPr>
            <w:tcW w:w="1728" w:type="dxa"/>
          </w:tcPr>
          <w:p w14:paraId="29B3366E" w14:textId="77777777" w:rsidR="00C30EB6" w:rsidRDefault="00000000">
            <w:r>
              <w:rPr>
                <w:sz w:val="18"/>
              </w:rPr>
              <w:t>Bergman-constrained PINN</w:t>
            </w:r>
          </w:p>
        </w:tc>
        <w:tc>
          <w:tcPr>
            <w:tcW w:w="1728" w:type="dxa"/>
          </w:tcPr>
          <w:p w14:paraId="5B3BDC6C" w14:textId="77777777" w:rsidR="00C30EB6" w:rsidRDefault="00000000">
            <w:r>
              <w:rPr>
                <w:sz w:val="18"/>
              </w:rPr>
              <w:t xml:space="preserve">Strengthens the physics prior by constraining the PINN with the </w:t>
            </w:r>
            <w:r>
              <w:rPr>
                <w:sz w:val="18"/>
              </w:rPr>
              <w:lastRenderedPageBreak/>
              <w:t>Bergman Minimal Model [6].</w:t>
            </w:r>
          </w:p>
        </w:tc>
        <w:tc>
          <w:tcPr>
            <w:tcW w:w="1728" w:type="dxa"/>
          </w:tcPr>
          <w:p w14:paraId="2283F97F" w14:textId="77777777" w:rsidR="00C30EB6" w:rsidRDefault="00000000">
            <w:r>
              <w:rPr>
                <w:sz w:val="18"/>
              </w:rPr>
              <w:lastRenderedPageBreak/>
              <w:t>Connects deep learning more directly to a classical glucose-</w:t>
            </w:r>
            <w:r>
              <w:rPr>
                <w:sz w:val="18"/>
              </w:rPr>
              <w:lastRenderedPageBreak/>
              <w:t>insulin model and improves physiological plausibility on T1DM data.</w:t>
            </w:r>
          </w:p>
        </w:tc>
        <w:tc>
          <w:tcPr>
            <w:tcW w:w="1728" w:type="dxa"/>
          </w:tcPr>
          <w:p w14:paraId="3C0743F2" w14:textId="77777777" w:rsidR="00C30EB6" w:rsidRDefault="00000000">
            <w:r>
              <w:rPr>
                <w:sz w:val="18"/>
              </w:rPr>
              <w:lastRenderedPageBreak/>
              <w:t xml:space="preserve">The evaluation is still narrow and dataset-specific, so the generalizability </w:t>
            </w:r>
            <w:r>
              <w:rPr>
                <w:sz w:val="18"/>
              </w:rPr>
              <w:lastRenderedPageBreak/>
              <w:t>of the physiological gains remains unclear.</w:t>
            </w:r>
          </w:p>
        </w:tc>
        <w:tc>
          <w:tcPr>
            <w:tcW w:w="1728" w:type="dxa"/>
          </w:tcPr>
          <w:p w14:paraId="7DC66756" w14:textId="77777777" w:rsidR="00C30EB6" w:rsidRDefault="00000000">
            <w:r>
              <w:rPr>
                <w:sz w:val="18"/>
              </w:rPr>
              <w:lastRenderedPageBreak/>
              <w:t>A stronger hybrid model is needed to test whether physiology-</w:t>
            </w:r>
            <w:r>
              <w:rPr>
                <w:sz w:val="18"/>
              </w:rPr>
              <w:lastRenderedPageBreak/>
              <w:t>informed learning helps under sparse real-subject data.</w:t>
            </w:r>
          </w:p>
        </w:tc>
      </w:tr>
      <w:tr w:rsidR="00C30EB6" w14:paraId="7F2FA9E8" w14:textId="77777777">
        <w:tc>
          <w:tcPr>
            <w:tcW w:w="1728" w:type="dxa"/>
          </w:tcPr>
          <w:p w14:paraId="609BAB0E" w14:textId="77777777" w:rsidR="00C30EB6" w:rsidRDefault="00000000">
            <w:r>
              <w:rPr>
                <w:sz w:val="18"/>
              </w:rPr>
              <w:lastRenderedPageBreak/>
              <w:t>Hybrid physiology + deep learning</w:t>
            </w:r>
          </w:p>
        </w:tc>
        <w:tc>
          <w:tcPr>
            <w:tcW w:w="1728" w:type="dxa"/>
          </w:tcPr>
          <w:p w14:paraId="4EFE16F2" w14:textId="77777777" w:rsidR="00C30EB6" w:rsidRDefault="00000000">
            <w:r>
              <w:rPr>
                <w:sz w:val="18"/>
              </w:rPr>
              <w:t>Extends physics-guided learning into a glucose-insulin neural network that embeds dynamics in the architecture and loss [7].</w:t>
            </w:r>
          </w:p>
        </w:tc>
        <w:tc>
          <w:tcPr>
            <w:tcW w:w="1728" w:type="dxa"/>
          </w:tcPr>
          <w:p w14:paraId="04C31A1C" w14:textId="77777777" w:rsidR="00C30EB6" w:rsidRDefault="00000000">
            <w:r>
              <w:rPr>
                <w:sz w:val="18"/>
              </w:rPr>
              <w:t>Demonstrates that mechanistic structure can improve accuracy, especially when real-subject data are limited.</w:t>
            </w:r>
          </w:p>
        </w:tc>
        <w:tc>
          <w:tcPr>
            <w:tcW w:w="1728" w:type="dxa"/>
          </w:tcPr>
          <w:p w14:paraId="4BCD4FA1" w14:textId="77777777" w:rsidR="00C30EB6" w:rsidRDefault="00000000">
            <w:r>
              <w:rPr>
                <w:sz w:val="18"/>
              </w:rPr>
              <w:t>It is still a forecasting model, not a virtual patient or intervention simulator.</w:t>
            </w:r>
          </w:p>
        </w:tc>
        <w:tc>
          <w:tcPr>
            <w:tcW w:w="1728" w:type="dxa"/>
          </w:tcPr>
          <w:p w14:paraId="1E74BAD1" w14:textId="77777777" w:rsidR="00C30EB6" w:rsidRDefault="00000000">
            <w:r>
              <w:rPr>
                <w:sz w:val="18"/>
              </w:rPr>
              <w:t>The next step is to map real patients to virtual subjects, which is the core digital-twin move.</w:t>
            </w:r>
          </w:p>
        </w:tc>
      </w:tr>
      <w:tr w:rsidR="00C30EB6" w14:paraId="46A5BED3" w14:textId="77777777">
        <w:tc>
          <w:tcPr>
            <w:tcW w:w="1728" w:type="dxa"/>
          </w:tcPr>
          <w:p w14:paraId="62961C25" w14:textId="77777777" w:rsidR="00C30EB6" w:rsidRDefault="00000000">
            <w:r>
              <w:rPr>
                <w:sz w:val="18"/>
              </w:rPr>
              <w:t>Physics-guided sequence model</w:t>
            </w:r>
          </w:p>
        </w:tc>
        <w:tc>
          <w:tcPr>
            <w:tcW w:w="1728" w:type="dxa"/>
          </w:tcPr>
          <w:p w14:paraId="33C2A2D1" w14:textId="77777777" w:rsidR="00C30EB6" w:rsidRDefault="00000000">
            <w:r>
              <w:rPr>
                <w:sz w:val="18"/>
              </w:rPr>
              <w:t>Responds to the inability of pure black-box recurrent models to distinguish meal and insulin effects by using physics-LSTM hybrids [8].</w:t>
            </w:r>
          </w:p>
        </w:tc>
        <w:tc>
          <w:tcPr>
            <w:tcW w:w="1728" w:type="dxa"/>
          </w:tcPr>
          <w:p w14:paraId="4CECEA91" w14:textId="77777777" w:rsidR="00C30EB6" w:rsidRDefault="00000000">
            <w:r>
              <w:rPr>
                <w:sz w:val="18"/>
              </w:rPr>
              <w:t>Provides a bridge between standard sequence modeling and physiology-guided forecasting.</w:t>
            </w:r>
          </w:p>
        </w:tc>
        <w:tc>
          <w:tcPr>
            <w:tcW w:w="1728" w:type="dxa"/>
          </w:tcPr>
          <w:p w14:paraId="37EF90D2" w14:textId="77777777" w:rsidR="00C30EB6" w:rsidRDefault="00000000">
            <w:r>
              <w:rPr>
                <w:sz w:val="18"/>
              </w:rPr>
              <w:t>It still lacks a full virtual-patient representation and a twin-like simulation loop.</w:t>
            </w:r>
          </w:p>
        </w:tc>
        <w:tc>
          <w:tcPr>
            <w:tcW w:w="1728" w:type="dxa"/>
          </w:tcPr>
          <w:p w14:paraId="7C93A173" w14:textId="77777777" w:rsidR="00C30EB6" w:rsidRDefault="00000000">
            <w:r>
              <w:rPr>
                <w:sz w:val="18"/>
              </w:rPr>
              <w:t>The next paper should turn the learned model into a per-patient virtual counterpart.</w:t>
            </w:r>
          </w:p>
        </w:tc>
      </w:tr>
      <w:tr w:rsidR="00C30EB6" w14:paraId="1F6DD7B7" w14:textId="77777777">
        <w:tc>
          <w:tcPr>
            <w:tcW w:w="1728" w:type="dxa"/>
          </w:tcPr>
          <w:p w14:paraId="5F967CD7" w14:textId="77777777" w:rsidR="00C30EB6" w:rsidRDefault="00000000">
            <w:r>
              <w:rPr>
                <w:sz w:val="18"/>
              </w:rPr>
              <w:t>Digital-twin construction</w:t>
            </w:r>
          </w:p>
        </w:tc>
        <w:tc>
          <w:tcPr>
            <w:tcW w:w="1728" w:type="dxa"/>
          </w:tcPr>
          <w:p w14:paraId="2B403C4B" w14:textId="77777777" w:rsidR="00C30EB6" w:rsidRDefault="00000000">
            <w:r>
              <w:rPr>
                <w:sz w:val="18"/>
              </w:rPr>
              <w:t>Moves from forecasting toward a patient-specific virtual subject by combining first-principles physiology with LSTM/GAN mapping [9].</w:t>
            </w:r>
          </w:p>
        </w:tc>
        <w:tc>
          <w:tcPr>
            <w:tcW w:w="1728" w:type="dxa"/>
          </w:tcPr>
          <w:p w14:paraId="5A55CA35" w14:textId="77777777" w:rsidR="00C30EB6" w:rsidRDefault="00000000">
            <w:r>
              <w:rPr>
                <w:sz w:val="18"/>
              </w:rPr>
              <w:t>Creates virtual subjects that can be used for in-silico testing of therapeutic strategies.</w:t>
            </w:r>
          </w:p>
        </w:tc>
        <w:tc>
          <w:tcPr>
            <w:tcW w:w="1728" w:type="dxa"/>
          </w:tcPr>
          <w:p w14:paraId="283B3F9A" w14:textId="77777777" w:rsidR="00C30EB6" w:rsidRDefault="00000000">
            <w:r>
              <w:rPr>
                <w:sz w:val="18"/>
              </w:rPr>
              <w:t>This is close to a twin, but it is still primarily a mapping framework rather than a clinically validated pipeline.</w:t>
            </w:r>
          </w:p>
        </w:tc>
        <w:tc>
          <w:tcPr>
            <w:tcW w:w="1728" w:type="dxa"/>
          </w:tcPr>
          <w:p w14:paraId="0403C373" w14:textId="77777777" w:rsidR="00C30EB6" w:rsidRDefault="00000000">
            <w:r>
              <w:rPr>
                <w:sz w:val="18"/>
              </w:rPr>
              <w:t>The next paper should show whether twin-generated data can solve the scarcity problem for downstream forecasting.</w:t>
            </w:r>
          </w:p>
        </w:tc>
      </w:tr>
      <w:tr w:rsidR="00C30EB6" w14:paraId="404818A8" w14:textId="77777777">
        <w:tc>
          <w:tcPr>
            <w:tcW w:w="1728" w:type="dxa"/>
          </w:tcPr>
          <w:p w14:paraId="53F93F27" w14:textId="77777777" w:rsidR="00C30EB6" w:rsidRDefault="00000000">
            <w:r>
              <w:rPr>
                <w:sz w:val="18"/>
              </w:rPr>
              <w:t>Digital-twin data augmentation</w:t>
            </w:r>
          </w:p>
        </w:tc>
        <w:tc>
          <w:tcPr>
            <w:tcW w:w="1728" w:type="dxa"/>
          </w:tcPr>
          <w:p w14:paraId="1BF89370" w14:textId="77777777" w:rsidR="00C30EB6" w:rsidRDefault="00000000">
            <w:r>
              <w:rPr>
                <w:sz w:val="18"/>
              </w:rPr>
              <w:t>Uses digital twins to generate personalized synthetic data and reduce the small-data problem in T1D forecasting [10].</w:t>
            </w:r>
          </w:p>
        </w:tc>
        <w:tc>
          <w:tcPr>
            <w:tcW w:w="1728" w:type="dxa"/>
          </w:tcPr>
          <w:p w14:paraId="2A3CE21E" w14:textId="77777777" w:rsidR="00C30EB6" w:rsidRDefault="00000000">
            <w:r>
              <w:rPr>
                <w:sz w:val="18"/>
              </w:rPr>
              <w:t>Demonstrates a practical role for twins as data generators that improve predictor training.</w:t>
            </w:r>
          </w:p>
        </w:tc>
        <w:tc>
          <w:tcPr>
            <w:tcW w:w="1728" w:type="dxa"/>
          </w:tcPr>
          <w:p w14:paraId="7CBB55BD" w14:textId="77777777" w:rsidR="00C30EB6" w:rsidRDefault="00000000">
            <w:r>
              <w:rPr>
                <w:sz w:val="18"/>
              </w:rPr>
              <w:t>Data augmentation helps prediction, but it does not prove that the twin supports prospective care decisions.</w:t>
            </w:r>
          </w:p>
        </w:tc>
        <w:tc>
          <w:tcPr>
            <w:tcW w:w="1728" w:type="dxa"/>
          </w:tcPr>
          <w:p w14:paraId="39D52062" w14:textId="77777777" w:rsidR="00C30EB6" w:rsidRDefault="00000000">
            <w:r>
              <w:rPr>
                <w:sz w:val="18"/>
              </w:rPr>
              <w:t>The next paper should validate whether the twin itself can match observed clinical outcomes.</w:t>
            </w:r>
          </w:p>
        </w:tc>
      </w:tr>
      <w:tr w:rsidR="00C30EB6" w14:paraId="7617C1AE" w14:textId="77777777">
        <w:tc>
          <w:tcPr>
            <w:tcW w:w="1728" w:type="dxa"/>
          </w:tcPr>
          <w:p w14:paraId="28E6C2B1" w14:textId="77777777" w:rsidR="00C30EB6" w:rsidRDefault="00000000">
            <w:r>
              <w:rPr>
                <w:sz w:val="18"/>
              </w:rPr>
              <w:t>Validated digital twin</w:t>
            </w:r>
          </w:p>
        </w:tc>
        <w:tc>
          <w:tcPr>
            <w:tcW w:w="1728" w:type="dxa"/>
          </w:tcPr>
          <w:p w14:paraId="37C7DC17" w14:textId="77777777" w:rsidR="00C30EB6" w:rsidRDefault="00000000">
            <w:r>
              <w:rPr>
                <w:sz w:val="18"/>
              </w:rPr>
              <w:t>Addresses the need for twin fidelity by validating physiologically constrained digital twins against real exercise data from 394 cases [11].</w:t>
            </w:r>
          </w:p>
        </w:tc>
        <w:tc>
          <w:tcPr>
            <w:tcW w:w="1728" w:type="dxa"/>
          </w:tcPr>
          <w:p w14:paraId="09532564" w14:textId="77777777" w:rsidR="00C30EB6" w:rsidRDefault="00000000">
            <w:r>
              <w:rPr>
                <w:sz w:val="18"/>
              </w:rPr>
              <w:t>Provides one of the strongest evidence points that the simulated twin can match observed clinical dynamics.</w:t>
            </w:r>
          </w:p>
        </w:tc>
        <w:tc>
          <w:tcPr>
            <w:tcW w:w="1728" w:type="dxa"/>
          </w:tcPr>
          <w:p w14:paraId="55CE284C" w14:textId="77777777" w:rsidR="00C30EB6" w:rsidRDefault="00000000">
            <w:r>
              <w:rPr>
                <w:sz w:val="18"/>
              </w:rPr>
              <w:t>The work is still simulation-centric and does not test prospective treatment decisions.</w:t>
            </w:r>
          </w:p>
        </w:tc>
        <w:tc>
          <w:tcPr>
            <w:tcW w:w="1728" w:type="dxa"/>
          </w:tcPr>
          <w:p w14:paraId="60ECC393" w14:textId="77777777" w:rsidR="00C30EB6" w:rsidRDefault="00000000">
            <w:r>
              <w:rPr>
                <w:sz w:val="18"/>
              </w:rPr>
              <w:t>A randomized clinical trial is needed to test whether twin-guided decisions improve outcomes.</w:t>
            </w:r>
          </w:p>
        </w:tc>
      </w:tr>
      <w:tr w:rsidR="00C30EB6" w14:paraId="2E42F9C3" w14:textId="77777777">
        <w:tc>
          <w:tcPr>
            <w:tcW w:w="1728" w:type="dxa"/>
          </w:tcPr>
          <w:p w14:paraId="086E23E7" w14:textId="77777777" w:rsidR="00C30EB6" w:rsidRDefault="00000000">
            <w:r>
              <w:rPr>
                <w:sz w:val="18"/>
              </w:rPr>
              <w:t>Clinical validation of a twin-enabled DSS</w:t>
            </w:r>
          </w:p>
        </w:tc>
        <w:tc>
          <w:tcPr>
            <w:tcW w:w="1728" w:type="dxa"/>
          </w:tcPr>
          <w:p w14:paraId="046419C8" w14:textId="77777777" w:rsidR="00C30EB6" w:rsidRDefault="00000000">
            <w:r>
              <w:rPr>
                <w:sz w:val="18"/>
              </w:rPr>
              <w:t>Moves beyond simulation by testing a digital twin-enhanced decision-support system in a randomized trial [12].</w:t>
            </w:r>
          </w:p>
        </w:tc>
        <w:tc>
          <w:tcPr>
            <w:tcW w:w="1728" w:type="dxa"/>
          </w:tcPr>
          <w:p w14:paraId="0F3DBE5D" w14:textId="77777777" w:rsidR="00C30EB6" w:rsidRDefault="00000000">
            <w:r>
              <w:rPr>
                <w:sz w:val="18"/>
              </w:rPr>
              <w:t>Shows improved time in range and reduced hypoglycemia, providing prospective utility evidence.</w:t>
            </w:r>
          </w:p>
        </w:tc>
        <w:tc>
          <w:tcPr>
            <w:tcW w:w="1728" w:type="dxa"/>
          </w:tcPr>
          <w:p w14:paraId="4EBCABCF" w14:textId="77777777" w:rsidR="00C30EB6" w:rsidRDefault="00000000">
            <w:r>
              <w:rPr>
                <w:sz w:val="18"/>
              </w:rPr>
              <w:t>The system is still narrow, centered on bolus dosing rather than a broader personalized glucose-forecasting platform.</w:t>
            </w:r>
          </w:p>
        </w:tc>
        <w:tc>
          <w:tcPr>
            <w:tcW w:w="1728" w:type="dxa"/>
          </w:tcPr>
          <w:p w14:paraId="3717FC9E" w14:textId="77777777" w:rsidR="00C30EB6" w:rsidRDefault="00000000">
            <w:r>
              <w:rPr>
                <w:sz w:val="18"/>
              </w:rPr>
              <w:t>The next stage is to improve temporal modeling so forecasting can support the twin in richer ways.</w:t>
            </w:r>
          </w:p>
        </w:tc>
      </w:tr>
      <w:tr w:rsidR="00C30EB6" w14:paraId="5326248F" w14:textId="77777777">
        <w:tc>
          <w:tcPr>
            <w:tcW w:w="1728" w:type="dxa"/>
          </w:tcPr>
          <w:p w14:paraId="5A7488CD" w14:textId="77777777" w:rsidR="00C30EB6" w:rsidRDefault="00000000">
            <w:r>
              <w:rPr>
                <w:sz w:val="18"/>
              </w:rPr>
              <w:t>Transformer forecasting</w:t>
            </w:r>
          </w:p>
        </w:tc>
        <w:tc>
          <w:tcPr>
            <w:tcW w:w="1728" w:type="dxa"/>
          </w:tcPr>
          <w:p w14:paraId="43B10DF1" w14:textId="77777777" w:rsidR="00C30EB6" w:rsidRDefault="00000000">
            <w:r>
              <w:rPr>
                <w:sz w:val="18"/>
              </w:rPr>
              <w:t>Improves over earlier sequence models by using attention-based forecasting on OhioT1DM [13].</w:t>
            </w:r>
          </w:p>
        </w:tc>
        <w:tc>
          <w:tcPr>
            <w:tcW w:w="1728" w:type="dxa"/>
          </w:tcPr>
          <w:p w14:paraId="7A70BED9" w14:textId="77777777" w:rsidR="00C30EB6" w:rsidRDefault="00000000">
            <w:r>
              <w:rPr>
                <w:sz w:val="18"/>
              </w:rPr>
              <w:t>Shows that self-attention can outperform older baselines for short-horizon CGM forecasting.</w:t>
            </w:r>
          </w:p>
        </w:tc>
        <w:tc>
          <w:tcPr>
            <w:tcW w:w="1728" w:type="dxa"/>
          </w:tcPr>
          <w:p w14:paraId="5256850A" w14:textId="77777777" w:rsidR="00C30EB6" w:rsidRDefault="00000000">
            <w:r>
              <w:rPr>
                <w:sz w:val="18"/>
              </w:rPr>
              <w:t>It is still a plain sequence model with limited mechanistic interpretability.</w:t>
            </w:r>
          </w:p>
        </w:tc>
        <w:tc>
          <w:tcPr>
            <w:tcW w:w="1728" w:type="dxa"/>
          </w:tcPr>
          <w:p w14:paraId="5C3AB45C" w14:textId="77777777" w:rsidR="00C30EB6" w:rsidRDefault="00000000">
            <w:r>
              <w:rPr>
                <w:sz w:val="18"/>
              </w:rPr>
              <w:t>The next paper should extend forecasting to multiple horizons and make attention more informative.</w:t>
            </w:r>
          </w:p>
        </w:tc>
      </w:tr>
      <w:tr w:rsidR="00C30EB6" w14:paraId="56F0AA2E" w14:textId="77777777">
        <w:tc>
          <w:tcPr>
            <w:tcW w:w="1728" w:type="dxa"/>
          </w:tcPr>
          <w:p w14:paraId="79555471" w14:textId="77777777" w:rsidR="00C30EB6" w:rsidRDefault="00000000">
            <w:r>
              <w:rPr>
                <w:sz w:val="18"/>
              </w:rPr>
              <w:lastRenderedPageBreak/>
              <w:t>Interpretable multi-horizon forecasting</w:t>
            </w:r>
          </w:p>
        </w:tc>
        <w:tc>
          <w:tcPr>
            <w:tcW w:w="1728" w:type="dxa"/>
          </w:tcPr>
          <w:p w14:paraId="599572BA" w14:textId="77777777" w:rsidR="00C30EB6" w:rsidRDefault="00000000">
            <w:r>
              <w:rPr>
                <w:sz w:val="18"/>
              </w:rPr>
              <w:t>Extends Transformer forecasting to multiple horizons and adds attention over temporal and static covariates [14].</w:t>
            </w:r>
          </w:p>
        </w:tc>
        <w:tc>
          <w:tcPr>
            <w:tcW w:w="1728" w:type="dxa"/>
          </w:tcPr>
          <w:p w14:paraId="555F3730" w14:textId="77777777" w:rsidR="00C30EB6" w:rsidRDefault="00000000">
            <w:r>
              <w:rPr>
                <w:sz w:val="18"/>
              </w:rPr>
              <w:t>Improves long-horizon prediction while exposing which covariates matter across time.</w:t>
            </w:r>
          </w:p>
        </w:tc>
        <w:tc>
          <w:tcPr>
            <w:tcW w:w="1728" w:type="dxa"/>
          </w:tcPr>
          <w:p w14:paraId="40D522AD" w14:textId="77777777" w:rsidR="00C30EB6" w:rsidRDefault="00000000">
            <w:r>
              <w:rPr>
                <w:sz w:val="18"/>
              </w:rPr>
              <w:t>It remains non-mechanistic, so attention does not solve the physiology gap.</w:t>
            </w:r>
          </w:p>
        </w:tc>
        <w:tc>
          <w:tcPr>
            <w:tcW w:w="1728" w:type="dxa"/>
          </w:tcPr>
          <w:p w14:paraId="4BA01273" w14:textId="77777777" w:rsidR="00C30EB6" w:rsidRDefault="00000000">
            <w:r>
              <w:rPr>
                <w:sz w:val="18"/>
              </w:rPr>
              <w:t>The next paper should combine the Transformer idea with richer clinical metadata and personalization.</w:t>
            </w:r>
          </w:p>
        </w:tc>
      </w:tr>
      <w:tr w:rsidR="00C30EB6" w14:paraId="4A86D474" w14:textId="77777777">
        <w:tc>
          <w:tcPr>
            <w:tcW w:w="1728" w:type="dxa"/>
          </w:tcPr>
          <w:p w14:paraId="69BD8FD5" w14:textId="77777777" w:rsidR="00C30EB6" w:rsidRDefault="00000000">
            <w:r>
              <w:rPr>
                <w:sz w:val="18"/>
              </w:rPr>
              <w:t>Long-horizon hybrid forecasting</w:t>
            </w:r>
          </w:p>
        </w:tc>
        <w:tc>
          <w:tcPr>
            <w:tcW w:w="1728" w:type="dxa"/>
          </w:tcPr>
          <w:p w14:paraId="2843D884" w14:textId="77777777" w:rsidR="00C30EB6" w:rsidRDefault="00000000">
            <w:r>
              <w:rPr>
                <w:sz w:val="18"/>
              </w:rPr>
              <w:t>Pushes the prediction horizon out to 120 minutes using a Transformer-LSTM hybrid and richer clinical inputs [15].</w:t>
            </w:r>
          </w:p>
        </w:tc>
        <w:tc>
          <w:tcPr>
            <w:tcW w:w="1728" w:type="dxa"/>
          </w:tcPr>
          <w:p w14:paraId="4DD5F647" w14:textId="77777777" w:rsidR="00C30EB6" w:rsidRDefault="00000000">
            <w:r>
              <w:rPr>
                <w:sz w:val="18"/>
              </w:rPr>
              <w:t>Shows that longer-horizon personalized glucose forecasting is feasible with good clinical safety-zone performance.</w:t>
            </w:r>
          </w:p>
        </w:tc>
        <w:tc>
          <w:tcPr>
            <w:tcW w:w="1728" w:type="dxa"/>
          </w:tcPr>
          <w:p w14:paraId="2455CFB8" w14:textId="77777777" w:rsidR="00C30EB6" w:rsidRDefault="00000000">
            <w:r>
              <w:rPr>
                <w:sz w:val="18"/>
              </w:rPr>
              <w:t>The model is still data-driven and lacks explicit physiological constraints.</w:t>
            </w:r>
          </w:p>
        </w:tc>
        <w:tc>
          <w:tcPr>
            <w:tcW w:w="1728" w:type="dxa"/>
          </w:tcPr>
          <w:p w14:paraId="0B0E9C17" w14:textId="77777777" w:rsidR="00C30EB6" w:rsidRDefault="00000000">
            <w:r>
              <w:rPr>
                <w:sz w:val="18"/>
              </w:rPr>
              <w:t>The next paper should add patient metadata and personalization to better capture inter-individual variation.</w:t>
            </w:r>
          </w:p>
        </w:tc>
      </w:tr>
      <w:tr w:rsidR="00C30EB6" w14:paraId="10F9E6EB" w14:textId="77777777">
        <w:tc>
          <w:tcPr>
            <w:tcW w:w="1728" w:type="dxa"/>
          </w:tcPr>
          <w:p w14:paraId="31914587" w14:textId="77777777" w:rsidR="00C30EB6" w:rsidRDefault="00000000">
            <w:r>
              <w:rPr>
                <w:sz w:val="18"/>
              </w:rPr>
              <w:t>Metadata-aware personalization</w:t>
            </w:r>
          </w:p>
        </w:tc>
        <w:tc>
          <w:tcPr>
            <w:tcW w:w="1728" w:type="dxa"/>
          </w:tcPr>
          <w:p w14:paraId="2D250849" w14:textId="77777777" w:rsidR="00C30EB6" w:rsidRDefault="00000000">
            <w:r>
              <w:rPr>
                <w:sz w:val="18"/>
              </w:rPr>
              <w:t>Improves individualized forecasting by adding physiological signals, demographics, and device metadata to the Transformer pipeline [16].</w:t>
            </w:r>
          </w:p>
        </w:tc>
        <w:tc>
          <w:tcPr>
            <w:tcW w:w="1728" w:type="dxa"/>
          </w:tcPr>
          <w:p w14:paraId="00BBB3DC" w14:textId="77777777" w:rsidR="00C30EB6" w:rsidRDefault="00000000">
            <w:r>
              <w:rPr>
                <w:sz w:val="18"/>
              </w:rPr>
              <w:t>Shows that contextual metadata can improve personalized prediction over 30-120 minutes.</w:t>
            </w:r>
          </w:p>
        </w:tc>
        <w:tc>
          <w:tcPr>
            <w:tcW w:w="1728" w:type="dxa"/>
          </w:tcPr>
          <w:p w14:paraId="3BEFC282" w14:textId="77777777" w:rsidR="00C30EB6" w:rsidRDefault="00000000">
            <w:r>
              <w:rPr>
                <w:sz w:val="18"/>
              </w:rPr>
              <w:t>The model still lacks a mechanistic twin-style simulation layer and explainable physiological constraints.</w:t>
            </w:r>
          </w:p>
        </w:tc>
        <w:tc>
          <w:tcPr>
            <w:tcW w:w="1728" w:type="dxa"/>
          </w:tcPr>
          <w:p w14:paraId="7805C8EB" w14:textId="77777777" w:rsidR="00C30EB6" w:rsidRDefault="00000000">
            <w:r>
              <w:rPr>
                <w:sz w:val="18"/>
              </w:rPr>
              <w:t>The next paper should focus on practical deployment and computational efficiency.</w:t>
            </w:r>
          </w:p>
        </w:tc>
      </w:tr>
      <w:tr w:rsidR="00C30EB6" w14:paraId="0B981FA6" w14:textId="77777777">
        <w:tc>
          <w:tcPr>
            <w:tcW w:w="1728" w:type="dxa"/>
          </w:tcPr>
          <w:p w14:paraId="5E1C8F79" w14:textId="77777777" w:rsidR="00C30EB6" w:rsidRDefault="00000000">
            <w:r>
              <w:rPr>
                <w:sz w:val="18"/>
              </w:rPr>
              <w:t>Deployable Transformer forecasting</w:t>
            </w:r>
          </w:p>
        </w:tc>
        <w:tc>
          <w:tcPr>
            <w:tcW w:w="1728" w:type="dxa"/>
          </w:tcPr>
          <w:p w14:paraId="08B90773" w14:textId="77777777" w:rsidR="00C30EB6" w:rsidRDefault="00000000">
            <w:r>
              <w:rPr>
                <w:sz w:val="18"/>
              </w:rPr>
              <w:t>Solves practical deployment constraints by making the model lightweight for edge devices [17].</w:t>
            </w:r>
          </w:p>
        </w:tc>
        <w:tc>
          <w:tcPr>
            <w:tcW w:w="1728" w:type="dxa"/>
          </w:tcPr>
          <w:p w14:paraId="3D5F8F3C" w14:textId="77777777" w:rsidR="00C30EB6" w:rsidRDefault="00000000">
            <w:r>
              <w:rPr>
                <w:sz w:val="18"/>
              </w:rPr>
              <w:t>Preserves forecasting performance while making the method more realistic for wearable use.</w:t>
            </w:r>
          </w:p>
        </w:tc>
        <w:tc>
          <w:tcPr>
            <w:tcW w:w="1728" w:type="dxa"/>
          </w:tcPr>
          <w:p w14:paraId="1606BD14" w14:textId="77777777" w:rsidR="00C30EB6" w:rsidRDefault="00000000">
            <w:r>
              <w:rPr>
                <w:sz w:val="18"/>
              </w:rPr>
              <w:t>Deployment is improved, but the model still lacks retrieval, causal explanation, and physiology-guided reasoning.</w:t>
            </w:r>
          </w:p>
        </w:tc>
        <w:tc>
          <w:tcPr>
            <w:tcW w:w="1728" w:type="dxa"/>
          </w:tcPr>
          <w:p w14:paraId="1B90584C" w14:textId="77777777" w:rsidR="00C30EB6" w:rsidRDefault="00000000">
            <w:r>
              <w:rPr>
                <w:sz w:val="18"/>
              </w:rPr>
              <w:t>The next paper should add contextual memory or retrieval to move beyond pure sequence learning.</w:t>
            </w:r>
          </w:p>
        </w:tc>
      </w:tr>
      <w:tr w:rsidR="00C30EB6" w14:paraId="7946439A" w14:textId="77777777">
        <w:tc>
          <w:tcPr>
            <w:tcW w:w="1728" w:type="dxa"/>
          </w:tcPr>
          <w:p w14:paraId="6602D415" w14:textId="77777777" w:rsidR="00C30EB6" w:rsidRDefault="00000000">
            <w:r>
              <w:rPr>
                <w:sz w:val="18"/>
              </w:rPr>
              <w:t>Pretrained glucose representation learning</w:t>
            </w:r>
          </w:p>
        </w:tc>
        <w:tc>
          <w:tcPr>
            <w:tcW w:w="1728" w:type="dxa"/>
          </w:tcPr>
          <w:p w14:paraId="158F0CFD" w14:textId="77777777" w:rsidR="00C30EB6" w:rsidRDefault="00000000">
            <w:r>
              <w:rPr>
                <w:sz w:val="18"/>
              </w:rPr>
              <w:t>Uses self-supervised Transformer pretraining to learn reusable glucose dynamics from CGM traces [18].</w:t>
            </w:r>
          </w:p>
        </w:tc>
        <w:tc>
          <w:tcPr>
            <w:tcW w:w="1728" w:type="dxa"/>
          </w:tcPr>
          <w:p w14:paraId="2BF1F3D8" w14:textId="77777777" w:rsidR="00C30EB6" w:rsidRDefault="00000000">
            <w:r>
              <w:rPr>
                <w:sz w:val="18"/>
              </w:rPr>
              <w:t>Shows that a pretrained CGM representation can support multiple downstream tasks, including screening and personalized dietary prediction.</w:t>
            </w:r>
          </w:p>
        </w:tc>
        <w:tc>
          <w:tcPr>
            <w:tcW w:w="1728" w:type="dxa"/>
          </w:tcPr>
          <w:p w14:paraId="7C246634" w14:textId="77777777" w:rsidR="00C30EB6" w:rsidRDefault="00000000">
            <w:r>
              <w:rPr>
                <w:sz w:val="18"/>
              </w:rPr>
              <w:t>It is powerful representation learning, but it is not yet a digital twin or a physiology-guided forecasting framework.</w:t>
            </w:r>
          </w:p>
        </w:tc>
        <w:tc>
          <w:tcPr>
            <w:tcW w:w="1728" w:type="dxa"/>
          </w:tcPr>
          <w:p w14:paraId="1B71D6B3" w14:textId="77777777" w:rsidR="00C30EB6" w:rsidRDefault="00000000">
            <w:r>
              <w:rPr>
                <w:sz w:val="18"/>
              </w:rPr>
              <w:t>The next paper should use retrieval or context augmentation to make forecasting more case-based and clinically grounded.</w:t>
            </w:r>
          </w:p>
        </w:tc>
      </w:tr>
      <w:tr w:rsidR="00C30EB6" w14:paraId="46A91599" w14:textId="77777777">
        <w:tc>
          <w:tcPr>
            <w:tcW w:w="1728" w:type="dxa"/>
          </w:tcPr>
          <w:p w14:paraId="179C5C17" w14:textId="77777777" w:rsidR="00C30EB6" w:rsidRDefault="00000000">
            <w:r>
              <w:rPr>
                <w:sz w:val="18"/>
              </w:rPr>
              <w:t>Retrieval-augmented forecasting</w:t>
            </w:r>
          </w:p>
        </w:tc>
        <w:tc>
          <w:tcPr>
            <w:tcW w:w="1728" w:type="dxa"/>
          </w:tcPr>
          <w:p w14:paraId="64859C9E" w14:textId="77777777" w:rsidR="00C30EB6" w:rsidRDefault="00000000">
            <w:r>
              <w:rPr>
                <w:sz w:val="18"/>
              </w:rPr>
              <w:t>Adds retrieval and LLM-style contextualization so CGM forecasting can use similar historical episodes, not just raw sequences [19].</w:t>
            </w:r>
          </w:p>
        </w:tc>
        <w:tc>
          <w:tcPr>
            <w:tcW w:w="1728" w:type="dxa"/>
          </w:tcPr>
          <w:p w14:paraId="74D6576D" w14:textId="77777777" w:rsidR="00C30EB6" w:rsidRDefault="00000000">
            <w:r>
              <w:rPr>
                <w:sz w:val="18"/>
              </w:rPr>
              <w:t>Improves long-horizon forecasting and dysglycemia prediction by using contextual retrieval over CGM history.</w:t>
            </w:r>
          </w:p>
        </w:tc>
        <w:tc>
          <w:tcPr>
            <w:tcW w:w="1728" w:type="dxa"/>
          </w:tcPr>
          <w:p w14:paraId="5DE4DE5E" w14:textId="77777777" w:rsidR="00C30EB6" w:rsidRDefault="00000000">
            <w:r>
              <w:rPr>
                <w:sz w:val="18"/>
              </w:rPr>
              <w:t>It still needs mechanistic grounding, SHAP-style explanation, and prospective clinical validation.</w:t>
            </w:r>
          </w:p>
        </w:tc>
        <w:tc>
          <w:tcPr>
            <w:tcW w:w="1728" w:type="dxa"/>
          </w:tcPr>
          <w:p w14:paraId="30339A09" w14:textId="77777777" w:rsidR="00C30EB6" w:rsidRDefault="00000000">
            <w:r>
              <w:rPr>
                <w:sz w:val="18"/>
              </w:rPr>
              <w:t>The final step is to fuse retrieval, explainability, and physiology inside a digital twin.</w:t>
            </w:r>
          </w:p>
        </w:tc>
      </w:tr>
      <w:tr w:rsidR="00C30EB6" w14:paraId="12430803" w14:textId="77777777">
        <w:tc>
          <w:tcPr>
            <w:tcW w:w="1728" w:type="dxa"/>
          </w:tcPr>
          <w:p w14:paraId="5FAE6F9D" w14:textId="77777777" w:rsidR="00C30EB6" w:rsidRDefault="00000000">
            <w:r>
              <w:rPr>
                <w:sz w:val="18"/>
              </w:rPr>
              <w:t>Target framework</w:t>
            </w:r>
          </w:p>
        </w:tc>
        <w:tc>
          <w:tcPr>
            <w:tcW w:w="1728" w:type="dxa"/>
          </w:tcPr>
          <w:p w14:paraId="41FCBC7E" w14:textId="77777777" w:rsidR="00C30EB6" w:rsidRDefault="00000000">
            <w:r>
              <w:rPr>
                <w:sz w:val="18"/>
              </w:rPr>
              <w:t>Integrates the separate advances above rather than trying to solve only one bottleneck.</w:t>
            </w:r>
          </w:p>
        </w:tc>
        <w:tc>
          <w:tcPr>
            <w:tcW w:w="1728" w:type="dxa"/>
          </w:tcPr>
          <w:p w14:paraId="17D7FB2D" w14:textId="77777777" w:rsidR="00C30EB6" w:rsidRDefault="00000000">
            <w:r>
              <w:rPr>
                <w:sz w:val="18"/>
              </w:rPr>
              <w:t xml:space="preserve">An explainable, physics-guided digital twin for personalized glucose forecasting in T1D that combines a Transformer front-end, a PINN or Bergman-constrained physiologic core, </w:t>
            </w:r>
            <w:r>
              <w:rPr>
                <w:sz w:val="18"/>
              </w:rPr>
              <w:lastRenderedPageBreak/>
              <w:t>SHAP explanations, and optional RAG for contextual reasoning.</w:t>
            </w:r>
          </w:p>
        </w:tc>
        <w:tc>
          <w:tcPr>
            <w:tcW w:w="1728" w:type="dxa"/>
          </w:tcPr>
          <w:p w14:paraId="53CBB92D" w14:textId="77777777" w:rsidR="00C30EB6" w:rsidRDefault="00000000">
            <w:r>
              <w:rPr>
                <w:sz w:val="18"/>
              </w:rPr>
              <w:lastRenderedPageBreak/>
              <w:t>This is the open research problem; no paper in the set fully validates the complete end-to-end system.</w:t>
            </w:r>
          </w:p>
        </w:tc>
        <w:tc>
          <w:tcPr>
            <w:tcW w:w="1728" w:type="dxa"/>
          </w:tcPr>
          <w:p w14:paraId="498BC64B" w14:textId="77777777" w:rsidR="00C30EB6" w:rsidRDefault="00000000">
            <w:r>
              <w:rPr>
                <w:sz w:val="18"/>
              </w:rPr>
              <w:t>The literature now points directly to a single prospective study that unifies prediction, mechanism, explainability, personalization, and safe decision support.</w:t>
            </w:r>
          </w:p>
        </w:tc>
      </w:tr>
    </w:tbl>
    <w:p w14:paraId="4155163D" w14:textId="11577748" w:rsidR="00C30EB6" w:rsidRDefault="00C30EB6"/>
    <w:sectPr w:rsidR="00C30E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062396">
    <w:abstractNumId w:val="8"/>
  </w:num>
  <w:num w:numId="2" w16cid:durableId="187181373">
    <w:abstractNumId w:val="6"/>
  </w:num>
  <w:num w:numId="3" w16cid:durableId="138807611">
    <w:abstractNumId w:val="5"/>
  </w:num>
  <w:num w:numId="4" w16cid:durableId="1898081895">
    <w:abstractNumId w:val="4"/>
  </w:num>
  <w:num w:numId="5" w16cid:durableId="1022704826">
    <w:abstractNumId w:val="7"/>
  </w:num>
  <w:num w:numId="6" w16cid:durableId="873151373">
    <w:abstractNumId w:val="3"/>
  </w:num>
  <w:num w:numId="7" w16cid:durableId="693313157">
    <w:abstractNumId w:val="2"/>
  </w:num>
  <w:num w:numId="8" w16cid:durableId="1378046459">
    <w:abstractNumId w:val="1"/>
  </w:num>
  <w:num w:numId="9" w16cid:durableId="80782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975"/>
    <w:rsid w:val="00AA1D8D"/>
    <w:rsid w:val="00B47730"/>
    <w:rsid w:val="00C30EB6"/>
    <w:rsid w:val="00CB0664"/>
    <w:rsid w:val="00CD2052"/>
    <w:rsid w:val="00DC7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18D19"/>
  <w14:defaultImageDpi w14:val="300"/>
  <w15:docId w15:val="{515E292F-45B0-4467-B7EB-9AAD27CB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Dhriti Goswami</cp:lastModifiedBy>
  <cp:revision>3</cp:revision>
  <dcterms:created xsi:type="dcterms:W3CDTF">2013-12-23T23:15:00Z</dcterms:created>
  <dcterms:modified xsi:type="dcterms:W3CDTF">2026-07-15T21:07:00Z</dcterms:modified>
  <cp:category/>
</cp:coreProperties>
</file>