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60"/>
        <w:jc w:val="center"/>
      </w:pPr>
      <w:r>
        <w:rPr>
          <w:rFonts w:ascii="Arial" w:cs="Arial" w:eastAsia="Arial" w:hAnsi="Arial"/>
          <w:b/>
          <w:bCs/>
          <w:color w:val="888888"/>
          <w:sz w:val="28"/>
          <w:szCs w:val="28"/>
        </w:rPr>
        <w:t xml:space="preserve">TeleConnect Inc.</w:t>
      </w:r>
    </w:p>
    <w:p>
      <w:pPr>
        <w:pBdr>
          <w:bottom w:val="single" w:color="C0392B" w:sz="8" w:space="1"/>
        </w:pBdr>
        <w:spacing w:after="60"/>
        <w:jc w:val="center"/>
      </w:pPr>
      <w:r>
        <w:t xml:space="preserve"/>
      </w:r>
    </w:p>
    <w:p>
      <w:pPr>
        <w:spacing w:after="100"/>
      </w:pPr>
      <w:r>
        <w:t xml:space="preserve"/>
      </w:r>
    </w:p>
    <w:p>
      <w:pPr>
        <w:spacing w:after="80"/>
        <w:jc w:val="center"/>
      </w:pPr>
      <w:r>
        <w:rPr>
          <w:rFonts w:ascii="Arial" w:cs="Arial" w:eastAsia="Arial" w:hAnsi="Arial"/>
          <w:b/>
          <w:bCs/>
          <w:color w:val="1B2A4A"/>
          <w:sz w:val="64"/>
          <w:szCs w:val="64"/>
        </w:rPr>
        <w:t xml:space="preserve">CUSTOMER CHURN</w:t>
      </w:r>
    </w:p>
    <w:p>
      <w:pPr>
        <w:spacing w:after="80"/>
        <w:jc w:val="center"/>
      </w:pPr>
      <w:r>
        <w:rPr>
          <w:rFonts w:ascii="Arial" w:cs="Arial" w:eastAsia="Arial" w:hAnsi="Arial"/>
          <w:b/>
          <w:bCs/>
          <w:color w:val="C0392B"/>
          <w:sz w:val="64"/>
          <w:szCs w:val="64"/>
        </w:rPr>
        <w:t xml:space="preserve">ANALYSIS REPORT</w:t>
      </w:r>
    </w:p>
    <w:p>
      <w:pPr>
        <w:spacing w:after="80"/>
      </w:pPr>
      <w:r>
        <w:t xml:space="preserve"/>
      </w:r>
    </w:p>
    <w:p>
      <w:pPr>
        <w:spacing w:after="40"/>
        <w:jc w:val="center"/>
      </w:pPr>
      <w:r>
        <w:rPr>
          <w:rFonts w:ascii="Arial" w:cs="Arial" w:eastAsia="Arial" w:hAnsi="Arial"/>
          <w:i/>
          <w:iCs/>
          <w:color w:val="555555"/>
          <w:sz w:val="24"/>
          <w:szCs w:val="24"/>
        </w:rPr>
        <w:t xml:space="preserve">Understanding Why Customers Leave — And How to Stop Them</w:t>
      </w:r>
    </w:p>
    <w:p>
      <w:pPr>
        <w:spacing w:after="200"/>
      </w:pPr>
      <w:r>
        <w:t xml:space="preserve"/>
      </w:r>
    </w:p>
    <w:p>
      <w:pPr>
        <w:spacing w:after="40"/>
        <w:jc w:val="center"/>
      </w:pPr>
      <w:r>
        <w:rPr>
          <w:rFonts w:ascii="Arial" w:cs="Arial" w:eastAsia="Arial" w:hAnsi="Arial"/>
          <w:color w:val="2C2C2C"/>
          <w:sz w:val="20"/>
          <w:szCs w:val="20"/>
        </w:rPr>
        <w:t xml:space="preserve">Prepared by:  Data Analytics Division</w:t>
      </w:r>
    </w:p>
    <w:p>
      <w:pPr>
        <w:spacing w:after="40"/>
        <w:jc w:val="center"/>
      </w:pPr>
      <w:r>
        <w:rPr>
          <w:rFonts w:ascii="Arial" w:cs="Arial" w:eastAsia="Arial" w:hAnsi="Arial"/>
          <w:color w:val="2C2C2C"/>
          <w:sz w:val="20"/>
          <w:szCs w:val="20"/>
        </w:rPr>
        <w:t xml:space="preserve">Dataset:  7,043 Telecom Customers  |  21 Variables</w:t>
      </w:r>
    </w:p>
    <w:p>
      <w:pPr>
        <w:spacing w:after="40"/>
        <w:jc w:val="center"/>
      </w:pPr>
      <w:r>
        <w:rPr>
          <w:rFonts w:ascii="Arial" w:cs="Arial" w:eastAsia="Arial" w:hAnsi="Arial"/>
          <w:color w:val="2C2C2C"/>
          <w:sz w:val="20"/>
          <w:szCs w:val="20"/>
        </w:rPr>
        <w:t xml:space="preserve">Analysis Date:  May 2026</w:t>
      </w:r>
    </w:p>
    <w:p>
      <w:pPr>
        <w:spacing w:after="40"/>
        <w:jc w:val="center"/>
      </w:pPr>
      <w:r>
        <w:rPr>
          <w:rFonts w:ascii="Arial" w:cs="Arial" w:eastAsia="Arial" w:hAnsi="Arial"/>
          <w:b/>
          <w:bCs/>
          <w:color w:val="C0392B"/>
          <w:sz w:val="20"/>
          <w:szCs w:val="20"/>
        </w:rPr>
        <w:t xml:space="preserve">Classification:  Internal — Confidential</w:t>
      </w:r>
    </w:p>
    <w:p>
      <w:pPr>
        <w:spacing w:after="300"/>
      </w:pPr>
      <w:r>
        <w:t xml:space="preserve"/>
      </w:r>
    </w:p>
    <w:p>
      <w:pPr>
        <w:pBdr>
          <w:top w:val="single" w:color="C0392B" w:sz="4" w:space="1"/>
        </w:pBdr>
        <w:spacing w:after="80" w:before="80"/>
        <w:jc w:val="center"/>
      </w:pPr>
      <w:r>
        <w:rPr>
          <w:rFonts w:ascii="Arial" w:cs="Arial" w:eastAsia="Arial" w:hAnsi="Arial"/>
          <w:color w:val="888888"/>
          <w:sz w:val="18"/>
          <w:szCs w:val="18"/>
        </w:rPr>
        <w:t xml:space="preserve">Dhriti Singh Sisodia  |  Data Analyst</w:t>
      </w:r>
    </w:p>
    <w:p>
      <w:r>
        <w:br w:type="page"/>
      </w:r>
    </w:p>
    <w:p>
      <w:pPr>
        <w:pStyle w:val="Heading1"/>
        <w:spacing w:after="120" w:before="280"/>
      </w:pPr>
      <w:r>
        <w:rPr>
          <w:rFonts w:ascii="Arial" w:cs="Arial" w:eastAsia="Arial" w:hAnsi="Arial"/>
          <w:b/>
          <w:bCs/>
          <w:color w:val="1B2A4A"/>
          <w:sz w:val="34"/>
          <w:szCs w:val="34"/>
        </w:rPr>
        <w:t xml:space="preserve">Executive Summary</w:t>
      </w:r>
    </w:p>
    <w:p>
      <w:pPr>
        <w:pBdr>
          <w:bottom w:val="single" w:color="C0392B" w:sz="6" w:space="1"/>
        </w:pBdr>
        <w:spacing w:after="120" w:before="120"/>
      </w:pPr>
      <w:r>
        <w:t xml:space="preserve"/>
      </w:r>
    </w:p>
    <w:p>
      <w:pPr>
        <w:spacing w:after="60"/>
      </w:pPr>
      <w:r>
        <w:t xml:space="preserve"/>
      </w:r>
    </w:p>
    <w:p>
      <w:pPr>
        <w:spacing w:after="120"/>
      </w:pPr>
      <w:r>
        <w:rPr>
          <w:rFonts w:ascii="Arial" w:cs="Arial" w:eastAsia="Arial" w:hAnsi="Arial"/>
          <w:color w:val="2C2C2C"/>
          <w:sz w:val="20"/>
          <w:szCs w:val="20"/>
        </w:rPr>
        <w:t xml:space="preserve">TeleConnect Inc. is experiencing a customer churn rate of </w:t>
      </w:r>
      <w:r>
        <w:rPr>
          <w:rFonts w:ascii="Arial" w:cs="Arial" w:eastAsia="Arial" w:hAnsi="Arial"/>
          <w:b/>
          <w:bCs/>
          <w:color w:val="C0392B"/>
          <w:sz w:val="20"/>
          <w:szCs w:val="20"/>
        </w:rPr>
        <w:t xml:space="preserve">26.5%</w:t>
      </w:r>
      <w:r>
        <w:rPr>
          <w:rFonts w:ascii="Arial" w:cs="Arial" w:eastAsia="Arial" w:hAnsi="Arial"/>
          <w:color w:val="2C2C2C"/>
          <w:sz w:val="20"/>
          <w:szCs w:val="20"/>
        </w:rPr>
        <w:t xml:space="preserve"> — significantly above the telecom industry benchmark of 15–25%. This means </w:t>
      </w:r>
      <w:r>
        <w:rPr>
          <w:rFonts w:ascii="Arial" w:cs="Arial" w:eastAsia="Arial" w:hAnsi="Arial"/>
          <w:b/>
          <w:bCs/>
          <w:color w:val="1B2A4A"/>
          <w:sz w:val="20"/>
          <w:szCs w:val="20"/>
        </w:rPr>
        <w:t xml:space="preserve">1 in 4 customers are leaving the business every year,</w:t>
      </w:r>
      <w:r>
        <w:rPr>
          <w:rFonts w:ascii="Arial" w:cs="Arial" w:eastAsia="Arial" w:hAnsi="Arial"/>
          <w:color w:val="2C2C2C"/>
          <w:sz w:val="20"/>
          <w:szCs w:val="20"/>
        </w:rPr>
        <w:t xml:space="preserve"> representing approximately 1,869 lost customers from this dataset alone. At an estimated average LTV of £2,000+ per customer, this translates to significant annual revenue leakage.</w:t>
      </w:r>
    </w:p>
    <w:p>
      <w:pPr>
        <w:spacing w:after="80"/>
      </w:pPr>
      <w:r>
        <w:rPr>
          <w:rFonts w:ascii="Arial" w:cs="Arial" w:eastAsia="Arial" w:hAnsi="Arial"/>
          <w:i w:val="false"/>
          <w:iCs w:val="false"/>
          <w:color w:val="2C2C2C"/>
          <w:sz w:val="20"/>
          <w:szCs w:val="20"/>
        </w:rPr>
        <w:t xml:space="preserve">This report presents a comprehensive EDA, descriptive and diagnostic analysis of churn patterns across customer demographics, service subscriptions, contract types, billing behaviour, and tenure. Five root causes have been identified, tested against data, and translated into specific, prioritised business actions.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0392B" w:sz="4"/>
              <w:left w:val="single" w:color="CCCCCC" w:sz="1"/>
              <w:bottom w:val="single" w:color="CCCCCC" w:sz="1"/>
              <w:right w:val="single" w:color="CCCCCC" w:sz="1"/>
            </w:tcBorders>
            <w:shd w:fill="FAFAFA" w:val="clear"/>
            <w:tcMar>
              <w:top w:type="dxa" w:w="120"/>
              <w:left w:type="dxa" w:w="160"/>
              <w:bottom w:type="dxa" w:w="120"/>
              <w:right w:type="dxa" w:w="160"/>
            </w:tcMar>
          </w:tcPr>
          <w:p>
            <w:pPr>
              <w:jc w:val="center"/>
            </w:pPr>
            <w:r>
              <w:rPr>
                <w:rFonts w:ascii="Arial" w:cs="Arial" w:eastAsia="Arial" w:hAnsi="Arial"/>
                <w:b/>
                <w:bCs/>
                <w:color w:val="C0392B"/>
                <w:sz w:val="36"/>
                <w:szCs w:val="36"/>
              </w:rPr>
              <w:t xml:space="preserve">26.5%</w:t>
            </w:r>
          </w:p>
          <w:p>
            <w:pPr>
              <w:jc w:val="center"/>
            </w:pPr>
            <w:r>
              <w:rPr>
                <w:rFonts w:ascii="Arial" w:cs="Arial" w:eastAsia="Arial" w:hAnsi="Arial"/>
                <w:b/>
                <w:bCs/>
                <w:color w:val="1B2A4A"/>
                <w:sz w:val="18"/>
                <w:szCs w:val="18"/>
              </w:rPr>
              <w:t xml:space="preserve">Overall Churn Rate</w:t>
            </w:r>
          </w:p>
          <w:p>
            <w:pPr>
              <w:jc w:val="center"/>
            </w:pPr>
            <w:r>
              <w:rPr>
                <w:rFonts w:ascii="Arial" w:cs="Arial" w:eastAsia="Arial" w:hAnsi="Arial"/>
                <w:i/>
                <w:iCs/>
                <w:color w:val="666666"/>
                <w:sz w:val="16"/>
                <w:szCs w:val="16"/>
              </w:rPr>
              <w:t xml:space="preserve">vs 15–25% industry avg</w:t>
            </w:r>
          </w:p>
        </w:tc>
        <w:tc>
          <w:tcPr>
            <w:tcW w:type="dxa" w:w="2340"/>
            <w:tcBorders>
              <w:top w:val="single" w:color="C0392B" w:sz="4"/>
              <w:left w:val="single" w:color="CCCCCC" w:sz="1"/>
              <w:bottom w:val="single" w:color="CCCCCC" w:sz="1"/>
              <w:right w:val="single" w:color="CCCCCC" w:sz="1"/>
            </w:tcBorders>
            <w:shd w:fill="FAFAFA" w:val="clear"/>
            <w:tcMar>
              <w:top w:type="dxa" w:w="120"/>
              <w:left w:type="dxa" w:w="160"/>
              <w:bottom w:type="dxa" w:w="120"/>
              <w:right w:type="dxa" w:w="160"/>
            </w:tcMar>
          </w:tcPr>
          <w:p>
            <w:pPr>
              <w:jc w:val="center"/>
            </w:pPr>
            <w:r>
              <w:rPr>
                <w:rFonts w:ascii="Arial" w:cs="Arial" w:eastAsia="Arial" w:hAnsi="Arial"/>
                <w:b/>
                <w:bCs/>
                <w:color w:val="C0392B"/>
                <w:sz w:val="36"/>
                <w:szCs w:val="36"/>
              </w:rPr>
              <w:t xml:space="preserve">1,869</w:t>
            </w:r>
          </w:p>
          <w:p>
            <w:pPr>
              <w:jc w:val="center"/>
            </w:pPr>
            <w:r>
              <w:rPr>
                <w:rFonts w:ascii="Arial" w:cs="Arial" w:eastAsia="Arial" w:hAnsi="Arial"/>
                <w:b/>
                <w:bCs/>
                <w:color w:val="1B2A4A"/>
                <w:sz w:val="18"/>
                <w:szCs w:val="18"/>
              </w:rPr>
              <w:t xml:space="preserve">Customers Lost</w:t>
            </w:r>
          </w:p>
          <w:p>
            <w:pPr>
              <w:jc w:val="center"/>
            </w:pPr>
            <w:r>
              <w:rPr>
                <w:rFonts w:ascii="Arial" w:cs="Arial" w:eastAsia="Arial" w:hAnsi="Arial"/>
                <w:i/>
                <w:iCs/>
                <w:color w:val="666666"/>
                <w:sz w:val="16"/>
                <w:szCs w:val="16"/>
              </w:rPr>
              <w:t xml:space="preserve">out of 7,043 total</w:t>
            </w:r>
          </w:p>
        </w:tc>
        <w:tc>
          <w:tcPr>
            <w:tcW w:type="dxa" w:w="2340"/>
            <w:tcBorders>
              <w:top w:val="single" w:color="C0392B" w:sz="4"/>
              <w:left w:val="single" w:color="CCCCCC" w:sz="1"/>
              <w:bottom w:val="single" w:color="CCCCCC" w:sz="1"/>
              <w:right w:val="single" w:color="CCCCCC" w:sz="1"/>
            </w:tcBorders>
            <w:shd w:fill="FAFAFA" w:val="clear"/>
            <w:tcMar>
              <w:top w:type="dxa" w:w="120"/>
              <w:left w:type="dxa" w:w="160"/>
              <w:bottom w:type="dxa" w:w="120"/>
              <w:right w:type="dxa" w:w="160"/>
            </w:tcMar>
          </w:tcPr>
          <w:p>
            <w:pPr>
              <w:jc w:val="center"/>
            </w:pPr>
            <w:r>
              <w:rPr>
                <w:rFonts w:ascii="Arial" w:cs="Arial" w:eastAsia="Arial" w:hAnsi="Arial"/>
                <w:b/>
                <w:bCs/>
                <w:color w:val="C0392B"/>
                <w:sz w:val="36"/>
                <w:szCs w:val="36"/>
              </w:rPr>
              <w:t xml:space="preserve">42.7%</w:t>
            </w:r>
          </w:p>
          <w:p>
            <w:pPr>
              <w:jc w:val="center"/>
            </w:pPr>
            <w:r>
              <w:rPr>
                <w:rFonts w:ascii="Arial" w:cs="Arial" w:eastAsia="Arial" w:hAnsi="Arial"/>
                <w:b/>
                <w:bCs/>
                <w:color w:val="1B2A4A"/>
                <w:sz w:val="18"/>
                <w:szCs w:val="18"/>
              </w:rPr>
              <w:t xml:space="preserve">Highest Risk Group</w:t>
            </w:r>
          </w:p>
          <w:p>
            <w:pPr>
              <w:jc w:val="center"/>
            </w:pPr>
            <w:r>
              <w:rPr>
                <w:rFonts w:ascii="Arial" w:cs="Arial" w:eastAsia="Arial" w:hAnsi="Arial"/>
                <w:i/>
                <w:iCs/>
                <w:color w:val="666666"/>
                <w:sz w:val="16"/>
                <w:szCs w:val="16"/>
              </w:rPr>
              <w:t xml:space="preserve">Month-to-Month churn</w:t>
            </w:r>
          </w:p>
        </w:tc>
        <w:tc>
          <w:tcPr>
            <w:tcW w:type="dxa" w:w="2340"/>
            <w:tcBorders>
              <w:top w:val="single" w:color="C0392B" w:sz="4"/>
              <w:left w:val="single" w:color="CCCCCC" w:sz="1"/>
              <w:bottom w:val="single" w:color="CCCCCC" w:sz="1"/>
              <w:right w:val="single" w:color="CCCCCC" w:sz="1"/>
            </w:tcBorders>
            <w:shd w:fill="FAFAFA" w:val="clear"/>
            <w:tcMar>
              <w:top w:type="dxa" w:w="120"/>
              <w:left w:type="dxa" w:w="160"/>
              <w:bottom w:type="dxa" w:w="120"/>
              <w:right w:type="dxa" w:w="160"/>
            </w:tcMar>
          </w:tcPr>
          <w:p>
            <w:pPr>
              <w:jc w:val="center"/>
            </w:pPr>
            <w:r>
              <w:rPr>
                <w:rFonts w:ascii="Arial" w:cs="Arial" w:eastAsia="Arial" w:hAnsi="Arial"/>
                <w:b/>
                <w:bCs/>
                <w:color w:val="C0392B"/>
                <w:sz w:val="36"/>
                <w:szCs w:val="36"/>
              </w:rPr>
              <w:t xml:space="preserve">2.8%</w:t>
            </w:r>
          </w:p>
          <w:p>
            <w:pPr>
              <w:jc w:val="center"/>
            </w:pPr>
            <w:r>
              <w:rPr>
                <w:rFonts w:ascii="Arial" w:cs="Arial" w:eastAsia="Arial" w:hAnsi="Arial"/>
                <w:b/>
                <w:bCs/>
                <w:color w:val="1B2A4A"/>
                <w:sz w:val="18"/>
                <w:szCs w:val="18"/>
              </w:rPr>
              <w:t xml:space="preserve">Safest Group</w:t>
            </w:r>
          </w:p>
          <w:p>
            <w:pPr>
              <w:jc w:val="center"/>
            </w:pPr>
            <w:r>
              <w:rPr>
                <w:rFonts w:ascii="Arial" w:cs="Arial" w:eastAsia="Arial" w:hAnsi="Arial"/>
                <w:i/>
                <w:iCs/>
                <w:color w:val="666666"/>
                <w:sz w:val="16"/>
                <w:szCs w:val="16"/>
              </w:rPr>
              <w:t xml:space="preserve">Two-Year contract churn</w:t>
            </w:r>
          </w:p>
        </w:tc>
      </w:tr>
    </w:tbl>
    <w:p>
      <w:pPr>
        <w:spacing w:after="140"/>
      </w:pPr>
      <w:r>
        <w:t xml:space="preserve"/>
      </w:r>
    </w:p>
    <w:p>
      <w:pPr>
        <w:pStyle w:val="Heading2"/>
        <w:spacing w:after="100" w:before="220"/>
      </w:pPr>
      <w:r>
        <w:rPr>
          <w:rFonts w:ascii="Arial" w:cs="Arial" w:eastAsia="Arial" w:hAnsi="Arial"/>
          <w:b/>
          <w:bCs/>
          <w:color w:val="2E4057"/>
          <w:sz w:val="26"/>
          <w:szCs w:val="26"/>
        </w:rPr>
        <w:t xml:space="preserve">Key Business Problem</w:t>
      </w:r>
    </w:p>
    <w:p>
      <w:pPr>
        <w:spacing w:after="80"/>
      </w:pPr>
      <w:r>
        <w:rPr>
          <w:rFonts w:ascii="Arial" w:cs="Arial" w:eastAsia="Arial" w:hAnsi="Arial"/>
          <w:i w:val="false"/>
          <w:iCs w:val="false"/>
          <w:color w:val="2C2C2C"/>
          <w:sz w:val="20"/>
          <w:szCs w:val="20"/>
        </w:rPr>
        <w:t xml:space="preserve">The company's product and commercial structure is actively driving churn rather than preventing it:</w:t>
      </w:r>
    </w:p>
    <w:p>
      <w:pPr>
        <w:pStyle w:val="ListParagraph"/>
        <w:numPr>
          <w:ilvl w:val="0"/>
          <w:numId w:val="2"/>
        </w:numPr>
        <w:spacing w:after="60"/>
      </w:pPr>
      <w:r>
        <w:rPr>
          <w:rFonts w:ascii="Arial" w:cs="Arial" w:eastAsia="Arial" w:hAnsi="Arial"/>
          <w:b/>
          <w:bCs/>
          <w:color w:val="1B2A4A"/>
          <w:sz w:val="20"/>
          <w:szCs w:val="20"/>
        </w:rPr>
        <w:t xml:space="preserve">Month-to-Month contracts </w:t>
      </w:r>
      <w:r>
        <w:rPr>
          <w:rFonts w:ascii="Arial" w:cs="Arial" w:eastAsia="Arial" w:hAnsi="Arial"/>
          <w:color w:val="2C2C2C"/>
          <w:sz w:val="20"/>
          <w:szCs w:val="20"/>
        </w:rPr>
        <w:t xml:space="preserve">charge customers the highest monthly prices with zero commitment — creating a toxic combination of high cost and zero friction to leave.</w:t>
      </w:r>
    </w:p>
    <w:p>
      <w:pPr>
        <w:pStyle w:val="ListParagraph"/>
        <w:numPr>
          <w:ilvl w:val="0"/>
          <w:numId w:val="2"/>
        </w:numPr>
        <w:spacing w:after="60"/>
      </w:pPr>
      <w:r>
        <w:rPr>
          <w:rFonts w:ascii="Arial" w:cs="Arial" w:eastAsia="Arial" w:hAnsi="Arial"/>
          <w:b/>
          <w:bCs/>
          <w:color w:val="1B2A4A"/>
          <w:sz w:val="20"/>
          <w:szCs w:val="20"/>
        </w:rPr>
        <w:t xml:space="preserve">Fiber Optic plans </w:t>
      </w:r>
      <w:r>
        <w:rPr>
          <w:rFonts w:ascii="Arial" w:cs="Arial" w:eastAsia="Arial" w:hAnsi="Arial"/>
          <w:color w:val="2C2C2C"/>
          <w:sz w:val="20"/>
          <w:szCs w:val="20"/>
        </w:rPr>
        <w:t xml:space="preserve">are priced at a significant premium over DSL but are sold without protective add-ons at signup — customers feel overcharged for a bare connection.</w:t>
      </w:r>
    </w:p>
    <w:p>
      <w:pPr>
        <w:pStyle w:val="ListParagraph"/>
        <w:numPr>
          <w:ilvl w:val="0"/>
          <w:numId w:val="2"/>
        </w:numPr>
        <w:spacing w:after="60"/>
      </w:pPr>
      <w:r>
        <w:rPr>
          <w:rFonts w:ascii="Arial" w:cs="Arial" w:eastAsia="Arial" w:hAnsi="Arial"/>
          <w:b/>
          <w:bCs/>
          <w:color w:val="1B2A4A"/>
          <w:sz w:val="20"/>
          <w:szCs w:val="20"/>
        </w:rPr>
        <w:t xml:space="preserve">New customers </w:t>
      </w:r>
      <w:r>
        <w:rPr>
          <w:rFonts w:ascii="Arial" w:cs="Arial" w:eastAsia="Arial" w:hAnsi="Arial"/>
          <w:color w:val="2C2C2C"/>
          <w:sz w:val="20"/>
          <w:szCs w:val="20"/>
        </w:rPr>
        <w:t xml:space="preserve">receive no structured onboarding or retention intervention during their first 6 months — the highest-risk period — and are left to churn silently.</w:t>
      </w:r>
    </w:p>
    <w:p>
      <w:pPr>
        <w:spacing w:after="80"/>
      </w:pPr>
      <w:r>
        <w:t xml:space="preserve"/>
      </w:r>
    </w:p>
    <w:p>
      <w:pPr>
        <w:pStyle w:val="Heading2"/>
        <w:spacing w:after="100" w:before="220"/>
      </w:pPr>
      <w:r>
        <w:rPr>
          <w:rFonts w:ascii="Arial" w:cs="Arial" w:eastAsia="Arial" w:hAnsi="Arial"/>
          <w:b/>
          <w:bCs/>
          <w:color w:val="2E4057"/>
          <w:sz w:val="26"/>
          <w:szCs w:val="26"/>
        </w:rPr>
        <w:t xml:space="preserve">Critical Findings at a Glance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2400"/>
        <w:gridCol w:w="1560"/>
      </w:tblGrid>
      <w:tr>
        <w:trPr>
          <w:tblHeader/>
        </w:trPr>
        <w:tc>
          <w:tcPr>
            <w:tcW w:type="dxa" w:w="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w:t>
            </w:r>
          </w:p>
        </w:tc>
        <w:tc>
          <w:tcPr>
            <w:tcW w:type="dxa" w:w="4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Finding</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Impact</w:t>
            </w:r>
          </w:p>
        </w:tc>
        <w:tc>
          <w:tcPr>
            <w:tcW w:type="dxa" w:w="1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Priority</w:t>
            </w:r>
          </w:p>
        </w:tc>
      </w:tr>
      <w:tr>
        <w:tc>
          <w:tcPr>
            <w:tcW w:type="dxa" w:w="4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1</w:t>
            </w:r>
          </w:p>
        </w:tc>
        <w:tc>
          <w:tcPr>
            <w:tcW w:type="dxa" w:w="40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Month-to-Month customers churn at 42.7% — 14× more than Two-Year customers</w:t>
            </w:r>
          </w:p>
        </w:tc>
        <w:tc>
          <w:tcPr>
            <w:tcW w:type="dxa" w:w="24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Highest revenue loss driver</w:t>
            </w:r>
          </w:p>
        </w:tc>
        <w:tc>
          <w:tcPr>
            <w:tcW w:type="dxa" w:w="15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 Critical</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2</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First 6 months tenure has &gt;50% churn rate — no onboarding safety net exists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Largest volume of churn events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 Critical</w:t>
            </w:r>
          </w:p>
        </w:tc>
      </w:tr>
      <w:tr>
        <w:tc>
          <w:tcPr>
            <w:tcW w:type="dxa" w:w="4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3</w:t>
            </w:r>
          </w:p>
        </w:tc>
        <w:tc>
          <w:tcPr>
            <w:tcW w:type="dxa" w:w="40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Fiber Optic: pays £40/mo more than DSL, but has fewer add-ons — value gap</w:t>
            </w:r>
          </w:p>
        </w:tc>
        <w:tc>
          <w:tcPr>
            <w:tcW w:type="dxa" w:w="24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42% churn vs 19% DSL</w:t>
            </w:r>
          </w:p>
        </w:tc>
        <w:tc>
          <w:tcPr>
            <w:tcW w:type="dxa" w:w="15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 Critical</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4</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Customers with 0 add-ons churn at 2× the rate of customers with 1+ add-on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Structural loyalty gap</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 High</w:t>
            </w:r>
          </w:p>
        </w:tc>
      </w:tr>
      <w:tr>
        <w:tc>
          <w:tcPr>
            <w:tcW w:type="dxa" w:w="4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5</w:t>
            </w:r>
          </w:p>
        </w:tc>
        <w:tc>
          <w:tcPr>
            <w:tcW w:type="dxa" w:w="40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Electronic Check churn (45%) is a proxy for M2M contracts — not payment cause</w:t>
            </w:r>
          </w:p>
        </w:tc>
        <w:tc>
          <w:tcPr>
            <w:tcW w:type="dxa" w:w="24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Misdirected budget risk</w:t>
            </w:r>
          </w:p>
        </w:tc>
        <w:tc>
          <w:tcPr>
            <w:tcW w:type="dxa" w:w="15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 Medium</w:t>
            </w:r>
          </w:p>
        </w:tc>
      </w:tr>
    </w:tbl>
    <w:p>
      <w:pPr>
        <w:spacing w:after="80"/>
      </w:pPr>
      <w:r>
        <w:t xml:space="preserve"/>
      </w:r>
    </w:p>
    <w:p>
      <w:r>
        <w:br w:type="page"/>
      </w:r>
    </w:p>
    <w:p>
      <w:pPr>
        <w:pStyle w:val="Heading1"/>
        <w:spacing w:after="120" w:before="280"/>
      </w:pPr>
      <w:r>
        <w:rPr>
          <w:rFonts w:ascii="Arial" w:cs="Arial" w:eastAsia="Arial" w:hAnsi="Arial"/>
          <w:b/>
          <w:bCs/>
          <w:color w:val="1B2A4A"/>
          <w:sz w:val="34"/>
          <w:szCs w:val="34"/>
        </w:rPr>
        <w:t xml:space="preserve">1. Business Problem Statement</w:t>
      </w:r>
    </w:p>
    <w:p>
      <w:pPr>
        <w:pBdr>
          <w:bottom w:val="single" w:color="C0392B" w:sz="6" w:space="1"/>
        </w:pBdr>
        <w:spacing w:after="120" w:before="120"/>
      </w:pPr>
      <w:r>
        <w:t xml:space="preserve"/>
      </w:r>
    </w:p>
    <w:p>
      <w:pPr>
        <w:spacing w:after="60"/>
      </w:pPr>
      <w:r>
        <w:t xml:space="preserve"/>
      </w:r>
    </w:p>
    <w:p>
      <w:pPr>
        <w:pStyle w:val="Heading2"/>
        <w:spacing w:after="100" w:before="220"/>
      </w:pPr>
      <w:r>
        <w:rPr>
          <w:rFonts w:ascii="Arial" w:cs="Arial" w:eastAsia="Arial" w:hAnsi="Arial"/>
          <w:b/>
          <w:bCs/>
          <w:color w:val="2E4057"/>
          <w:sz w:val="26"/>
          <w:szCs w:val="26"/>
        </w:rPr>
        <w:t xml:space="preserve">Background</w:t>
      </w:r>
    </w:p>
    <w:p>
      <w:pPr>
        <w:spacing w:after="80"/>
      </w:pPr>
      <w:r>
        <w:rPr>
          <w:rFonts w:ascii="Arial" w:cs="Arial" w:eastAsia="Arial" w:hAnsi="Arial"/>
          <w:i w:val="false"/>
          <w:iCs w:val="false"/>
          <w:color w:val="2C2C2C"/>
          <w:sz w:val="20"/>
          <w:szCs w:val="20"/>
        </w:rPr>
        <w:t xml:space="preserve">TeleConnect Inc. is a UK-based telecommunications provider offering phone, internet (DSL and Fiber Optic), and streaming services to residential customers on monthly, one-year, and two-year contract terms. The company has observed elevated customer attrition over recent periods and commissioned this analysis to understand the root causes and identify intervention opportunities before further revenue erosion occurs.</w:t>
      </w:r>
    </w:p>
    <w:p>
      <w:pPr>
        <w:spacing w:after="80"/>
      </w:pPr>
      <w:r>
        <w:t xml:space="preserve"/>
      </w:r>
    </w:p>
    <w:p>
      <w:pPr>
        <w:pStyle w:val="Heading2"/>
        <w:spacing w:after="100" w:before="220"/>
      </w:pPr>
      <w:r>
        <w:rPr>
          <w:rFonts w:ascii="Arial" w:cs="Arial" w:eastAsia="Arial" w:hAnsi="Arial"/>
          <w:b/>
          <w:bCs/>
          <w:color w:val="2E4057"/>
          <w:sz w:val="26"/>
          <w:szCs w:val="26"/>
        </w:rPr>
        <w:t xml:space="preserve">The Business Problem</w:t>
      </w:r>
    </w:p>
    <w:p>
      <w:pPr>
        <w:pBdr>
          <w:left w:val="single" w:color="C0392B" w:sz="12" w:space="1"/>
        </w:pBdr>
        <w:spacing w:after="100"/>
        <w:ind w:left="360"/>
      </w:pPr>
      <w:r>
        <w:rPr>
          <w:rFonts w:ascii="Arial" w:cs="Arial" w:eastAsia="Arial" w:hAnsi="Arial"/>
          <w:i/>
          <w:iCs/>
          <w:color w:val="444444"/>
          <w:sz w:val="20"/>
          <w:szCs w:val="20"/>
        </w:rPr>
        <w:t xml:space="preserve">"With 26.5% of our customers churning annually — nearly 1 in 4 — we are spending significant budget acquiring new customers only to lose them within months. We need to understand exactly who is leaving, why they are leaving, and what we can do about it before it gets worse."</w:t>
      </w:r>
    </w:p>
    <w:p>
      <w:pPr>
        <w:spacing w:after="80"/>
        <w:ind w:left="360"/>
      </w:pPr>
      <w:r>
        <w:rPr>
          <w:rFonts w:ascii="Arial" w:cs="Arial" w:eastAsia="Arial" w:hAnsi="Arial"/>
          <w:color w:val="888888"/>
          <w:sz w:val="18"/>
          <w:szCs w:val="18"/>
        </w:rPr>
        <w:t xml:space="preserve">— VP of Customer Success, TeleConnect Inc.</w:t>
      </w:r>
    </w:p>
    <w:p>
      <w:pPr>
        <w:spacing w:after="80"/>
      </w:pPr>
      <w:r>
        <w:t xml:space="preserve"/>
      </w:r>
    </w:p>
    <w:p>
      <w:pPr>
        <w:pStyle w:val="Heading2"/>
        <w:spacing w:after="100" w:before="220"/>
      </w:pPr>
      <w:r>
        <w:rPr>
          <w:rFonts w:ascii="Arial" w:cs="Arial" w:eastAsia="Arial" w:hAnsi="Arial"/>
          <w:b/>
          <w:bCs/>
          <w:color w:val="2E4057"/>
          <w:sz w:val="26"/>
          <w:szCs w:val="26"/>
        </w:rPr>
        <w:t xml:space="preserve">Analysis Objectives</w:t>
      </w:r>
    </w:p>
    <w:p>
      <w:pPr>
        <w:pStyle w:val="ListParagraph"/>
        <w:numPr>
          <w:ilvl w:val="0"/>
          <w:numId w:val="3"/>
        </w:numPr>
        <w:spacing w:after="60"/>
      </w:pPr>
      <w:r>
        <w:rPr>
          <w:rFonts w:ascii="Arial" w:cs="Arial" w:eastAsia="Arial" w:hAnsi="Arial"/>
          <w:color w:val="2C2C2C"/>
          <w:sz w:val="20"/>
          <w:szCs w:val="20"/>
        </w:rPr>
        <w:t xml:space="preserve">Identify which customer segments have the highest churn rates</w:t>
      </w:r>
    </w:p>
    <w:p>
      <w:pPr>
        <w:pStyle w:val="ListParagraph"/>
        <w:numPr>
          <w:ilvl w:val="0"/>
          <w:numId w:val="3"/>
        </w:numPr>
        <w:spacing w:after="60"/>
      </w:pPr>
      <w:r>
        <w:rPr>
          <w:rFonts w:ascii="Arial" w:cs="Arial" w:eastAsia="Arial" w:hAnsi="Arial"/>
          <w:color w:val="2C2C2C"/>
          <w:sz w:val="20"/>
          <w:szCs w:val="20"/>
        </w:rPr>
        <w:t xml:space="preserve">Understand what contract, service, and demographic factors drive churn</w:t>
      </w:r>
    </w:p>
    <w:p>
      <w:pPr>
        <w:pStyle w:val="ListParagraph"/>
        <w:numPr>
          <w:ilvl w:val="0"/>
          <w:numId w:val="3"/>
        </w:numPr>
        <w:spacing w:after="60"/>
      </w:pPr>
      <w:r>
        <w:rPr>
          <w:rFonts w:ascii="Arial" w:cs="Arial" w:eastAsia="Arial" w:hAnsi="Arial"/>
          <w:color w:val="2C2C2C"/>
          <w:sz w:val="20"/>
          <w:szCs w:val="20"/>
        </w:rPr>
        <w:t xml:space="preserve">Diagnose the root causes behind each major churn pattern</w:t>
      </w:r>
    </w:p>
    <w:p>
      <w:pPr>
        <w:pStyle w:val="ListParagraph"/>
        <w:numPr>
          <w:ilvl w:val="0"/>
          <w:numId w:val="3"/>
        </w:numPr>
        <w:spacing w:after="60"/>
      </w:pPr>
      <w:r>
        <w:rPr>
          <w:rFonts w:ascii="Arial" w:cs="Arial" w:eastAsia="Arial" w:hAnsi="Arial"/>
          <w:color w:val="2C2C2C"/>
          <w:sz w:val="20"/>
          <w:szCs w:val="20"/>
        </w:rPr>
        <w:t xml:space="preserve">Deliver specific, prioritised recommendations the business can act on immediately</w:t>
      </w:r>
    </w:p>
    <w:p>
      <w:pPr>
        <w:spacing w:after="80"/>
      </w:pPr>
      <w:r>
        <w:t xml:space="preserve"/>
      </w:r>
    </w:p>
    <w:p>
      <w:pPr>
        <w:pStyle w:val="Heading2"/>
        <w:spacing w:after="100" w:before="220"/>
      </w:pPr>
      <w:r>
        <w:rPr>
          <w:rFonts w:ascii="Arial" w:cs="Arial" w:eastAsia="Arial" w:hAnsi="Arial"/>
          <w:b/>
          <w:bCs/>
          <w:color w:val="2E4057"/>
          <w:sz w:val="26"/>
          <w:szCs w:val="26"/>
        </w:rPr>
        <w:t xml:space="preserve">Dataset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Attribute</w:t>
            </w:r>
          </w:p>
        </w:tc>
        <w:tc>
          <w:tcPr>
            <w:tcW w:type="dxa" w:w="63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Detail</w:t>
            </w:r>
          </w:p>
        </w:tc>
      </w:tr>
      <w:tr>
        <w:tc>
          <w:tcPr>
            <w:tcW w:type="dxa" w:w="30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Source</w:t>
            </w:r>
          </w:p>
        </w:tc>
        <w:tc>
          <w:tcPr>
            <w:tcW w:type="dxa" w:w="63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Telecom Customer Churn CSV</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Total Customers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7,043</w:t>
            </w:r>
          </w:p>
        </w:tc>
      </w:tr>
      <w:tr>
        <w:tc>
          <w:tcPr>
            <w:tcW w:type="dxa" w:w="30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Features</w:t>
            </w:r>
          </w:p>
        </w:tc>
        <w:tc>
          <w:tcPr>
            <w:tcW w:type="dxa" w:w="63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21 (demographics, services, contract, billing, churn)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Churn Rate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26.5% (1,869 churned / 5,174 retained)</w:t>
            </w:r>
          </w:p>
        </w:tc>
      </w:tr>
      <w:tr>
        <w:tc>
          <w:tcPr>
            <w:tcW w:type="dxa" w:w="30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Time Period</w:t>
            </w:r>
          </w:p>
        </w:tc>
        <w:tc>
          <w:tcPr>
            <w:tcW w:type="dxa" w:w="63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Single cross-sectional snapshot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Numerical Features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Tenure (months), MonthlyCharges, TotalCharges</w:t>
            </w:r>
          </w:p>
        </w:tc>
      </w:tr>
      <w:tr>
        <w:tc>
          <w:tcPr>
            <w:tcW w:type="dxa" w:w="30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Categorical Features</w:t>
            </w:r>
          </w:p>
        </w:tc>
        <w:tc>
          <w:tcPr>
            <w:tcW w:type="dxa" w:w="63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18 (gender, senior, partner, dependents, services, contract, payment, churn)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Data Quality Issues Found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TotalCharges: 11 blank strings (new customers, zero tenure) — fixed by replacing with 0</w:t>
            </w:r>
          </w:p>
        </w:tc>
      </w:tr>
    </w:tbl>
    <w:p>
      <w:pPr>
        <w:spacing w:after="80"/>
      </w:pPr>
      <w:r>
        <w:t xml:space="preserve"/>
      </w:r>
    </w:p>
    <w:p>
      <w:r>
        <w:br w:type="page"/>
      </w:r>
    </w:p>
    <w:p>
      <w:pPr>
        <w:pStyle w:val="Heading1"/>
        <w:spacing w:after="120" w:before="280"/>
      </w:pPr>
      <w:r>
        <w:rPr>
          <w:rFonts w:ascii="Arial" w:cs="Arial" w:eastAsia="Arial" w:hAnsi="Arial"/>
          <w:b/>
          <w:bCs/>
          <w:color w:val="1B2A4A"/>
          <w:sz w:val="34"/>
          <w:szCs w:val="34"/>
        </w:rPr>
        <w:t xml:space="preserve">2. Data Cleaning &amp; Preparation</w:t>
      </w:r>
    </w:p>
    <w:p>
      <w:pPr>
        <w:pBdr>
          <w:bottom w:val="single" w:color="C0392B" w:sz="6" w:space="1"/>
        </w:pBdr>
        <w:spacing w:after="120" w:before="120"/>
      </w:pPr>
      <w:r>
        <w:t xml:space="preserve"/>
      </w:r>
    </w:p>
    <w:p>
      <w:pPr>
        <w:spacing w:after="60"/>
      </w:pPr>
      <w:r>
        <w:t xml:space="preserve"/>
      </w:r>
    </w:p>
    <w:p>
      <w:pPr>
        <w:pStyle w:val="Heading2"/>
        <w:spacing w:after="100" w:before="220"/>
      </w:pPr>
      <w:r>
        <w:rPr>
          <w:rFonts w:ascii="Arial" w:cs="Arial" w:eastAsia="Arial" w:hAnsi="Arial"/>
          <w:b/>
          <w:bCs/>
          <w:color w:val="2E4057"/>
          <w:sz w:val="26"/>
          <w:szCs w:val="26"/>
        </w:rPr>
        <w:t xml:space="preserve">Issues Found &amp; How They Were Resolved</w:t>
      </w:r>
    </w:p>
    <w:p>
      <w:pPr>
        <w:spacing w:after="60"/>
      </w:pPr>
      <w:r>
        <w:t xml:space="preserve"/>
      </w:r>
    </w:p>
    <w:p>
      <w:pPr>
        <w:spacing w:after="80" w:before="180"/>
      </w:pPr>
      <w:r>
        <w:rPr>
          <w:rFonts w:ascii="Arial" w:cs="Arial" w:eastAsia="Arial" w:hAnsi="Arial"/>
          <w:b/>
          <w:bCs/>
          <w:color w:val="C0392B"/>
          <w:sz w:val="22"/>
          <w:szCs w:val="22"/>
        </w:rPr>
        <w:t xml:space="preserve">Issue 1 — TotalCharges Hidden Blank Strings</w:t>
      </w:r>
    </w:p>
    <w:p>
      <w:pPr>
        <w:spacing w:after="80"/>
      </w:pPr>
      <w:r>
        <w:rPr>
          <w:rFonts w:ascii="Arial" w:cs="Arial" w:eastAsia="Arial" w:hAnsi="Arial"/>
          <w:i w:val="false"/>
          <w:iCs w:val="false"/>
          <w:color w:val="2C2C2C"/>
          <w:sz w:val="20"/>
          <w:szCs w:val="20"/>
        </w:rPr>
        <w:t xml:space="preserve">The TotalCharges column appeared to have zero null values — df.isnull().sum() returned 0. However, directly casting the column to float64 threw a ValueError. Investigation revealed 11 rows contained a blank string (' ') instead of a proper null value, which Python's null detection doesn't catch.</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Step</w:t>
            </w:r>
          </w:p>
        </w:tc>
        <w:tc>
          <w:tcPr>
            <w:tcW w:type="dxa" w:w="35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Action</w:t>
            </w:r>
          </w:p>
        </w:tc>
        <w:tc>
          <w:tcPr>
            <w:tcW w:type="dxa" w:w="43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Code Logic</w:t>
            </w:r>
          </w:p>
        </w:tc>
      </w:tr>
      <w:tr>
        <w:tc>
          <w:tcPr>
            <w:tcW w:type="dxa" w:w="15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1. Detect</w:t>
            </w:r>
          </w:p>
        </w:tc>
        <w:tc>
          <w:tcPr>
            <w:tcW w:type="dxa" w:w="35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Identify rows where stripped TotalCharges equals empty string</w:t>
            </w:r>
          </w:p>
        </w:tc>
        <w:tc>
          <w:tcPr>
            <w:tcW w:type="dxa" w:w="43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df[df['TotalCharges'].str.strip() == '']</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2. Replace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Replace blank strings with '0' (these are new customers, never billed)</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df.loc[condition, 'TotalCharges'] = '0'</w:t>
            </w:r>
          </w:p>
        </w:tc>
      </w:tr>
      <w:tr>
        <w:tc>
          <w:tcPr>
            <w:tcW w:type="dxa" w:w="15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3. Cast</w:t>
            </w:r>
          </w:p>
        </w:tc>
        <w:tc>
          <w:tcPr>
            <w:tcW w:type="dxa" w:w="35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Convert the now-clean column to float64</w:t>
            </w:r>
          </w:p>
        </w:tc>
        <w:tc>
          <w:tcPr>
            <w:tcW w:type="dxa" w:w="43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df['TotalCharges'].astype('float64')</w:t>
            </w:r>
          </w:p>
        </w:tc>
      </w:tr>
    </w:tbl>
    <w:p>
      <w:pPr>
        <w:spacing w:after="60"/>
      </w:pPr>
      <w:r>
        <w:t xml:space="preserve"/>
      </w:r>
    </w:p>
    <w:p>
      <w:pPr>
        <w:spacing w:after="80"/>
      </w:pPr>
      <w:r>
        <w:rPr>
          <w:rFonts w:ascii="Arial" w:cs="Arial" w:eastAsia="Arial" w:hAnsi="Arial"/>
          <w:i/>
          <w:iCs/>
          <w:color w:val="555555"/>
          <w:sz w:val="18"/>
          <w:szCs w:val="18"/>
        </w:rPr>
        <w:t xml:space="preserve">Business rationale: The 11 affected rows are customers with zero tenure — they signed up but were never billed. Replacing with 0 is correct; dropping them would discard valid customer records.</w:t>
      </w:r>
    </w:p>
    <w:p>
      <w:pPr>
        <w:spacing w:after="80"/>
      </w:pPr>
      <w:r>
        <w:t xml:space="preserve"/>
      </w:r>
    </w:p>
    <w:p>
      <w:pPr>
        <w:spacing w:after="80" w:before="180"/>
      </w:pPr>
      <w:r>
        <w:rPr>
          <w:rFonts w:ascii="Arial" w:cs="Arial" w:eastAsia="Arial" w:hAnsi="Arial"/>
          <w:b/>
          <w:bCs/>
          <w:color w:val="C0392B"/>
          <w:sz w:val="22"/>
          <w:szCs w:val="22"/>
        </w:rPr>
        <w:t xml:space="preserve">Issue 2 — SeniorCitizen Stored as Integer</w:t>
      </w:r>
    </w:p>
    <w:p>
      <w:pPr>
        <w:spacing w:after="80"/>
      </w:pPr>
      <w:r>
        <w:rPr>
          <w:rFonts w:ascii="Arial" w:cs="Arial" w:eastAsia="Arial" w:hAnsi="Arial"/>
          <w:i w:val="false"/>
          <w:iCs w:val="false"/>
          <w:color w:val="2C2C2C"/>
          <w:sz w:val="20"/>
          <w:szCs w:val="20"/>
        </w:rPr>
        <w:t xml:space="preserve">The SeniorCitizen column was encoded as 0/1 integers. While technically valid, this creates misleading charts (a bar chart showing '0' vs '1' tells a viewer nothing). Converted to 'no'/'yes' string labels before any analysis.</w:t>
      </w:r>
    </w:p>
    <w:p>
      <w:pPr>
        <w:spacing w:after="80"/>
      </w:pPr>
      <w:r>
        <w:t xml:space="preserve"/>
      </w:r>
    </w:p>
    <w:p>
      <w:pPr>
        <w:spacing w:after="80" w:before="180"/>
      </w:pPr>
      <w:r>
        <w:rPr>
          <w:rFonts w:ascii="Arial" w:cs="Arial" w:eastAsia="Arial" w:hAnsi="Arial"/>
          <w:b/>
          <w:bCs/>
          <w:color w:val="C0392B"/>
          <w:sz w:val="22"/>
          <w:szCs w:val="22"/>
        </w:rPr>
        <w:t xml:space="preserve">Pre-Analysis: Data Audit in Excel</w:t>
      </w:r>
    </w:p>
    <w:p>
      <w:pPr>
        <w:spacing w:after="80"/>
      </w:pPr>
      <w:r>
        <w:rPr>
          <w:rFonts w:ascii="Arial" w:cs="Arial" w:eastAsia="Arial" w:hAnsi="Arial"/>
          <w:i w:val="false"/>
          <w:iCs w:val="false"/>
          <w:color w:val="2C2C2C"/>
          <w:sz w:val="20"/>
          <w:szCs w:val="20"/>
        </w:rPr>
        <w:t xml:space="preserve">Before writing a single line of Python, an initial data audit was performed in Excel by converting the raw CSV into a structured table. This surface-level review immediately surfaced the TotalCharges blank string issue — which is visually obvious in a formatted Excel table but invisible to standard Python null-detection. This is good analyst practice: use the right tool for each step.</w:t>
      </w:r>
    </w:p>
    <w:p>
      <w:pPr>
        <w:spacing w:after="60"/>
      </w:pPr>
      <w:r>
        <w:t xml:space="preserve"/>
      </w:r>
    </w:p>
    <w:p>
      <w:r>
        <w:br w:type="page"/>
      </w:r>
    </w:p>
    <w:p>
      <w:pPr>
        <w:pStyle w:val="Heading1"/>
        <w:spacing w:after="120" w:before="280"/>
      </w:pPr>
      <w:r>
        <w:rPr>
          <w:rFonts w:ascii="Arial" w:cs="Arial" w:eastAsia="Arial" w:hAnsi="Arial"/>
          <w:b/>
          <w:bCs/>
          <w:color w:val="1B2A4A"/>
          <w:sz w:val="34"/>
          <w:szCs w:val="34"/>
        </w:rPr>
        <w:t xml:space="preserve">3. Descriptive Analysis — What Is Happening?</w:t>
      </w:r>
    </w:p>
    <w:p>
      <w:pPr>
        <w:pBdr>
          <w:bottom w:val="single" w:color="C0392B" w:sz="6" w:space="1"/>
        </w:pBdr>
        <w:spacing w:after="120" w:before="120"/>
      </w:pPr>
      <w:r>
        <w:t xml:space="preserve"/>
      </w:r>
    </w:p>
    <w:p>
      <w:pPr>
        <w:spacing w:after="80"/>
      </w:pPr>
      <w:r>
        <w:rPr>
          <w:rFonts w:ascii="Arial" w:cs="Arial" w:eastAsia="Arial" w:hAnsi="Arial"/>
          <w:i/>
          <w:iCs/>
          <w:color w:val="555555"/>
          <w:sz w:val="20"/>
          <w:szCs w:val="20"/>
        </w:rPr>
        <w:t xml:space="preserve">Descriptive analysis maps the current state of churn across all customer dimensions. Every rate below is compared against the 26.5% global baseline.</w:t>
      </w:r>
    </w:p>
    <w:p>
      <w:pPr>
        <w:spacing w:after="80"/>
      </w:pPr>
      <w:r>
        <w:t xml:space="preserve"/>
      </w:r>
    </w:p>
    <w:p>
      <w:pPr>
        <w:pStyle w:val="Heading2"/>
        <w:spacing w:after="100" w:before="220"/>
      </w:pPr>
      <w:r>
        <w:rPr>
          <w:rFonts w:ascii="Arial" w:cs="Arial" w:eastAsia="Arial" w:hAnsi="Arial"/>
          <w:b/>
          <w:bCs/>
          <w:color w:val="2E4057"/>
          <w:sz w:val="26"/>
          <w:szCs w:val="26"/>
        </w:rPr>
        <w:t xml:space="preserve">3.1 Numerical Features</w:t>
      </w:r>
    </w:p>
    <w:p>
      <w:pPr>
        <w:spacing w:after="40"/>
      </w:pPr>
      <w:r>
        <w:t xml:space="preserve"/>
      </w:r>
    </w:p>
    <w:p>
      <w:pPr>
        <w:spacing w:after="80" w:before="180"/>
      </w:pPr>
      <w:r>
        <w:rPr>
          <w:rFonts w:ascii="Arial" w:cs="Arial" w:eastAsia="Arial" w:hAnsi="Arial"/>
          <w:b/>
          <w:bCs/>
          <w:color w:val="C0392B"/>
          <w:sz w:val="22"/>
          <w:szCs w:val="22"/>
        </w:rPr>
        <w:t xml:space="preserve">Tenure</w:t>
      </w:r>
    </w:p>
    <w:p>
      <w:pPr>
        <w:spacing w:after="80"/>
      </w:pPr>
      <w:r>
        <w:rPr>
          <w:rFonts w:ascii="Arial" w:cs="Arial" w:eastAsia="Arial" w:hAnsi="Arial"/>
          <w:i w:val="false"/>
          <w:iCs w:val="false"/>
          <w:color w:val="2C2C2C"/>
          <w:sz w:val="20"/>
          <w:szCs w:val="20"/>
        </w:rPr>
        <w:t xml:space="preserve">Customer tenure follows a striking bimodal (U-shaped) distribution — large spikes at month 1 (brand new, high-risk) and month 72 (longest-serving, extremely loyal). Very few customers occupy the middle tenure range, suggesting the company has two distinct customer populations: those who leave early and those who become long-term loyalists.</w:t>
      </w:r>
    </w:p>
    <w:p>
      <w:pPr>
        <w:pStyle w:val="ListParagraph"/>
        <w:numPr>
          <w:ilvl w:val="0"/>
          <w:numId w:val="2"/>
        </w:numPr>
        <w:spacing w:after="60"/>
      </w:pPr>
      <w:r>
        <w:rPr>
          <w:rFonts w:ascii="Arial" w:cs="Arial" w:eastAsia="Arial" w:hAnsi="Arial"/>
          <w:b/>
          <w:bCs/>
          <w:color w:val="1B2A4A"/>
          <w:sz w:val="20"/>
          <w:szCs w:val="20"/>
        </w:rPr>
        <w:t xml:space="preserve">Churn is lowest after the 14th month </w:t>
      </w:r>
      <w:r>
        <w:rPr>
          <w:rFonts w:ascii="Arial" w:cs="Arial" w:eastAsia="Arial" w:hAnsi="Arial"/>
          <w:color w:val="2C2C2C"/>
          <w:sz w:val="20"/>
          <w:szCs w:val="20"/>
        </w:rPr>
        <w:t xml:space="preserve">and barely perceptible after month 48.</w:t>
      </w:r>
    </w:p>
    <w:p>
      <w:pPr>
        <w:pStyle w:val="ListParagraph"/>
        <w:numPr>
          <w:ilvl w:val="0"/>
          <w:numId w:val="2"/>
        </w:numPr>
        <w:spacing w:after="60"/>
      </w:pPr>
      <w:r>
        <w:rPr>
          <w:rFonts w:ascii="Arial" w:cs="Arial" w:eastAsia="Arial" w:hAnsi="Arial"/>
          <w:b/>
          <w:bCs/>
          <w:color w:val="1B2A4A"/>
          <w:sz w:val="20"/>
          <w:szCs w:val="20"/>
        </w:rPr>
        <w:t xml:space="preserve">The first 6 months are the most critical window </w:t>
      </w:r>
      <w:r>
        <w:rPr>
          <w:rFonts w:ascii="Arial" w:cs="Arial" w:eastAsia="Arial" w:hAnsi="Arial"/>
          <w:color w:val="2C2C2C"/>
          <w:sz w:val="20"/>
          <w:szCs w:val="20"/>
        </w:rPr>
        <w:t xml:space="preserve">— churn rate exceeds 50% in the 0–3 month cohort.</w:t>
      </w:r>
    </w:p>
    <w:p>
      <w:pPr>
        <w:pStyle w:val="ListParagraph"/>
        <w:numPr>
          <w:ilvl w:val="0"/>
          <w:numId w:val="2"/>
        </w:numPr>
        <w:spacing w:after="60"/>
      </w:pPr>
      <w:r>
        <w:rPr>
          <w:rFonts w:ascii="Arial" w:cs="Arial" w:eastAsia="Arial" w:hAnsi="Arial"/>
          <w:b/>
          <w:bCs/>
          <w:color w:val="1B2A4A"/>
          <w:sz w:val="20"/>
          <w:szCs w:val="20"/>
        </w:rPr>
        <w:t xml:space="preserve">Business implication: </w:t>
      </w:r>
      <w:r>
        <w:rPr>
          <w:rFonts w:ascii="Arial" w:cs="Arial" w:eastAsia="Arial" w:hAnsi="Arial"/>
          <w:color w:val="2C2C2C"/>
          <w:sz w:val="20"/>
          <w:szCs w:val="20"/>
        </w:rPr>
        <w:t xml:space="preserve">Every month a customer survives increases their probability of becoming a long-term loyalist. The goal is getting customers through the first 12 months.</w:t>
      </w:r>
    </w:p>
    <w:p>
      <w:pPr>
        <w:spacing w:after="80"/>
      </w:pPr>
      <w:r>
        <w:t xml:space="preserve"/>
      </w:r>
    </w:p>
    <w:p>
      <w:pPr>
        <w:spacing w:after="80" w:before="180"/>
      </w:pPr>
      <w:r>
        <w:rPr>
          <w:rFonts w:ascii="Arial" w:cs="Arial" w:eastAsia="Arial" w:hAnsi="Arial"/>
          <w:b/>
          <w:bCs/>
          <w:color w:val="C0392B"/>
          <w:sz w:val="22"/>
          <w:szCs w:val="22"/>
        </w:rPr>
        <w:t xml:space="preserve">Monthly Charges</w:t>
      </w:r>
    </w:p>
    <w:p>
      <w:pPr>
        <w:spacing w:after="80"/>
      </w:pPr>
      <w:r>
        <w:rPr>
          <w:rFonts w:ascii="Arial" w:cs="Arial" w:eastAsia="Arial" w:hAnsi="Arial"/>
          <w:i w:val="false"/>
          <w:iCs w:val="false"/>
          <w:color w:val="2C2C2C"/>
          <w:sz w:val="20"/>
          <w:szCs w:val="20"/>
        </w:rPr>
        <w:t xml:space="preserve">MonthlyCharges shows a bimodal distribution with two distinct clusters:</w:t>
      </w:r>
    </w:p>
    <w:p>
      <w:pPr>
        <w:pStyle w:val="ListParagraph"/>
        <w:numPr>
          <w:ilvl w:val="0"/>
          <w:numId w:val="2"/>
        </w:numPr>
        <w:spacing w:after="60"/>
      </w:pPr>
      <w:r>
        <w:rPr>
          <w:rFonts w:ascii="Arial" w:cs="Arial" w:eastAsia="Arial" w:hAnsi="Arial"/>
          <w:b/>
          <w:bCs/>
          <w:color w:val="1B2A4A"/>
          <w:sz w:val="20"/>
          <w:szCs w:val="20"/>
        </w:rPr>
        <w:t xml:space="preserve">~£20 cluster: </w:t>
      </w:r>
      <w:r>
        <w:rPr>
          <w:rFonts w:ascii="Arial" w:cs="Arial" w:eastAsia="Arial" w:hAnsi="Arial"/>
          <w:color w:val="2C2C2C"/>
          <w:sz w:val="20"/>
          <w:szCs w:val="20"/>
        </w:rPr>
        <w:t xml:space="preserve">Basic phone-only subscribers with no internet service — very stable, barely churns.</w:t>
      </w:r>
    </w:p>
    <w:p>
      <w:pPr>
        <w:pStyle w:val="ListParagraph"/>
        <w:numPr>
          <w:ilvl w:val="0"/>
          <w:numId w:val="2"/>
        </w:numPr>
        <w:spacing w:after="60"/>
      </w:pPr>
      <w:r>
        <w:rPr>
          <w:rFonts w:ascii="Arial" w:cs="Arial" w:eastAsia="Arial" w:hAnsi="Arial"/>
          <w:b/>
          <w:bCs/>
          <w:color w:val="1B2A4A"/>
          <w:sz w:val="20"/>
          <w:szCs w:val="20"/>
        </w:rPr>
        <w:t xml:space="preserve">£60–£100 cluster: </w:t>
      </w:r>
      <w:r>
        <w:rPr>
          <w:rFonts w:ascii="Arial" w:cs="Arial" w:eastAsia="Arial" w:hAnsi="Arial"/>
          <w:color w:val="2C2C2C"/>
          <w:sz w:val="20"/>
          <w:szCs w:val="20"/>
        </w:rPr>
        <w:t xml:space="preserve">Internet and add-on subscribers — higher charges, higher churn risk.</w:t>
      </w:r>
    </w:p>
    <w:p>
      <w:pPr>
        <w:pStyle w:val="ListParagraph"/>
        <w:numPr>
          <w:ilvl w:val="0"/>
          <w:numId w:val="2"/>
        </w:numPr>
        <w:spacing w:after="60"/>
      </w:pPr>
      <w:r>
        <w:rPr>
          <w:rFonts w:ascii="Arial" w:cs="Arial" w:eastAsia="Arial" w:hAnsi="Arial"/>
          <w:b/>
          <w:bCs/>
          <w:color w:val="1B2A4A"/>
          <w:sz w:val="20"/>
          <w:szCs w:val="20"/>
        </w:rPr>
        <w:t xml:space="preserve">The £30–£50 gap </w:t>
      </w:r>
      <w:r>
        <w:rPr>
          <w:rFonts w:ascii="Arial" w:cs="Arial" w:eastAsia="Arial" w:hAnsi="Arial"/>
          <w:color w:val="2C2C2C"/>
          <w:sz w:val="20"/>
          <w:szCs w:val="20"/>
        </w:rPr>
        <w:t xml:space="preserve">suggests the company has two clearly distinct product tiers with minimal middle ground.</w:t>
      </w:r>
    </w:p>
    <w:p>
      <w:pPr>
        <w:spacing w:after="80"/>
      </w:pPr>
      <w:r>
        <w:t xml:space="preserve"/>
      </w:r>
    </w:p>
    <w:p>
      <w:pPr>
        <w:spacing w:after="80" w:before="180"/>
      </w:pPr>
      <w:r>
        <w:rPr>
          <w:rFonts w:ascii="Arial" w:cs="Arial" w:eastAsia="Arial" w:hAnsi="Arial"/>
          <w:b/>
          <w:bCs/>
          <w:color w:val="C0392B"/>
          <w:sz w:val="22"/>
          <w:szCs w:val="22"/>
        </w:rPr>
        <w:t xml:space="preserve">Total Charges</w:t>
      </w:r>
    </w:p>
    <w:p>
      <w:pPr>
        <w:spacing w:after="80"/>
      </w:pPr>
      <w:r>
        <w:rPr>
          <w:rFonts w:ascii="Arial" w:cs="Arial" w:eastAsia="Arial" w:hAnsi="Arial"/>
          <w:i w:val="false"/>
          <w:iCs w:val="false"/>
          <w:color w:val="2C2C2C"/>
          <w:sz w:val="20"/>
          <w:szCs w:val="20"/>
        </w:rPr>
        <w:t xml:space="preserve">TotalCharges is heavily right-skewed — most customers have low total spend (recent subscribers) while a small group of long-tenure customers have accumulated £5,000–£8,000+ in lifetime value. TotalCharges is mathematically near-equivalent to tenure × MonthlyCharges and should not be used as an independent analytical feature alongside tenure.</w:t>
      </w:r>
    </w:p>
    <w:p>
      <w:pPr>
        <w:spacing w:after="80"/>
      </w:pPr>
      <w:r>
        <w:t xml:space="preserve"/>
      </w:r>
    </w:p>
    <w:p>
      <w:pPr>
        <w:pStyle w:val="Heading2"/>
        <w:spacing w:after="100" w:before="220"/>
      </w:pPr>
      <w:r>
        <w:rPr>
          <w:rFonts w:ascii="Arial" w:cs="Arial" w:eastAsia="Arial" w:hAnsi="Arial"/>
          <w:b/>
          <w:bCs/>
          <w:color w:val="2E4057"/>
          <w:sz w:val="26"/>
          <w:szCs w:val="26"/>
        </w:rPr>
        <w:t xml:space="preserve">3.2 Churn Overview</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0392B" w:sz="4"/>
              <w:left w:val="single" w:color="CCCCCC" w:sz="1"/>
              <w:bottom w:val="single" w:color="CCCCCC" w:sz="1"/>
              <w:right w:val="single" w:color="CCCCCC" w:sz="1"/>
            </w:tcBorders>
            <w:shd w:fill="FAFAFA" w:val="clear"/>
            <w:tcMar>
              <w:top w:type="dxa" w:w="120"/>
              <w:left w:type="dxa" w:w="160"/>
              <w:bottom w:type="dxa" w:w="120"/>
              <w:right w:type="dxa" w:w="160"/>
            </w:tcMar>
          </w:tcPr>
          <w:p>
            <w:pPr>
              <w:jc w:val="center"/>
            </w:pPr>
            <w:r>
              <w:rPr>
                <w:rFonts w:ascii="Arial" w:cs="Arial" w:eastAsia="Arial" w:hAnsi="Arial"/>
                <w:b/>
                <w:bCs/>
                <w:color w:val="C0392B"/>
                <w:sz w:val="36"/>
                <w:szCs w:val="36"/>
              </w:rPr>
              <w:t xml:space="preserve">7,043</w:t>
            </w:r>
          </w:p>
          <w:p>
            <w:pPr>
              <w:jc w:val="center"/>
            </w:pPr>
            <w:r>
              <w:rPr>
                <w:rFonts w:ascii="Arial" w:cs="Arial" w:eastAsia="Arial" w:hAnsi="Arial"/>
                <w:b/>
                <w:bCs/>
                <w:color w:val="1B2A4A"/>
                <w:sz w:val="18"/>
                <w:szCs w:val="18"/>
              </w:rPr>
              <w:t xml:space="preserve">Total Customers</w:t>
            </w:r>
          </w:p>
          <w:p>
            <w:pPr>
              <w:jc w:val="center"/>
            </w:pPr>
            <w:r>
              <w:rPr>
                <w:rFonts w:ascii="Arial" w:cs="Arial" w:eastAsia="Arial" w:hAnsi="Arial"/>
                <w:i/>
                <w:iCs/>
                <w:color w:val="666666"/>
                <w:sz w:val="16"/>
                <w:szCs w:val="16"/>
              </w:rPr>
              <w:t xml:space="preserve">Full dataset</w:t>
            </w:r>
          </w:p>
        </w:tc>
        <w:tc>
          <w:tcPr>
            <w:tcW w:type="dxa" w:w="2340"/>
            <w:tcBorders>
              <w:top w:val="single" w:color="C0392B" w:sz="4"/>
              <w:left w:val="single" w:color="CCCCCC" w:sz="1"/>
              <w:bottom w:val="single" w:color="CCCCCC" w:sz="1"/>
              <w:right w:val="single" w:color="CCCCCC" w:sz="1"/>
            </w:tcBorders>
            <w:shd w:fill="FAFAFA" w:val="clear"/>
            <w:tcMar>
              <w:top w:type="dxa" w:w="120"/>
              <w:left w:type="dxa" w:w="160"/>
              <w:bottom w:type="dxa" w:w="120"/>
              <w:right w:type="dxa" w:w="160"/>
            </w:tcMar>
          </w:tcPr>
          <w:p>
            <w:pPr>
              <w:jc w:val="center"/>
            </w:pPr>
            <w:r>
              <w:rPr>
                <w:rFonts w:ascii="Arial" w:cs="Arial" w:eastAsia="Arial" w:hAnsi="Arial"/>
                <w:b/>
                <w:bCs/>
                <w:color w:val="C0392B"/>
                <w:sz w:val="36"/>
                <w:szCs w:val="36"/>
              </w:rPr>
              <w:t xml:space="preserve">1,869</w:t>
            </w:r>
          </w:p>
          <w:p>
            <w:pPr>
              <w:jc w:val="center"/>
            </w:pPr>
            <w:r>
              <w:rPr>
                <w:rFonts w:ascii="Arial" w:cs="Arial" w:eastAsia="Arial" w:hAnsi="Arial"/>
                <w:b/>
                <w:bCs/>
                <w:color w:val="1B2A4A"/>
                <w:sz w:val="18"/>
                <w:szCs w:val="18"/>
              </w:rPr>
              <w:t xml:space="preserve">Churned</w:t>
            </w:r>
          </w:p>
          <w:p>
            <w:pPr>
              <w:jc w:val="center"/>
            </w:pPr>
            <w:r>
              <w:rPr>
                <w:rFonts w:ascii="Arial" w:cs="Arial" w:eastAsia="Arial" w:hAnsi="Arial"/>
                <w:i/>
                <w:iCs/>
                <w:color w:val="666666"/>
                <w:sz w:val="16"/>
                <w:szCs w:val="16"/>
              </w:rPr>
              <w:t xml:space="preserve">26.5% of total</w:t>
            </w:r>
          </w:p>
        </w:tc>
        <w:tc>
          <w:tcPr>
            <w:tcW w:type="dxa" w:w="2340"/>
            <w:tcBorders>
              <w:top w:val="single" w:color="C0392B" w:sz="4"/>
              <w:left w:val="single" w:color="CCCCCC" w:sz="1"/>
              <w:bottom w:val="single" w:color="CCCCCC" w:sz="1"/>
              <w:right w:val="single" w:color="CCCCCC" w:sz="1"/>
            </w:tcBorders>
            <w:shd w:fill="FAFAFA" w:val="clear"/>
            <w:tcMar>
              <w:top w:type="dxa" w:w="120"/>
              <w:left w:type="dxa" w:w="160"/>
              <w:bottom w:type="dxa" w:w="120"/>
              <w:right w:type="dxa" w:w="160"/>
            </w:tcMar>
          </w:tcPr>
          <w:p>
            <w:pPr>
              <w:jc w:val="center"/>
            </w:pPr>
            <w:r>
              <w:rPr>
                <w:rFonts w:ascii="Arial" w:cs="Arial" w:eastAsia="Arial" w:hAnsi="Arial"/>
                <w:b/>
                <w:bCs/>
                <w:color w:val="C0392B"/>
                <w:sz w:val="36"/>
                <w:szCs w:val="36"/>
              </w:rPr>
              <w:t xml:space="preserve">5,174</w:t>
            </w:r>
          </w:p>
          <w:p>
            <w:pPr>
              <w:jc w:val="center"/>
            </w:pPr>
            <w:r>
              <w:rPr>
                <w:rFonts w:ascii="Arial" w:cs="Arial" w:eastAsia="Arial" w:hAnsi="Arial"/>
                <w:b/>
                <w:bCs/>
                <w:color w:val="1B2A4A"/>
                <w:sz w:val="18"/>
                <w:szCs w:val="18"/>
              </w:rPr>
              <w:t xml:space="preserve">Retained</w:t>
            </w:r>
          </w:p>
          <w:p>
            <w:pPr>
              <w:jc w:val="center"/>
            </w:pPr>
            <w:r>
              <w:rPr>
                <w:rFonts w:ascii="Arial" w:cs="Arial" w:eastAsia="Arial" w:hAnsi="Arial"/>
                <w:i/>
                <w:iCs/>
                <w:color w:val="666666"/>
                <w:sz w:val="16"/>
                <w:szCs w:val="16"/>
              </w:rPr>
              <w:t xml:space="preserve">73.5% of total</w:t>
            </w:r>
          </w:p>
        </w:tc>
        <w:tc>
          <w:tcPr>
            <w:tcW w:type="dxa" w:w="2340"/>
            <w:tcBorders>
              <w:top w:val="single" w:color="C0392B" w:sz="4"/>
              <w:left w:val="single" w:color="CCCCCC" w:sz="1"/>
              <w:bottom w:val="single" w:color="CCCCCC" w:sz="1"/>
              <w:right w:val="single" w:color="CCCCCC" w:sz="1"/>
            </w:tcBorders>
            <w:shd w:fill="FAFAFA" w:val="clear"/>
            <w:tcMar>
              <w:top w:type="dxa" w:w="120"/>
              <w:left w:type="dxa" w:w="160"/>
              <w:bottom w:type="dxa" w:w="120"/>
              <w:right w:type="dxa" w:w="160"/>
            </w:tcMar>
          </w:tcPr>
          <w:p>
            <w:pPr>
              <w:jc w:val="center"/>
            </w:pPr>
            <w:r>
              <w:rPr>
                <w:rFonts w:ascii="Arial" w:cs="Arial" w:eastAsia="Arial" w:hAnsi="Arial"/>
                <w:b/>
                <w:bCs/>
                <w:color w:val="C0392B"/>
                <w:sz w:val="36"/>
                <w:szCs w:val="36"/>
              </w:rPr>
              <w:t xml:space="preserve">15–25%</w:t>
            </w:r>
          </w:p>
          <w:p>
            <w:pPr>
              <w:jc w:val="center"/>
            </w:pPr>
            <w:r>
              <w:rPr>
                <w:rFonts w:ascii="Arial" w:cs="Arial" w:eastAsia="Arial" w:hAnsi="Arial"/>
                <w:b/>
                <w:bCs/>
                <w:color w:val="1B2A4A"/>
                <w:sz w:val="18"/>
                <w:szCs w:val="18"/>
              </w:rPr>
              <w:t xml:space="preserve">Industry Benchmark</w:t>
            </w:r>
          </w:p>
          <w:p>
            <w:pPr>
              <w:jc w:val="center"/>
            </w:pPr>
            <w:r>
              <w:rPr>
                <w:rFonts w:ascii="Arial" w:cs="Arial" w:eastAsia="Arial" w:hAnsi="Arial"/>
                <w:i/>
                <w:iCs/>
                <w:color w:val="666666"/>
                <w:sz w:val="16"/>
                <w:szCs w:val="16"/>
              </w:rPr>
              <w:t xml:space="preserve">TeleConnect is above avg</w:t>
            </w:r>
          </w:p>
        </w:tc>
      </w:tr>
    </w:tbl>
    <w:p>
      <w:pPr>
        <w:spacing w:after="120"/>
      </w:pPr>
      <w:r>
        <w:t xml:space="preserve"/>
      </w:r>
    </w:p>
    <w:p>
      <w:pPr>
        <w:pStyle w:val="Heading2"/>
        <w:spacing w:after="100" w:before="220"/>
      </w:pPr>
      <w:r>
        <w:rPr>
          <w:rFonts w:ascii="Arial" w:cs="Arial" w:eastAsia="Arial" w:hAnsi="Arial"/>
          <w:b/>
          <w:bCs/>
          <w:color w:val="2E4057"/>
          <w:sz w:val="26"/>
          <w:szCs w:val="26"/>
        </w:rPr>
        <w:t xml:space="preserve">3.3 Churn by Demographics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800"/>
        <w:gridCol w:w="40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Demographic Factor</w:t>
            </w:r>
          </w:p>
        </w:tc>
        <w:tc>
          <w:tcPr>
            <w:tcW w:type="dxa" w:w="13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Churn Rate</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vs Baseline (26.5%)</w:t>
            </w:r>
          </w:p>
        </w:tc>
        <w:tc>
          <w:tcPr>
            <w:tcW w:type="dxa" w:w="40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Insight</w:t>
            </w:r>
          </w:p>
        </w:tc>
      </w:tr>
      <w:tr>
        <w:tc>
          <w:tcPr>
            <w:tcW w:type="dxa" w:w="22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Gender: Male</w:t>
            </w:r>
          </w:p>
        </w:tc>
        <w:tc>
          <w:tcPr>
            <w:tcW w:type="dxa" w:w="13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~26%</w:t>
            </w:r>
          </w:p>
        </w:tc>
        <w:tc>
          <w:tcPr>
            <w:tcW w:type="dxa" w:w="18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 Baseline</w:t>
            </w:r>
          </w:p>
        </w:tc>
        <w:tc>
          <w:tcPr>
            <w:tcW w:type="dxa" w:w="40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No meaningful difference — deprioritise in strategy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Gender: Female</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~26%</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 Baseline</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No meaningful difference — deprioritise in strategy</w:t>
            </w:r>
          </w:p>
        </w:tc>
      </w:tr>
      <w:tr>
        <w:tc>
          <w:tcPr>
            <w:tcW w:type="dxa" w:w="22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Senior Citizen: Yes</w:t>
            </w:r>
          </w:p>
        </w:tc>
        <w:tc>
          <w:tcPr>
            <w:tcW w:type="dxa" w:w="13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~41%</w:t>
            </w:r>
          </w:p>
        </w:tc>
        <w:tc>
          <w:tcPr>
            <w:tcW w:type="dxa" w:w="18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+14.5pp ABOVE</w:t>
            </w:r>
          </w:p>
        </w:tc>
        <w:tc>
          <w:tcPr>
            <w:tcW w:type="dxa" w:w="40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Highest demographic risk — needs dedicated programme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Senior Citizen: No</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~24%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-2.5pp below</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Slightly below average — relatively stable</w:t>
            </w:r>
          </w:p>
        </w:tc>
      </w:tr>
      <w:tr>
        <w:tc>
          <w:tcPr>
            <w:tcW w:type="dxa" w:w="22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Has Partner: Yes</w:t>
            </w:r>
          </w:p>
        </w:tc>
        <w:tc>
          <w:tcPr>
            <w:tcW w:type="dxa" w:w="13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~20%</w:t>
            </w:r>
          </w:p>
        </w:tc>
        <w:tc>
          <w:tcPr>
            <w:tcW w:type="dxa" w:w="18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-6.5pp below</w:t>
            </w:r>
          </w:p>
        </w:tc>
        <w:tc>
          <w:tcPr>
            <w:tcW w:type="dxa" w:w="40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More stable — household anchor effect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Has Partner: No</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~33%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+6.5pp ABOVE</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Solo customers — less inertia to stay</w:t>
            </w:r>
          </w:p>
        </w:tc>
      </w:tr>
      <w:tr>
        <w:tc>
          <w:tcPr>
            <w:tcW w:type="dxa" w:w="22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Has Dependents: Yes</w:t>
            </w:r>
          </w:p>
        </w:tc>
        <w:tc>
          <w:tcPr>
            <w:tcW w:type="dxa" w:w="13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~17%</w:t>
            </w:r>
          </w:p>
        </w:tc>
        <w:tc>
          <w:tcPr>
            <w:tcW w:type="dxa" w:w="18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-9.5pp below</w:t>
            </w:r>
          </w:p>
        </w:tc>
        <w:tc>
          <w:tcPr>
            <w:tcW w:type="dxa" w:w="40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Families are most stable segment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Has Dependents: No</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~31%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+4.5pp ABOVE</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Higher risk — less household lock-in</w:t>
            </w:r>
          </w:p>
        </w:tc>
      </w:tr>
      <w:tr>
        <w:tc>
          <w:tcPr>
            <w:tcW w:type="dxa" w:w="22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Senior + No Partner + No Deps</w:t>
            </w:r>
          </w:p>
        </w:tc>
        <w:tc>
          <w:tcPr>
            <w:tcW w:type="dxa" w:w="13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HIGHEST</w:t>
            </w:r>
          </w:p>
        </w:tc>
        <w:tc>
          <w:tcPr>
            <w:tcW w:type="dxa" w:w="18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Far above baseline</w:t>
            </w:r>
          </w:p>
        </w:tc>
        <w:tc>
          <w:tcPr>
            <w:tcW w:type="dxa" w:w="40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Single most at-risk demographic cohort</w:t>
            </w:r>
          </w:p>
        </w:tc>
      </w:tr>
    </w:tbl>
    <w:p>
      <w:pPr>
        <w:spacing w:after="80"/>
      </w:pPr>
      <w:r>
        <w:t xml:space="preserve"/>
      </w:r>
    </w:p>
    <w:p>
      <w:pPr>
        <w:pStyle w:val="Heading2"/>
        <w:spacing w:after="100" w:before="220"/>
      </w:pPr>
      <w:r>
        <w:rPr>
          <w:rFonts w:ascii="Arial" w:cs="Arial" w:eastAsia="Arial" w:hAnsi="Arial"/>
          <w:b/>
          <w:bCs/>
          <w:color w:val="2E4057"/>
          <w:sz w:val="26"/>
          <w:szCs w:val="26"/>
        </w:rPr>
        <w:t xml:space="preserve">3.4 Churn by Services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Service</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Without It</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With It</w:t>
            </w:r>
          </w:p>
        </w:tc>
        <w:tc>
          <w:tcPr>
            <w:tcW w:type="dxa" w:w="3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Verdict</w:t>
            </w:r>
          </w:p>
        </w:tc>
      </w:tr>
      <w:tr>
        <w:tc>
          <w:tcPr>
            <w:tcW w:type="dxa" w:w="22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No Internet Service</w:t>
            </w:r>
          </w:p>
        </w:tc>
        <w:tc>
          <w:tcPr>
            <w:tcW w:type="dxa" w:w="18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~7% churn</w:t>
            </w:r>
          </w:p>
        </w:tc>
        <w:tc>
          <w:tcPr>
            <w:tcW w:type="dxa" w:w="18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N/A</w:t>
            </w:r>
          </w:p>
        </w:tc>
        <w:tc>
          <w:tcPr>
            <w:tcW w:type="dxa" w:w="35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Most stable group in dataset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Fiber Optic</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~19% (DSL)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~42% (Fiber)</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CRITICAL — 2.2× higher than DSL</w:t>
            </w:r>
          </w:p>
        </w:tc>
      </w:tr>
      <w:tr>
        <w:tc>
          <w:tcPr>
            <w:tcW w:type="dxa" w:w="22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OnlineSecurity</w:t>
            </w:r>
          </w:p>
        </w:tc>
        <w:tc>
          <w:tcPr>
            <w:tcW w:type="dxa" w:w="18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~42% churn</w:t>
            </w:r>
          </w:p>
        </w:tc>
        <w:tc>
          <w:tcPr>
            <w:tcW w:type="dxa" w:w="18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~15% churn</w:t>
            </w:r>
          </w:p>
        </w:tc>
        <w:tc>
          <w:tcPr>
            <w:tcW w:type="dxa" w:w="35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Strong retention effect — 2.8× difference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TechSupport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~42% churn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~15% churn</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Strong retention effect — 2.8× difference</w:t>
            </w:r>
          </w:p>
        </w:tc>
      </w:tr>
      <w:tr>
        <w:tc>
          <w:tcPr>
            <w:tcW w:type="dxa" w:w="22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OnlineBackup</w:t>
            </w:r>
          </w:p>
        </w:tc>
        <w:tc>
          <w:tcPr>
            <w:tcW w:type="dxa" w:w="18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~40% churn</w:t>
            </w:r>
          </w:p>
        </w:tc>
        <w:tc>
          <w:tcPr>
            <w:tcW w:type="dxa" w:w="18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~22% churn</w:t>
            </w:r>
          </w:p>
        </w:tc>
        <w:tc>
          <w:tcPr>
            <w:tcW w:type="dxa" w:w="35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Meaningful retention effect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DeviceProtection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~39% churn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~23% churn</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Meaningful retention effect</w:t>
            </w:r>
          </w:p>
        </w:tc>
      </w:tr>
      <w:tr>
        <w:tc>
          <w:tcPr>
            <w:tcW w:type="dxa" w:w="22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StreamingTV</w:t>
            </w:r>
          </w:p>
        </w:tc>
        <w:tc>
          <w:tcPr>
            <w:tcW w:type="dxa" w:w="18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~30% churn</w:t>
            </w:r>
          </w:p>
        </w:tc>
        <w:tc>
          <w:tcPr>
            <w:tcW w:type="dxa" w:w="18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~30% churn</w:t>
            </w:r>
          </w:p>
        </w:tc>
        <w:tc>
          <w:tcPr>
            <w:tcW w:type="dxa" w:w="35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Near-zero impact — entertainment, not loyalty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StreamingMovies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~30% churn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~30% churn</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Near-zero impact — entertainment, not loyalty</w:t>
            </w:r>
          </w:p>
        </w:tc>
      </w:tr>
    </w:tbl>
    <w:p>
      <w:pPr>
        <w:spacing w:after="80"/>
      </w:pPr>
      <w:r>
        <w:t xml:space="preserve"/>
      </w:r>
    </w:p>
    <w:p>
      <w:pPr>
        <w:pStyle w:val="Heading2"/>
        <w:spacing w:after="100" w:before="220"/>
      </w:pPr>
      <w:r>
        <w:rPr>
          <w:rFonts w:ascii="Arial" w:cs="Arial" w:eastAsia="Arial" w:hAnsi="Arial"/>
          <w:b/>
          <w:bCs/>
          <w:color w:val="2E4057"/>
          <w:sz w:val="26"/>
          <w:szCs w:val="26"/>
        </w:rPr>
        <w:t xml:space="preserve">3.5 Churn by Contract &amp; Billing</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200"/>
        <w:gridCol w:w="2860"/>
      </w:tblGrid>
      <w:tr>
        <w:trPr>
          <w:tblHeader/>
        </w:trPr>
        <w:tc>
          <w:tcPr>
            <w:tcW w:type="dxa" w:w="25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Contract Type</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Churn Rate</w:t>
            </w:r>
          </w:p>
        </w:tc>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vs Global Avg</w:t>
            </w:r>
          </w:p>
        </w:tc>
        <w:tc>
          <w:tcPr>
            <w:tcW w:type="dxa" w:w="28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Multiple vs Two-Year</w:t>
            </w:r>
          </w:p>
        </w:tc>
      </w:tr>
      <w:tr>
        <w:tc>
          <w:tcPr>
            <w:tcW w:type="dxa" w:w="25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Month-to-Month</w:t>
            </w:r>
          </w:p>
        </w:tc>
        <w:tc>
          <w:tcPr>
            <w:tcW w:type="dxa" w:w="18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42.7%</w:t>
            </w:r>
          </w:p>
        </w:tc>
        <w:tc>
          <w:tcPr>
            <w:tcW w:type="dxa" w:w="22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+16.2pp above</w:t>
            </w:r>
          </w:p>
        </w:tc>
        <w:tc>
          <w:tcPr>
            <w:tcW w:type="dxa" w:w="28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15.3× higher</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One Year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11.3%</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-15.2pp below</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4× higher</w:t>
            </w:r>
          </w:p>
        </w:tc>
      </w:tr>
      <w:tr>
        <w:tc>
          <w:tcPr>
            <w:tcW w:type="dxa" w:w="25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Two Year</w:t>
            </w:r>
          </w:p>
        </w:tc>
        <w:tc>
          <w:tcPr>
            <w:tcW w:type="dxa" w:w="18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2.8%</w:t>
            </w:r>
          </w:p>
        </w:tc>
        <w:tc>
          <w:tcPr>
            <w:tcW w:type="dxa" w:w="22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-23.7pp below</w:t>
            </w:r>
          </w:p>
        </w:tc>
        <w:tc>
          <w:tcPr>
            <w:tcW w:type="dxa" w:w="28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Baseline (lowest)</w:t>
            </w:r>
          </w:p>
        </w:tc>
      </w:tr>
    </w:tbl>
    <w:p>
      <w:pPr>
        <w:spacing w:after="80"/>
      </w:pPr>
      <w:r>
        <w:t xml:space="preserve"/>
      </w:r>
    </w:p>
    <w:p>
      <w:pPr>
        <w:spacing w:after="80"/>
      </w:pPr>
      <w:r>
        <w:rPr>
          <w:rFonts w:ascii="Arial" w:cs="Arial" w:eastAsia="Arial" w:hAnsi="Arial"/>
          <w:i w:val="false"/>
          <w:iCs w:val="false"/>
          <w:color w:val="2C2C2C"/>
          <w:sz w:val="20"/>
          <w:szCs w:val="20"/>
        </w:rPr>
        <w:t xml:space="preserve">Contract type is the single strongest churn predictor in the entire dataset. A Month-to-Month customer is 15× more likely to churn than a Two-Year customer.</w:t>
      </w:r>
    </w:p>
    <w:p>
      <w:pPr>
        <w:spacing w:after="80"/>
      </w:pPr>
      <w:r>
        <w:t xml:space="preserve"/>
      </w:r>
    </w:p>
    <w:p>
      <w:pPr>
        <w:pStyle w:val="Heading2"/>
        <w:spacing w:after="100" w:before="220"/>
      </w:pPr>
      <w:r>
        <w:rPr>
          <w:rFonts w:ascii="Arial" w:cs="Arial" w:eastAsia="Arial" w:hAnsi="Arial"/>
          <w:b/>
          <w:bCs/>
          <w:color w:val="2E4057"/>
          <w:sz w:val="26"/>
          <w:szCs w:val="26"/>
        </w:rPr>
        <w:t xml:space="preserve">3.6 Churn by Tenure Cohort</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400"/>
        <w:gridCol w:w="33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Tenure Cohort</w:t>
            </w:r>
          </w:p>
        </w:tc>
        <w:tc>
          <w:tcPr>
            <w:tcW w:type="dxa" w:w="1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Churn Rate</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Above/Below Baseline</w:t>
            </w:r>
          </w:p>
        </w:tc>
        <w:tc>
          <w:tcPr>
            <w:tcW w:type="dxa" w:w="33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Business Priority</w:t>
            </w:r>
          </w:p>
        </w:tc>
      </w:tr>
      <w:tr>
        <w:tc>
          <w:tcPr>
            <w:tcW w:type="dxa" w:w="20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0–3 Months</w:t>
            </w:r>
          </w:p>
        </w:tc>
        <w:tc>
          <w:tcPr>
            <w:tcW w:type="dxa" w:w="16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&gt;50%</w:t>
            </w:r>
          </w:p>
        </w:tc>
        <w:tc>
          <w:tcPr>
            <w:tcW w:type="dxa" w:w="24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Far above (+23.5pp)</w:t>
            </w:r>
          </w:p>
        </w:tc>
        <w:tc>
          <w:tcPr>
            <w:tcW w:type="dxa" w:w="33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 Emergency — more than 1 in 2 leave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3–6 Months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~47%</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Above (+20.5pp)</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 Critical — first quarter survivor risk</w:t>
            </w:r>
          </w:p>
        </w:tc>
      </w:tr>
      <w:tr>
        <w:tc>
          <w:tcPr>
            <w:tcW w:type="dxa" w:w="20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6–9 Months</w:t>
            </w:r>
          </w:p>
        </w:tc>
        <w:tc>
          <w:tcPr>
            <w:tcW w:type="dxa" w:w="16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~35%</w:t>
            </w:r>
          </w:p>
        </w:tc>
        <w:tc>
          <w:tcPr>
            <w:tcW w:type="dxa" w:w="24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Above (+8.5pp)</w:t>
            </w:r>
          </w:p>
        </w:tc>
        <w:tc>
          <w:tcPr>
            <w:tcW w:type="dxa" w:w="33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 High — still above average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9–12 Months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~28%</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Near baseline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 Medium — approaching stability</w:t>
            </w:r>
          </w:p>
        </w:tc>
      </w:tr>
      <w:tr>
        <w:tc>
          <w:tcPr>
            <w:tcW w:type="dxa" w:w="20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1–2 Years</w:t>
            </w:r>
          </w:p>
        </w:tc>
        <w:tc>
          <w:tcPr>
            <w:tcW w:type="dxa" w:w="16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~19%</w:t>
            </w:r>
          </w:p>
        </w:tc>
        <w:tc>
          <w:tcPr>
            <w:tcW w:type="dxa" w:w="24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Below (-7.5pp)</w:t>
            </w:r>
          </w:p>
        </w:tc>
        <w:tc>
          <w:tcPr>
            <w:tcW w:type="dxa" w:w="33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 Lower risk — loyalty building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2–4 Years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Well below (-16.5pp)</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 Low risk — committed customers</w:t>
            </w:r>
          </w:p>
        </w:tc>
      </w:tr>
      <w:tr>
        <w:tc>
          <w:tcPr>
            <w:tcW w:type="dxa" w:w="20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4–6 Years</w:t>
            </w:r>
          </w:p>
        </w:tc>
        <w:tc>
          <w:tcPr>
            <w:tcW w:type="dxa" w:w="16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~5%</w:t>
            </w:r>
          </w:p>
        </w:tc>
        <w:tc>
          <w:tcPr>
            <w:tcW w:type="dxa" w:w="24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Far below (-21.5pp)</w:t>
            </w:r>
          </w:p>
        </w:tc>
        <w:tc>
          <w:tcPr>
            <w:tcW w:type="dxa" w:w="33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 Minimal risk — long-term loyalists</w:t>
            </w:r>
          </w:p>
        </w:tc>
      </w:tr>
    </w:tbl>
    <w:p>
      <w:pPr>
        <w:spacing w:after="80"/>
      </w:pPr>
      <w:r>
        <w:t xml:space="preserve"/>
      </w:r>
    </w:p>
    <w:p>
      <w:pPr>
        <w:pStyle w:val="Heading2"/>
        <w:spacing w:after="100" w:before="220"/>
      </w:pPr>
      <w:r>
        <w:rPr>
          <w:rFonts w:ascii="Arial" w:cs="Arial" w:eastAsia="Arial" w:hAnsi="Arial"/>
          <w:b/>
          <w:bCs/>
          <w:color w:val="2E4057"/>
          <w:sz w:val="26"/>
          <w:szCs w:val="26"/>
        </w:rPr>
        <w:t xml:space="preserve">3.7 Descriptive Summary Charts</w:t>
      </w:r>
    </w:p>
    <w:p>
      <w:pPr>
        <w:spacing w:after="40"/>
      </w:pPr>
      <w:r>
        <w:t xml:space="preserve"/>
      </w:r>
    </w:p>
    <w:p>
      <w:pPr>
        <w:spacing w:after="80" w:before="180"/>
      </w:pPr>
      <w:r>
        <w:rPr>
          <w:rFonts w:ascii="Arial" w:cs="Arial" w:eastAsia="Arial" w:hAnsi="Arial"/>
          <w:b/>
          <w:bCs/>
          <w:color w:val="C0392B"/>
          <w:sz w:val="22"/>
          <w:szCs w:val="22"/>
        </w:rPr>
        <w:t xml:space="preserve">Churn Rate by Number of Add-ons</w:t>
      </w:r>
    </w:p>
    <w:p>
      <w:pPr>
        <w:spacing w:after="80"/>
      </w:pPr>
      <w:r>
        <w:rPr>
          <w:rFonts w:ascii="Arial" w:cs="Arial" w:eastAsia="Arial" w:hAnsi="Arial"/>
          <w:i w:val="false"/>
          <w:iCs w:val="false"/>
          <w:color w:val="2C2C2C"/>
          <w:sz w:val="20"/>
          <w:szCs w:val="20"/>
        </w:rPr>
        <w:t xml:space="preserve">The most actionable pattern in the entire dataset: every additional add-on a customer subscribes to reduces their churn rate. The trend is clean and consistent: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Add-ons Subscribed</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Churn Rate</w:t>
            </w:r>
          </w:p>
        </w:tc>
        <w:tc>
          <w:tcPr>
            <w:tcW w:type="dxa" w:w="48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vs Zero Add-ons</w:t>
            </w:r>
          </w:p>
        </w:tc>
      </w:tr>
      <w:tr>
        <w:tc>
          <w:tcPr>
            <w:tcW w:type="dxa" w:w="25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0 (Barebones)</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~50%+</w:t>
            </w:r>
          </w:p>
        </w:tc>
        <w:tc>
          <w:tcPr>
            <w:tcW w:type="dxa" w:w="48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Baseline (highest risk)</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1 Add-on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~38%</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-12pp improvement</w:t>
            </w:r>
          </w:p>
        </w:tc>
      </w:tr>
      <w:tr>
        <w:tc>
          <w:tcPr>
            <w:tcW w:type="dxa" w:w="25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2 Add-ons</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~28%</w:t>
            </w:r>
          </w:p>
        </w:tc>
        <w:tc>
          <w:tcPr>
            <w:tcW w:type="dxa" w:w="48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-22pp improvement</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3 Add-ons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~20%</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-30pp improvement</w:t>
            </w:r>
          </w:p>
        </w:tc>
      </w:tr>
      <w:tr>
        <w:tc>
          <w:tcPr>
            <w:tcW w:type="dxa" w:w="25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4–5 Add-ons</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~13%</w:t>
            </w:r>
          </w:p>
        </w:tc>
        <w:tc>
          <w:tcPr>
            <w:tcW w:type="dxa" w:w="48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-37pp improvement</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6 Add-ons (Full suite)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&lt;10%</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-40pp+ improvement</w:t>
            </w:r>
          </w:p>
        </w:tc>
      </w:tr>
    </w:tbl>
    <w:p>
      <w:pPr>
        <w:spacing w:after="60"/>
      </w:pPr>
      <w:r>
        <w:t xml:space="preserve"/>
      </w:r>
    </w:p>
    <w:p>
      <w:pPr>
        <w:spacing w:after="80"/>
      </w:pPr>
      <w:r>
        <w:rPr>
          <w:rFonts w:ascii="Arial" w:cs="Arial" w:eastAsia="Arial" w:hAnsi="Arial"/>
          <w:i/>
          <w:iCs/>
          <w:color w:val="555555"/>
          <w:sz w:val="18"/>
          <w:szCs w:val="18"/>
        </w:rPr>
        <w:t xml:space="preserve">Each add-on increases switching cost — a customer with 5 add-ons would need to research, re-purchase, and re-configure all five on a new provider. That friction is what keeps them subscribed.</w:t>
      </w:r>
    </w:p>
    <w:p>
      <w:pPr>
        <w:spacing w:after="80"/>
      </w:pPr>
      <w:r>
        <w:t xml:space="preserve"/>
      </w:r>
    </w:p>
    <w:p>
      <w:r>
        <w:br w:type="page"/>
      </w:r>
    </w:p>
    <w:p>
      <w:pPr>
        <w:pStyle w:val="Heading1"/>
        <w:spacing w:after="120" w:before="280"/>
      </w:pPr>
      <w:r>
        <w:rPr>
          <w:rFonts w:ascii="Arial" w:cs="Arial" w:eastAsia="Arial" w:hAnsi="Arial"/>
          <w:b/>
          <w:bCs/>
          <w:color w:val="1B2A4A"/>
          <w:sz w:val="34"/>
          <w:szCs w:val="34"/>
        </w:rPr>
        <w:t xml:space="preserve">4. Diagnostic Analysis — Why Is It Happening?</w:t>
      </w:r>
    </w:p>
    <w:p>
      <w:pPr>
        <w:pBdr>
          <w:bottom w:val="single" w:color="C0392B" w:sz="6" w:space="1"/>
        </w:pBdr>
        <w:spacing w:after="120" w:before="120"/>
      </w:pPr>
      <w:r>
        <w:t xml:space="preserve"/>
      </w:r>
    </w:p>
    <w:p>
      <w:pPr>
        <w:spacing w:after="80"/>
      </w:pPr>
      <w:r>
        <w:rPr>
          <w:rFonts w:ascii="Arial" w:cs="Arial" w:eastAsia="Arial" w:hAnsi="Arial"/>
          <w:i/>
          <w:iCs/>
          <w:color w:val="555555"/>
          <w:sz w:val="20"/>
          <w:szCs w:val="20"/>
        </w:rPr>
        <w:t xml:space="preserve">Diagnostic analysis goes beyond describing patterns to testing causal explanations. For each major anomaly identified in Section 3, we form hypotheses and test them with data.</w:t>
      </w:r>
    </w:p>
    <w:p>
      <w:pPr>
        <w:spacing w:after="80"/>
      </w:pPr>
      <w:r>
        <w:t xml:space="preserve"/>
      </w:r>
    </w:p>
    <w:p>
      <w:pPr>
        <w:pStyle w:val="Heading2"/>
        <w:spacing w:after="100" w:before="220"/>
      </w:pPr>
      <w:r>
        <w:rPr>
          <w:rFonts w:ascii="Arial" w:cs="Arial" w:eastAsia="Arial" w:hAnsi="Arial"/>
          <w:b/>
          <w:bCs/>
          <w:color w:val="2E4057"/>
          <w:sz w:val="26"/>
          <w:szCs w:val="26"/>
        </w:rPr>
        <w:t xml:space="preserve">Diagnostic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Anomaly Found</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Hypothesis Tested</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Conclusion</w:t>
            </w:r>
          </w:p>
        </w:tc>
      </w:tr>
      <w:tr>
        <w:tc>
          <w:tcPr>
            <w:tcW w:type="dxa" w:w="24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Month-to-Month churns at 42.7%</w:t>
            </w:r>
          </w:p>
        </w:tc>
        <w:tc>
          <w:tcPr>
            <w:tcW w:type="dxa" w:w="32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Is price the cause, or just lack of commitment?</w:t>
            </w:r>
          </w:p>
        </w:tc>
        <w:tc>
          <w:tcPr>
            <w:tcW w:type="dxa" w:w="37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Both — M2M customers pay more AND have no lock-in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Fiber Optic churns at 42% vs DSL 19%</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Is it price, fewer add-ons, or both?</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Both confirmed — price gap + add-on gap = value perception failure</w:t>
            </w:r>
          </w:p>
        </w:tc>
      </w:tr>
      <w:tr>
        <w:tc>
          <w:tcPr>
            <w:tcW w:type="dxa" w:w="24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Electronic Check churns at 45%</w:t>
            </w:r>
          </w:p>
        </w:tc>
        <w:tc>
          <w:tcPr>
            <w:tcW w:type="dxa" w:w="32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Is payment method the cause?</w:t>
            </w:r>
          </w:p>
        </w:tc>
        <w:tc>
          <w:tcPr>
            <w:tcW w:type="dxa" w:w="37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No — it's a proxy for M2M contract concentration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Seniors churn at 41%</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Is age the cause or internet service?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Both — seniors over-index on Fiber Optic, compounding their risk</w:t>
            </w:r>
          </w:p>
        </w:tc>
      </w:tr>
      <w:tr>
        <w:tc>
          <w:tcPr>
            <w:tcW w:type="dxa" w:w="24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Barebones users churn most</w:t>
            </w:r>
          </w:p>
        </w:tc>
        <w:tc>
          <w:tcPr>
            <w:tcW w:type="dxa" w:w="32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Does add-on count independently predict churn?</w:t>
            </w:r>
          </w:p>
        </w:tc>
        <w:tc>
          <w:tcPr>
            <w:tcW w:type="dxa" w:w="37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Yes — clean downward trend confirmed across all internet types</w:t>
            </w:r>
          </w:p>
        </w:tc>
      </w:tr>
    </w:tbl>
    <w:p>
      <w:pPr>
        <w:spacing w:after="120"/>
      </w:pPr>
      <w:r>
        <w:t xml:space="preserve"/>
      </w:r>
    </w:p>
    <w:p>
      <w:pPr>
        <w:pStyle w:val="Heading2"/>
        <w:spacing w:after="100" w:before="220"/>
      </w:pPr>
      <w:r>
        <w:rPr>
          <w:rFonts w:ascii="Arial" w:cs="Arial" w:eastAsia="Arial" w:hAnsi="Arial"/>
          <w:b/>
          <w:bCs/>
          <w:color w:val="2E4057"/>
          <w:sz w:val="26"/>
          <w:szCs w:val="26"/>
        </w:rPr>
        <w:t xml:space="preserve">D1 — High-Risk Customer Profile Matrix</w:t>
      </w:r>
    </w:p>
    <w:p>
      <w:pPr>
        <w:spacing w:after="80" w:before="180"/>
      </w:pPr>
      <w:r>
        <w:rPr>
          <w:rFonts w:ascii="Arial" w:cs="Arial" w:eastAsia="Arial" w:hAnsi="Arial"/>
          <w:b/>
          <w:bCs/>
          <w:color w:val="C0392B"/>
          <w:sz w:val="22"/>
          <w:szCs w:val="22"/>
        </w:rPr>
        <w:t xml:space="preserve">Hypothesis: Is there a specific Contract + Internet + Tenure combination that concentrates risk?</w:t>
      </w:r>
    </w:p>
    <w:p>
      <w:pPr>
        <w:spacing w:after="80"/>
      </w:pPr>
      <w:r>
        <w:rPr>
          <w:rFonts w:ascii="Arial" w:cs="Arial" w:eastAsia="Arial" w:hAnsi="Arial"/>
          <w:i w:val="false"/>
          <w:iCs w:val="false"/>
          <w:color w:val="2C2C2C"/>
          <w:sz w:val="20"/>
          <w:szCs w:val="20"/>
        </w:rPr>
        <w:t xml:space="preserve">Using a pivot table combining Contract Type, Internet Service, and Tenure Cohort simultaneously, we can identify the exact danger zone:</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3160"/>
      </w:tblGrid>
      <w:tr>
        <w:trPr>
          <w:tblHeader/>
        </w:trPr>
        <w:tc>
          <w:tcPr>
            <w:tcW w:type="dxa" w:w="4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Profile</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Churn Rate</w:t>
            </w:r>
          </w:p>
        </w:tc>
        <w:tc>
          <w:tcPr>
            <w:tcW w:type="dxa" w:w="3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Risk Level</w:t>
            </w:r>
          </w:p>
        </w:tc>
      </w:tr>
      <w:tr>
        <w:tc>
          <w:tcPr>
            <w:tcW w:type="dxa" w:w="42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Month-to-Month + Fiber Optic + 0–3 months</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~75%+</w:t>
            </w:r>
          </w:p>
        </w:tc>
        <w:tc>
          <w:tcPr>
            <w:tcW w:type="dxa" w:w="31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 Extreme — 3 in 4 customers leave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Month-to-Month + Fiber Optic + 3–6 months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~65%+</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 Critical</w:t>
            </w:r>
          </w:p>
        </w:tc>
      </w:tr>
      <w:tr>
        <w:tc>
          <w:tcPr>
            <w:tcW w:type="dxa" w:w="42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Month-to-Month + DSL + 0–6 months</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~45–55%</w:t>
            </w:r>
          </w:p>
        </w:tc>
        <w:tc>
          <w:tcPr>
            <w:tcW w:type="dxa" w:w="31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 High</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One Year + Fiber Optic + 0–6 months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~20–25%</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 Elevated</w:t>
            </w:r>
          </w:p>
        </w:tc>
      </w:tr>
      <w:tr>
        <w:tc>
          <w:tcPr>
            <w:tcW w:type="dxa" w:w="42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Two Year + Any Internet + Any Tenure</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&lt;5%</w:t>
            </w:r>
          </w:p>
        </w:tc>
        <w:tc>
          <w:tcPr>
            <w:tcW w:type="dxa" w:w="31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 Minimal — contract commitment overrides all risk factors</w:t>
            </w:r>
          </w:p>
        </w:tc>
      </w:tr>
    </w:tbl>
    <w:p>
      <w:pPr>
        <w:spacing w:after="60"/>
      </w:pPr>
      <w:r>
        <w:t xml:space="preserve"/>
      </w:r>
    </w:p>
    <w:p>
      <w:pPr>
        <w:spacing w:after="80"/>
      </w:pPr>
      <w:r>
        <w:rPr>
          <w:rFonts w:ascii="Arial" w:cs="Arial" w:eastAsia="Arial" w:hAnsi="Arial"/>
          <w:i/>
          <w:iCs/>
          <w:color w:val="555555"/>
          <w:sz w:val="18"/>
          <w:szCs w:val="18"/>
        </w:rPr>
        <w:t xml:space="preserve">Finding: Contract commitment is the overriding protective factor. A Two-Year Fiber Optic customer barely churns even in their first 3 months. The contract upgrade is the single most powerful retention lever.</w:t>
      </w:r>
    </w:p>
    <w:p>
      <w:pPr>
        <w:spacing w:after="80"/>
      </w:pPr>
      <w:r>
        <w:t xml:space="preserve"/>
      </w:r>
    </w:p>
    <w:p>
      <w:pPr>
        <w:pStyle w:val="Heading2"/>
        <w:spacing w:after="100" w:before="220"/>
      </w:pPr>
      <w:r>
        <w:rPr>
          <w:rFonts w:ascii="Arial" w:cs="Arial" w:eastAsia="Arial" w:hAnsi="Arial"/>
          <w:b/>
          <w:bCs/>
          <w:color w:val="2E4057"/>
          <w:sz w:val="26"/>
          <w:szCs w:val="26"/>
        </w:rPr>
        <w:t xml:space="preserve">D2 — Price Sensitivity Analysis</w:t>
      </w:r>
    </w:p>
    <w:p>
      <w:pPr>
        <w:spacing w:after="80" w:before="180"/>
      </w:pPr>
      <w:r>
        <w:rPr>
          <w:rFonts w:ascii="Arial" w:cs="Arial" w:eastAsia="Arial" w:hAnsi="Arial"/>
          <w:b/>
          <w:bCs/>
          <w:color w:val="C0392B"/>
          <w:sz w:val="22"/>
          <w:szCs w:val="22"/>
        </w:rPr>
        <w:t xml:space="preserve">Hypothesis: Do Month-to-Month churners pay more than retained M2M customers?</w:t>
      </w:r>
    </w:p>
    <w:p>
      <w:pPr>
        <w:spacing w:after="80"/>
      </w:pPr>
      <w:r>
        <w:rPr>
          <w:rFonts w:ascii="Arial" w:cs="Arial" w:eastAsia="Arial" w:hAnsi="Arial"/>
          <w:i w:val="false"/>
          <w:iCs w:val="false"/>
          <w:color w:val="2C2C2C"/>
          <w:sz w:val="20"/>
          <w:szCs w:val="20"/>
        </w:rPr>
        <w:t xml:space="preserve">Comparing MonthlyCharges distributions between churned and retained customers within each contract type:</w:t>
      </w:r>
    </w:p>
    <w:p>
      <w:pPr>
        <w:pStyle w:val="ListParagraph"/>
        <w:numPr>
          <w:ilvl w:val="0"/>
          <w:numId w:val="2"/>
        </w:numPr>
        <w:spacing w:after="60"/>
      </w:pPr>
      <w:r>
        <w:rPr>
          <w:rFonts w:ascii="Arial" w:cs="Arial" w:eastAsia="Arial" w:hAnsi="Arial"/>
          <w:b/>
          <w:bCs/>
          <w:color w:val="1B2A4A"/>
          <w:sz w:val="20"/>
          <w:szCs w:val="20"/>
        </w:rPr>
        <w:t xml:space="preserve">Month-to-Month: </w:t>
      </w:r>
      <w:r>
        <w:rPr>
          <w:rFonts w:ascii="Arial" w:cs="Arial" w:eastAsia="Arial" w:hAnsi="Arial"/>
          <w:color w:val="2C2C2C"/>
          <w:sz w:val="20"/>
          <w:szCs w:val="20"/>
        </w:rPr>
        <w:t xml:space="preserve">Churned customers pay ~£74/month vs ~£65 for retained — a £9 gap. Statistically confirmed (Welch's T-Test, p &lt; 0.05).</w:t>
      </w:r>
    </w:p>
    <w:p>
      <w:pPr>
        <w:pStyle w:val="ListParagraph"/>
        <w:numPr>
          <w:ilvl w:val="0"/>
          <w:numId w:val="2"/>
        </w:numPr>
        <w:spacing w:after="60"/>
      </w:pPr>
      <w:r>
        <w:rPr>
          <w:rFonts w:ascii="Arial" w:cs="Arial" w:eastAsia="Arial" w:hAnsi="Arial"/>
          <w:b/>
          <w:bCs/>
          <w:color w:val="1B2A4A"/>
          <w:sz w:val="20"/>
          <w:szCs w:val="20"/>
        </w:rPr>
        <w:t xml:space="preserve">One Year: </w:t>
      </w:r>
      <w:r>
        <w:rPr>
          <w:rFonts w:ascii="Arial" w:cs="Arial" w:eastAsia="Arial" w:hAnsi="Arial"/>
          <w:color w:val="2C2C2C"/>
          <w:sz w:val="20"/>
          <w:szCs w:val="20"/>
        </w:rPr>
        <w:t xml:space="preserve">The price gap nearly disappears — when customers are committed, they are less price-sensitive.</w:t>
      </w:r>
    </w:p>
    <w:p>
      <w:pPr>
        <w:pStyle w:val="ListParagraph"/>
        <w:numPr>
          <w:ilvl w:val="0"/>
          <w:numId w:val="2"/>
        </w:numPr>
        <w:spacing w:after="60"/>
      </w:pPr>
      <w:r>
        <w:rPr>
          <w:rFonts w:ascii="Arial" w:cs="Arial" w:eastAsia="Arial" w:hAnsi="Arial"/>
          <w:b/>
          <w:bCs/>
          <w:color w:val="1B2A4A"/>
          <w:sz w:val="20"/>
          <w:szCs w:val="20"/>
        </w:rPr>
        <w:t xml:space="preserve">Two Year: </w:t>
      </w:r>
      <w:r>
        <w:rPr>
          <w:rFonts w:ascii="Arial" w:cs="Arial" w:eastAsia="Arial" w:hAnsi="Arial"/>
          <w:color w:val="2C2C2C"/>
          <w:sz w:val="20"/>
          <w:szCs w:val="20"/>
        </w:rPr>
        <w:t xml:space="preserve">No meaningful price gap — commitment completely moderates price sensitivity.</w:t>
      </w:r>
    </w:p>
    <w:p>
      <w:pPr>
        <w:spacing w:after="40"/>
      </w:pPr>
      <w:r>
        <w:t xml:space="preserve"/>
      </w:r>
    </w:p>
    <w:p>
      <w:pPr>
        <w:spacing w:after="80"/>
      </w:pPr>
      <w:r>
        <w:rPr>
          <w:rFonts w:ascii="Arial" w:cs="Arial" w:eastAsia="Arial" w:hAnsi="Arial"/>
          <w:i/>
          <w:iCs/>
          <w:color w:val="555555"/>
          <w:sz w:val="18"/>
          <w:szCs w:val="18"/>
        </w:rPr>
        <w:t xml:space="preserve">Conclusion: Price drives churn specifically when combined with no commitment. Discounting alone (without contract conversion) would reduce revenue without solving the underlying problem.</w:t>
      </w:r>
    </w:p>
    <w:p>
      <w:pPr>
        <w:spacing w:after="80"/>
      </w:pPr>
      <w:r>
        <w:t xml:space="preserve"/>
      </w:r>
    </w:p>
    <w:p>
      <w:pPr>
        <w:pStyle w:val="Heading2"/>
        <w:spacing w:after="100" w:before="220"/>
      </w:pPr>
      <w:r>
        <w:rPr>
          <w:rFonts w:ascii="Arial" w:cs="Arial" w:eastAsia="Arial" w:hAnsi="Arial"/>
          <w:b/>
          <w:bCs/>
          <w:color w:val="2E4057"/>
          <w:sz w:val="26"/>
          <w:szCs w:val="26"/>
        </w:rPr>
        <w:t xml:space="preserve">D3 — The Fiber Optic Problem: Root Cause Diagnosed</w:t>
      </w:r>
    </w:p>
    <w:p>
      <w:pPr>
        <w:spacing w:after="80" w:before="180"/>
      </w:pPr>
      <w:r>
        <w:rPr>
          <w:rFonts w:ascii="Arial" w:cs="Arial" w:eastAsia="Arial" w:hAnsi="Arial"/>
          <w:b/>
          <w:bCs/>
          <w:color w:val="C0392B"/>
          <w:sz w:val="22"/>
          <w:szCs w:val="22"/>
        </w:rPr>
        <w:t xml:space="preserve">Hypothesis: Does Fiber Optic churn because of price, add-ons, or both?</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Metric</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DSL</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Fiber Optic</w:t>
            </w:r>
          </w:p>
        </w:tc>
        <w:tc>
          <w:tcPr>
            <w:tcW w:type="dxa" w:w="2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Gap</w:t>
            </w:r>
          </w:p>
        </w:tc>
      </w:tr>
      <w:tr>
        <w:tc>
          <w:tcPr>
            <w:tcW w:type="dxa" w:w="30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Avg Monthly Charges</w:t>
            </w:r>
          </w:p>
        </w:tc>
        <w:tc>
          <w:tcPr>
            <w:tcW w:type="dxa" w:w="18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~£46</w:t>
            </w:r>
          </w:p>
        </w:tc>
        <w:tc>
          <w:tcPr>
            <w:tcW w:type="dxa" w:w="18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~£86</w:t>
            </w:r>
          </w:p>
        </w:tc>
        <w:tc>
          <w:tcPr>
            <w:tcW w:type="dxa" w:w="27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Fiber costs £40/month more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Avg Add-ons Subscribed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~2.5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~2.1</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Fiber customers have fewer add-ons despite paying more</w:t>
            </w:r>
          </w:p>
        </w:tc>
      </w:tr>
      <w:tr>
        <w:tc>
          <w:tcPr>
            <w:tcW w:type="dxa" w:w="30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Churn Rate</w:t>
            </w:r>
          </w:p>
        </w:tc>
        <w:tc>
          <w:tcPr>
            <w:tcW w:type="dxa" w:w="18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19%</w:t>
            </w:r>
          </w:p>
        </w:tc>
        <w:tc>
          <w:tcPr>
            <w:tcW w:type="dxa" w:w="18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42%</w:t>
            </w:r>
          </w:p>
        </w:tc>
        <w:tc>
          <w:tcPr>
            <w:tcW w:type="dxa" w:w="27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Fiber churns at 2.2× the rate of DSL</w:t>
            </w:r>
          </w:p>
        </w:tc>
      </w:tr>
    </w:tbl>
    <w:p>
      <w:pPr>
        <w:spacing w:after="60"/>
      </w:pPr>
      <w:r>
        <w:t xml:space="preserve"/>
      </w:r>
    </w:p>
    <w:p>
      <w:pPr>
        <w:spacing w:after="80"/>
      </w:pPr>
      <w:r>
        <w:rPr>
          <w:rFonts w:ascii="Arial" w:cs="Arial" w:eastAsia="Arial" w:hAnsi="Arial"/>
          <w:i w:val="false"/>
          <w:iCs w:val="false"/>
          <w:color w:val="2C2C2C"/>
          <w:sz w:val="18"/>
          <w:szCs w:val="18"/>
        </w:rPr>
        <w:t xml:space="preserve">Root Cause: Fiber Optic customers are paying a significant premium for a bare internet connection — higher price, fewer protective services, lower perceived value. This is a product packaging failure. DSL customers pay less but subscribe to more add-ons, creating higher perceived value and lower switching motivation.</w:t>
      </w:r>
    </w:p>
    <w:p>
      <w:pPr>
        <w:spacing w:after="40"/>
      </w:pPr>
      <w:r>
        <w:t xml:space="preserve"/>
      </w:r>
    </w:p>
    <w:p>
      <w:pPr>
        <w:spacing w:after="80"/>
      </w:pPr>
      <w:r>
        <w:rPr>
          <w:rFonts w:ascii="Arial" w:cs="Arial" w:eastAsia="Arial" w:hAnsi="Arial"/>
          <w:i/>
          <w:iCs/>
          <w:color w:val="555555"/>
          <w:sz w:val="18"/>
          <w:szCs w:val="18"/>
        </w:rPr>
        <w:t xml:space="preserve">The fix is not a price reduction — it is bundling. Including OnlineSecurity or TechSupport with Fiber Optic at signup (even as a free trial) closes the value perception gap without discounting revenue.</w:t>
      </w:r>
    </w:p>
    <w:p>
      <w:pPr>
        <w:spacing w:after="80"/>
      </w:pPr>
      <w:r>
        <w:t xml:space="preserve"/>
      </w:r>
    </w:p>
    <w:p>
      <w:pPr>
        <w:pStyle w:val="Heading2"/>
        <w:spacing w:after="100" w:before="220"/>
      </w:pPr>
      <w:r>
        <w:rPr>
          <w:rFonts w:ascii="Arial" w:cs="Arial" w:eastAsia="Arial" w:hAnsi="Arial"/>
          <w:b/>
          <w:bCs/>
          <w:color w:val="2E4057"/>
          <w:sz w:val="26"/>
          <w:szCs w:val="26"/>
        </w:rPr>
        <w:t xml:space="preserve">D4 — The No Add-on Problem</w:t>
      </w:r>
    </w:p>
    <w:p>
      <w:pPr>
        <w:spacing w:after="80" w:before="180"/>
      </w:pPr>
      <w:r>
        <w:rPr>
          <w:rFonts w:ascii="Arial" w:cs="Arial" w:eastAsia="Arial" w:hAnsi="Arial"/>
          <w:b/>
          <w:bCs/>
          <w:color w:val="C0392B"/>
          <w:sz w:val="22"/>
          <w:szCs w:val="22"/>
        </w:rPr>
        <w:t xml:space="preserve">Hypothesis: Are churned customers disproportionately those with zero add-ons?</w:t>
      </w:r>
    </w:p>
    <w:p>
      <w:pPr>
        <w:pStyle w:val="ListParagraph"/>
        <w:numPr>
          <w:ilvl w:val="0"/>
          <w:numId w:val="2"/>
        </w:numPr>
        <w:spacing w:after="60"/>
      </w:pPr>
      <w:r>
        <w:rPr>
          <w:rFonts w:ascii="Arial" w:cs="Arial" w:eastAsia="Arial" w:hAnsi="Arial"/>
          <w:b/>
          <w:bCs/>
          <w:color w:val="1B2A4A"/>
          <w:sz w:val="20"/>
          <w:szCs w:val="20"/>
        </w:rPr>
        <w:t xml:space="preserve">Among internet customers who churned: </w:t>
      </w:r>
      <w:r>
        <w:rPr>
          <w:rFonts w:ascii="Arial" w:cs="Arial" w:eastAsia="Arial" w:hAnsi="Arial"/>
          <w:color w:val="2C2C2C"/>
          <w:sz w:val="20"/>
          <w:szCs w:val="20"/>
        </w:rPr>
        <w:t xml:space="preserve">the majority had zero add-ons at time of leaving.</w:t>
      </w:r>
    </w:p>
    <w:p>
      <w:pPr>
        <w:pStyle w:val="ListParagraph"/>
        <w:numPr>
          <w:ilvl w:val="0"/>
          <w:numId w:val="2"/>
        </w:numPr>
        <w:spacing w:after="60"/>
      </w:pPr>
      <w:r>
        <w:rPr>
          <w:rFonts w:ascii="Arial" w:cs="Arial" w:eastAsia="Arial" w:hAnsi="Arial"/>
          <w:b/>
          <w:bCs/>
          <w:color w:val="1B2A4A"/>
          <w:sz w:val="20"/>
          <w:szCs w:val="20"/>
        </w:rPr>
        <w:t xml:space="preserve">Churn rate at 0 add-ons: </w:t>
      </w:r>
      <w:r>
        <w:rPr>
          <w:rFonts w:ascii="Arial" w:cs="Arial" w:eastAsia="Arial" w:hAnsi="Arial"/>
          <w:color w:val="2C2C2C"/>
          <w:sz w:val="20"/>
          <w:szCs w:val="20"/>
        </w:rPr>
        <w:t xml:space="preserve">~50%+ vs ~25% for customers with at least one add-on.</w:t>
      </w:r>
    </w:p>
    <w:p>
      <w:pPr>
        <w:pStyle w:val="ListParagraph"/>
        <w:numPr>
          <w:ilvl w:val="0"/>
          <w:numId w:val="2"/>
        </w:numPr>
        <w:spacing w:after="60"/>
      </w:pPr>
      <w:r>
        <w:rPr>
          <w:rFonts w:ascii="Arial" w:cs="Arial" w:eastAsia="Arial" w:hAnsi="Arial"/>
          <w:b/>
          <w:bCs/>
          <w:color w:val="1B2A4A"/>
          <w:sz w:val="20"/>
          <w:szCs w:val="20"/>
        </w:rPr>
        <w:t xml:space="preserve">Interpretation: </w:t>
      </w:r>
      <w:r>
        <w:rPr>
          <w:rFonts w:ascii="Arial" w:cs="Arial" w:eastAsia="Arial" w:hAnsi="Arial"/>
          <w:color w:val="2C2C2C"/>
          <w:sz w:val="20"/>
          <w:szCs w:val="20"/>
        </w:rPr>
        <w:t xml:space="preserve">A customer with zero add-ons has no perceived investment in the product ecosystem. Leaving costs them nothing. One add-on changes that calculus.</w:t>
      </w:r>
    </w:p>
    <w:p>
      <w:pPr>
        <w:spacing w:after="40"/>
      </w:pPr>
      <w:r>
        <w:t xml:space="preserve"/>
      </w:r>
    </w:p>
    <w:p>
      <w:pPr>
        <w:spacing w:after="80"/>
      </w:pPr>
      <w:r>
        <w:rPr>
          <w:rFonts w:ascii="Arial" w:cs="Arial" w:eastAsia="Arial" w:hAnsi="Arial"/>
          <w:i/>
          <w:iCs/>
          <w:color w:val="555555"/>
          <w:sz w:val="18"/>
          <w:szCs w:val="18"/>
        </w:rPr>
        <w:t xml:space="preserve">Implication: Getting a new customer to subscribe to even one add-on at signup is both a revenue action and a retention action simultaneously.</w:t>
      </w:r>
    </w:p>
    <w:p>
      <w:pPr>
        <w:spacing w:after="80"/>
      </w:pPr>
      <w:r>
        <w:t xml:space="preserve"/>
      </w:r>
    </w:p>
    <w:p>
      <w:pPr>
        <w:pStyle w:val="Heading2"/>
        <w:spacing w:after="100" w:before="220"/>
      </w:pPr>
      <w:r>
        <w:rPr>
          <w:rFonts w:ascii="Arial" w:cs="Arial" w:eastAsia="Arial" w:hAnsi="Arial"/>
          <w:b/>
          <w:bCs/>
          <w:color w:val="2E4057"/>
          <w:sz w:val="26"/>
          <w:szCs w:val="26"/>
        </w:rPr>
        <w:t xml:space="preserve">D5 — Electronic Check: Confounding Variable Exposed</w:t>
      </w:r>
    </w:p>
    <w:p>
      <w:pPr>
        <w:spacing w:after="80" w:before="180"/>
      </w:pPr>
      <w:r>
        <w:rPr>
          <w:rFonts w:ascii="Arial" w:cs="Arial" w:eastAsia="Arial" w:hAnsi="Arial"/>
          <w:b/>
          <w:bCs/>
          <w:color w:val="C0392B"/>
          <w:sz w:val="22"/>
          <w:szCs w:val="22"/>
        </w:rPr>
        <w:t xml:space="preserve">Hypothesis: Does payment method independently cause churn, or is it a proxy for contract type?</w:t>
      </w:r>
    </w:p>
    <w:p>
      <w:pPr>
        <w:spacing w:after="80"/>
      </w:pPr>
      <w:r>
        <w:rPr>
          <w:rFonts w:ascii="Arial" w:cs="Arial" w:eastAsia="Arial" w:hAnsi="Arial"/>
          <w:i w:val="false"/>
          <w:iCs w:val="false"/>
          <w:color w:val="2C2C2C"/>
          <w:sz w:val="20"/>
          <w:szCs w:val="20"/>
        </w:rPr>
        <w:t xml:space="preserve">Comparing two charts side by side:</w:t>
      </w:r>
    </w:p>
    <w:p>
      <w:pPr>
        <w:pStyle w:val="ListParagraph"/>
        <w:numPr>
          <w:ilvl w:val="0"/>
          <w:numId w:val="2"/>
        </w:numPr>
        <w:spacing w:after="60"/>
      </w:pPr>
      <w:r>
        <w:rPr>
          <w:rFonts w:ascii="Arial" w:cs="Arial" w:eastAsia="Arial" w:hAnsi="Arial"/>
          <w:b/>
          <w:bCs/>
          <w:color w:val="1B2A4A"/>
          <w:sz w:val="20"/>
          <w:szCs w:val="20"/>
        </w:rPr>
        <w:t xml:space="preserve">Chart 1: </w:t>
      </w:r>
      <w:r>
        <w:rPr>
          <w:rFonts w:ascii="Arial" w:cs="Arial" w:eastAsia="Arial" w:hAnsi="Arial"/>
          <w:color w:val="2C2C2C"/>
          <w:sz w:val="20"/>
          <w:szCs w:val="20"/>
        </w:rPr>
        <w:t xml:space="preserve">Churn rate by payment method — Electronic Check is highest at ~45%.</w:t>
      </w:r>
    </w:p>
    <w:p>
      <w:pPr>
        <w:pStyle w:val="ListParagraph"/>
        <w:numPr>
          <w:ilvl w:val="0"/>
          <w:numId w:val="2"/>
        </w:numPr>
        <w:spacing w:after="60"/>
      </w:pPr>
      <w:r>
        <w:rPr>
          <w:rFonts w:ascii="Arial" w:cs="Arial" w:eastAsia="Arial" w:hAnsi="Arial"/>
          <w:b/>
          <w:bCs/>
          <w:color w:val="1B2A4A"/>
          <w:sz w:val="20"/>
          <w:szCs w:val="20"/>
        </w:rPr>
        <w:t xml:space="preserve">Chart 2: </w:t>
      </w:r>
      <w:r>
        <w:rPr>
          <w:rFonts w:ascii="Arial" w:cs="Arial" w:eastAsia="Arial" w:hAnsi="Arial"/>
          <w:color w:val="2C2C2C"/>
          <w:sz w:val="20"/>
          <w:szCs w:val="20"/>
        </w:rPr>
        <w:t xml:space="preserve">% on Month-to-Month contract by payment method — Electronic Check users are disproportionately on M2M contracts.</w:t>
      </w:r>
    </w:p>
    <w:p>
      <w:pPr>
        <w:pStyle w:val="ListParagraph"/>
        <w:numPr>
          <w:ilvl w:val="0"/>
          <w:numId w:val="2"/>
        </w:numPr>
        <w:spacing w:after="60"/>
      </w:pPr>
      <w:r>
        <w:rPr>
          <w:rFonts w:ascii="Arial" w:cs="Arial" w:eastAsia="Arial" w:hAnsi="Arial"/>
          <w:b/>
          <w:bCs/>
          <w:color w:val="1B2A4A"/>
          <w:sz w:val="20"/>
          <w:szCs w:val="20"/>
        </w:rPr>
        <w:t xml:space="preserve">Finding: </w:t>
      </w:r>
      <w:r>
        <w:rPr>
          <w:rFonts w:ascii="Arial" w:cs="Arial" w:eastAsia="Arial" w:hAnsi="Arial"/>
          <w:color w:val="2C2C2C"/>
          <w:sz w:val="20"/>
          <w:szCs w:val="20"/>
        </w:rPr>
        <w:t xml:space="preserve">The rank order of payment methods is nearly identical in both charts.</w:t>
      </w:r>
    </w:p>
    <w:p>
      <w:pPr>
        <w:spacing w:after="40"/>
      </w:pPr>
      <w:r>
        <w:t xml:space="preserve"/>
      </w:r>
    </w:p>
    <w:p>
      <w:pPr>
        <w:spacing w:after="80"/>
      </w:pPr>
      <w:r>
        <w:rPr>
          <w:rFonts w:ascii="Arial" w:cs="Arial" w:eastAsia="Arial" w:hAnsi="Arial"/>
          <w:i/>
          <w:iCs/>
          <w:color w:val="555555"/>
          <w:sz w:val="18"/>
          <w:szCs w:val="18"/>
        </w:rPr>
        <w:t xml:space="preserve">Conclusion: Electronic Check is a proxy for Month-to-Month contract type. It carries no independent churn signal. Budget directed at payment method nudges would be entirely wasted — convert the contract, the payment method takes care of itself.</w:t>
      </w:r>
    </w:p>
    <w:p>
      <w:pPr>
        <w:spacing w:after="80"/>
      </w:pPr>
      <w:r>
        <w:t xml:space="preserve"/>
      </w:r>
    </w:p>
    <w:p>
      <w:r>
        <w:br w:type="page"/>
      </w:r>
    </w:p>
    <w:p>
      <w:pPr>
        <w:pStyle w:val="Heading1"/>
        <w:spacing w:after="120" w:before="280"/>
      </w:pPr>
      <w:r>
        <w:rPr>
          <w:rFonts w:ascii="Arial" w:cs="Arial" w:eastAsia="Arial" w:hAnsi="Arial"/>
          <w:b/>
          <w:bCs/>
          <w:color w:val="1B2A4A"/>
          <w:sz w:val="34"/>
          <w:szCs w:val="34"/>
        </w:rPr>
        <w:t xml:space="preserve">5. High-Risk Customer Profile</w:t>
      </w:r>
    </w:p>
    <w:p>
      <w:pPr>
        <w:pBdr>
          <w:bottom w:val="single" w:color="C0392B" w:sz="6" w:space="1"/>
        </w:pBdr>
        <w:spacing w:after="120" w:before="12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8"/>
              <w:left w:val="single" w:color="C0392B" w:sz="8"/>
              <w:bottom w:val="single" w:color="C0392B" w:sz="8"/>
              <w:right w:val="single" w:color="C0392B" w:sz="8"/>
            </w:tcBorders>
            <w:shd w:fill="FEF9F9" w:val="clear"/>
            <w:tcMar>
              <w:top w:type="dxa" w:w="200"/>
              <w:left w:type="dxa" w:w="300"/>
              <w:bottom w:type="dxa" w:w="200"/>
              <w:right w:type="dxa" w:w="300"/>
            </w:tcMar>
          </w:tcPr>
          <w:p>
            <w:pPr>
              <w:spacing w:after="80"/>
              <w:jc w:val="center"/>
            </w:pPr>
            <w:r>
              <w:rPr>
                <w:rFonts w:ascii="Arial" w:cs="Arial" w:eastAsia="Arial" w:hAnsi="Arial"/>
                <w:b/>
                <w:bCs/>
                <w:color w:val="C0392B"/>
                <w:sz w:val="22"/>
                <w:szCs w:val="22"/>
              </w:rPr>
              <w:t xml:space="preserve">THE HIGHEST-RISK CUSTOMER PROFILE</w:t>
            </w:r>
          </w:p>
          <w:p>
            <w:pPr>
              <w:jc w:val="center"/>
            </w:pPr>
            <w:r>
              <w:rPr>
                <w:rFonts w:ascii="Arial" w:cs="Arial" w:eastAsia="Arial" w:hAnsi="Arial"/>
                <w:b/>
                <w:bCs/>
                <w:color w:val="1B2A4A"/>
                <w:sz w:val="22"/>
                <w:szCs w:val="22"/>
              </w:rPr>
              <w:t xml:space="preserve">Month-to-Month contract  +  Fiber Optic internet  +  0 add-ons  +  Tenure under 6 months  +  Monthly charges above average</w:t>
            </w:r>
          </w:p>
          <w:p>
            <w:pPr>
              <w:spacing w:after="60"/>
            </w:pPr>
            <w:r>
              <w:t xml:space="preserve"/>
            </w:r>
          </w:p>
          <w:p>
            <w:pPr>
              <w:jc w:val="center"/>
            </w:pPr>
            <w:r>
              <w:rPr>
                <w:rFonts w:ascii="Arial" w:cs="Arial" w:eastAsia="Arial" w:hAnsi="Arial"/>
                <w:i/>
                <w:iCs/>
                <w:color w:val="555555"/>
                <w:sz w:val="18"/>
                <w:szCs w:val="18"/>
              </w:rPr>
              <w:t xml:space="preserve">Estimated churn probability: 70–80%  |  Estimated monthly spend: £75–£95</w:t>
            </w:r>
          </w:p>
        </w:tc>
      </w:tr>
    </w:tbl>
    <w:p>
      <w:pPr>
        <w:spacing w:after="120"/>
      </w:pPr>
      <w:r>
        <w:t xml:space="preserve"/>
      </w:r>
    </w:p>
    <w:p>
      <w:pPr>
        <w:spacing w:after="80"/>
      </w:pPr>
      <w:r>
        <w:rPr>
          <w:rFonts w:ascii="Arial" w:cs="Arial" w:eastAsia="Arial" w:hAnsi="Arial"/>
          <w:i w:val="false"/>
          <w:iCs w:val="false"/>
          <w:color w:val="2C2C2C"/>
          <w:sz w:val="20"/>
          <w:szCs w:val="20"/>
        </w:rPr>
        <w:t xml:space="preserve">This customer exists right now in the database. They are paying a premium for Fiber Optic with no protective services, on a contract they can cancel any time, and they haven't yet had time to build inertia with the brand. Without a proactive intervention, they will almost certainly leave within 3 months.</w:t>
      </w:r>
    </w:p>
    <w:p>
      <w:pPr>
        <w:spacing w:after="80"/>
      </w:pPr>
      <w:r>
        <w:t xml:space="preserve"/>
      </w:r>
    </w:p>
    <w:p>
      <w:r>
        <w:br w:type="page"/>
      </w:r>
    </w:p>
    <w:p>
      <w:pPr>
        <w:pStyle w:val="Heading1"/>
        <w:spacing w:after="120" w:before="280"/>
      </w:pPr>
      <w:r>
        <w:rPr>
          <w:rFonts w:ascii="Arial" w:cs="Arial" w:eastAsia="Arial" w:hAnsi="Arial"/>
          <w:b/>
          <w:bCs/>
          <w:color w:val="1B2A4A"/>
          <w:sz w:val="34"/>
          <w:szCs w:val="34"/>
        </w:rPr>
        <w:t xml:space="preserve">6. Business Recommendations</w:t>
      </w:r>
    </w:p>
    <w:p>
      <w:pPr>
        <w:pBdr>
          <w:bottom w:val="single" w:color="C0392B" w:sz="6" w:space="1"/>
        </w:pBdr>
        <w:spacing w:after="120" w:before="120"/>
      </w:pPr>
      <w:r>
        <w:t xml:space="preserve"/>
      </w:r>
    </w:p>
    <w:p>
      <w:pPr>
        <w:spacing w:after="80"/>
      </w:pPr>
      <w:r>
        <w:rPr>
          <w:rFonts w:ascii="Arial" w:cs="Arial" w:eastAsia="Arial" w:hAnsi="Arial"/>
          <w:i/>
          <w:iCs/>
          <w:color w:val="555555"/>
          <w:sz w:val="20"/>
          <w:szCs w:val="20"/>
        </w:rPr>
        <w:t xml:space="preserve">All recommendations are directly derived from the diagnostic findings and ordered by expected business impact.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C0392B"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01</w:t>
            </w:r>
          </w:p>
        </w:tc>
        <w:tc>
          <w:tcPr>
            <w:tcW w:type="dxa" w:w="8760"/>
            <w:tcBorders>
              <w:top w:val="none" w:color="FFFFFF" w:sz="0"/>
              <w:left w:val="none" w:color="FFFFFF" w:sz="0"/>
              <w:bottom w:val="none" w:color="FFFFFF" w:sz="0"/>
              <w:right w:val="none" w:color="FFFFFF" w:sz="0"/>
            </w:tcBorders>
            <w:shd w:fill="EBF5FB" w:val="clear"/>
            <w:tcMar>
              <w:top w:type="dxa" w:w="120"/>
              <w:left w:type="dxa" w:w="200"/>
              <w:bottom w:type="dxa" w:w="120"/>
              <w:right w:type="dxa" w:w="120"/>
            </w:tcMar>
          </w:tcPr>
          <w:p>
            <w:r>
              <w:rPr>
                <w:rFonts w:ascii="Arial" w:cs="Arial" w:eastAsia="Arial" w:hAnsi="Arial"/>
                <w:b/>
                <w:bCs/>
                <w:color w:val="1B2A4A"/>
                <w:sz w:val="20"/>
                <w:szCs w:val="20"/>
              </w:rPr>
              <w:t xml:space="preserve">Convert Month-to-Month Customers to Annual Contracts — The Highest Priority Action</w:t>
            </w:r>
          </w:p>
          <w:p>
            <w:pPr>
              <w:spacing w:before="40"/>
            </w:pPr>
            <w:r>
              <w:rPr>
                <w:rFonts w:ascii="Arial" w:cs="Arial" w:eastAsia="Arial" w:hAnsi="Arial"/>
                <w:color w:val="2C2C2C"/>
                <w:sz w:val="18"/>
                <w:szCs w:val="18"/>
              </w:rPr>
              <w:t xml:space="preserve">Month-to-Month customers churn at 42.7% vs 11.3% (One Year) and 2.8% (Two Year). A 10% conversion of M2M customers to One Year contracts would save approximately 75+ customers per cohort.</w:t>
            </w:r>
          </w:p>
          <w:p>
            <w:pPr>
              <w:spacing w:before="60"/>
            </w:pPr>
            <w:r>
              <w:rPr>
                <w:rFonts w:ascii="Arial" w:cs="Arial" w:eastAsia="Arial" w:hAnsi="Arial"/>
                <w:b/>
                <w:bCs/>
                <w:color w:val="C0392B"/>
                <w:sz w:val="18"/>
                <w:szCs w:val="18"/>
              </w:rPr>
              <w:t xml:space="preserve">Action: </w:t>
            </w:r>
            <w:r>
              <w:rPr>
                <w:rFonts w:ascii="Arial" w:cs="Arial" w:eastAsia="Arial" w:hAnsi="Arial"/>
                <w:color w:val="2C2C2C"/>
                <w:sz w:val="18"/>
                <w:szCs w:val="18"/>
              </w:rPr>
              <w:t xml:space="preserve">Offer 1 month free or 10–15% monthly discount to any M2M customer who upgrades at the 3-month mark. Automate this trigger in CRM. Expected impact: reduce overall churn rate by 3–5 percentage points.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C0392B"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02</w:t>
            </w:r>
          </w:p>
        </w:tc>
        <w:tc>
          <w:tcPr>
            <w:tcW w:type="dxa" w:w="8760"/>
            <w:tcBorders>
              <w:top w:val="none" w:color="FFFFFF" w:sz="0"/>
              <w:left w:val="none" w:color="FFFFFF" w:sz="0"/>
              <w:bottom w:val="none" w:color="FFFFFF" w:sz="0"/>
              <w:right w:val="none" w:color="FFFFFF" w:sz="0"/>
            </w:tcBorders>
            <w:shd w:fill="EBF5FB" w:val="clear"/>
            <w:tcMar>
              <w:top w:type="dxa" w:w="120"/>
              <w:left w:type="dxa" w:w="200"/>
              <w:bottom w:type="dxa" w:w="120"/>
              <w:right w:type="dxa" w:w="120"/>
            </w:tcMar>
          </w:tcPr>
          <w:p>
            <w:r>
              <w:rPr>
                <w:rFonts w:ascii="Arial" w:cs="Arial" w:eastAsia="Arial" w:hAnsi="Arial"/>
                <w:b/>
                <w:bCs/>
                <w:color w:val="1B2A4A"/>
                <w:sz w:val="20"/>
                <w:szCs w:val="20"/>
              </w:rPr>
              <w:t xml:space="preserve">Launch a Structured 6-Month Onboarding Programme for New Customers</w:t>
            </w:r>
          </w:p>
          <w:p>
            <w:pPr>
              <w:spacing w:before="40"/>
            </w:pPr>
            <w:r>
              <w:rPr>
                <w:rFonts w:ascii="Arial" w:cs="Arial" w:eastAsia="Arial" w:hAnsi="Arial"/>
                <w:color w:val="2C2C2C"/>
                <w:sz w:val="18"/>
                <w:szCs w:val="18"/>
              </w:rPr>
              <w:t xml:space="preserve">The 0–3 month cohort churns at &gt;50% — more than 1 in 2 new customers leave before establishing any loyalty. There is currently no intervention during this critical window.</w:t>
            </w:r>
          </w:p>
          <w:p>
            <w:pPr>
              <w:spacing w:before="60"/>
            </w:pPr>
            <w:r>
              <w:rPr>
                <w:rFonts w:ascii="Arial" w:cs="Arial" w:eastAsia="Arial" w:hAnsi="Arial"/>
                <w:b/>
                <w:bCs/>
                <w:color w:val="C0392B"/>
                <w:sz w:val="18"/>
                <w:szCs w:val="18"/>
              </w:rPr>
              <w:t xml:space="preserve">Action: </w:t>
            </w:r>
            <w:r>
              <w:rPr>
                <w:rFonts w:ascii="Arial" w:cs="Arial" w:eastAsia="Arial" w:hAnsi="Arial"/>
                <w:color w:val="2C2C2C"/>
                <w:sz w:val="18"/>
                <w:szCs w:val="18"/>
              </w:rPr>
              <w:t xml:space="preserve">Implement: Week 1 welcome call, Month 1 usage review, Month 3 add-on trial offer, Month 6 contract upgrade push. This sequence alone could reduce early-tenure churn significantly.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C0392B"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03</w:t>
            </w:r>
          </w:p>
        </w:tc>
        <w:tc>
          <w:tcPr>
            <w:tcW w:type="dxa" w:w="8760"/>
            <w:tcBorders>
              <w:top w:val="none" w:color="FFFFFF" w:sz="0"/>
              <w:left w:val="none" w:color="FFFFFF" w:sz="0"/>
              <w:bottom w:val="none" w:color="FFFFFF" w:sz="0"/>
              <w:right w:val="none" w:color="FFFFFF" w:sz="0"/>
            </w:tcBorders>
            <w:shd w:fill="EBF5FB" w:val="clear"/>
            <w:tcMar>
              <w:top w:type="dxa" w:w="120"/>
              <w:left w:type="dxa" w:w="200"/>
              <w:bottom w:type="dxa" w:w="120"/>
              <w:right w:type="dxa" w:w="120"/>
            </w:tcMar>
          </w:tcPr>
          <w:p>
            <w:r>
              <w:rPr>
                <w:rFonts w:ascii="Arial" w:cs="Arial" w:eastAsia="Arial" w:hAnsi="Arial"/>
                <w:b/>
                <w:bCs/>
                <w:color w:val="1B2A4A"/>
                <w:sz w:val="20"/>
                <w:szCs w:val="20"/>
              </w:rPr>
              <w:t xml:space="preserve">Bundle OnlineSecurity or TechSupport with Every Fiber Optic Plan at Signup</w:t>
            </w:r>
          </w:p>
          <w:p>
            <w:pPr>
              <w:spacing w:before="40"/>
            </w:pPr>
            <w:r>
              <w:rPr>
                <w:rFonts w:ascii="Arial" w:cs="Arial" w:eastAsia="Arial" w:hAnsi="Arial"/>
                <w:color w:val="2C2C2C"/>
                <w:sz w:val="18"/>
                <w:szCs w:val="18"/>
              </w:rPr>
              <w:t xml:space="preserve">Fiber Optic customers pay £40/month more than DSL but have fewer add-ons — creating a perceived value gap that drives the 42% churn rate. This is a packaging problem, not a price problem.</w:t>
            </w:r>
          </w:p>
          <w:p>
            <w:pPr>
              <w:spacing w:before="60"/>
            </w:pPr>
            <w:r>
              <w:rPr>
                <w:rFonts w:ascii="Arial" w:cs="Arial" w:eastAsia="Arial" w:hAnsi="Arial"/>
                <w:b/>
                <w:bCs/>
                <w:color w:val="C0392B"/>
                <w:sz w:val="18"/>
                <w:szCs w:val="18"/>
              </w:rPr>
              <w:t xml:space="preserve">Action: </w:t>
            </w:r>
            <w:r>
              <w:rPr>
                <w:rFonts w:ascii="Arial" w:cs="Arial" w:eastAsia="Arial" w:hAnsi="Arial"/>
                <w:color w:val="2C2C2C"/>
                <w:sz w:val="18"/>
                <w:szCs w:val="18"/>
              </w:rPr>
              <w:t xml:space="preserve">Include 3 months free OnlineSecurity with every Fiber Optic signup. Conversion to paid after trial is expected to be high (customers who use a service rarely cancel it). No discount on core plan needed.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C0392B"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04</w:t>
            </w:r>
          </w:p>
        </w:tc>
        <w:tc>
          <w:tcPr>
            <w:tcW w:type="dxa" w:w="8760"/>
            <w:tcBorders>
              <w:top w:val="none" w:color="FFFFFF" w:sz="0"/>
              <w:left w:val="none" w:color="FFFFFF" w:sz="0"/>
              <w:bottom w:val="none" w:color="FFFFFF" w:sz="0"/>
              <w:right w:val="none" w:color="FFFFFF" w:sz="0"/>
            </w:tcBorders>
            <w:shd w:fill="EBF5FB" w:val="clear"/>
            <w:tcMar>
              <w:top w:type="dxa" w:w="120"/>
              <w:left w:type="dxa" w:w="200"/>
              <w:bottom w:type="dxa" w:w="120"/>
              <w:right w:type="dxa" w:w="120"/>
            </w:tcMar>
          </w:tcPr>
          <w:p>
            <w:r>
              <w:rPr>
                <w:rFonts w:ascii="Arial" w:cs="Arial" w:eastAsia="Arial" w:hAnsi="Arial"/>
                <w:b/>
                <w:bCs/>
                <w:color w:val="1B2A4A"/>
                <w:sz w:val="20"/>
                <w:szCs w:val="20"/>
              </w:rPr>
              <w:t xml:space="preserve">Make First Add-on Adoption a Sales KPI at Signup</w:t>
            </w:r>
          </w:p>
          <w:p>
            <w:pPr>
              <w:spacing w:before="40"/>
            </w:pPr>
            <w:r>
              <w:rPr>
                <w:rFonts w:ascii="Arial" w:cs="Arial" w:eastAsia="Arial" w:hAnsi="Arial"/>
                <w:color w:val="2C2C2C"/>
                <w:sz w:val="18"/>
                <w:szCs w:val="18"/>
              </w:rPr>
              <w:t xml:space="preserve">Customers with 0 add-ons churn at ~2× the rate of those with 1+ add-on. Yet the majority of churned customers had zero add-ons at time of leaving — they were never sold a single one.</w:t>
            </w:r>
          </w:p>
          <w:p>
            <w:pPr>
              <w:spacing w:before="60"/>
            </w:pPr>
            <w:r>
              <w:rPr>
                <w:rFonts w:ascii="Arial" w:cs="Arial" w:eastAsia="Arial" w:hAnsi="Arial"/>
                <w:b/>
                <w:bCs/>
                <w:color w:val="C0392B"/>
                <w:sz w:val="18"/>
                <w:szCs w:val="18"/>
              </w:rPr>
              <w:t xml:space="preserve">Action: </w:t>
            </w:r>
            <w:r>
              <w:rPr>
                <w:rFonts w:ascii="Arial" w:cs="Arial" w:eastAsia="Arial" w:hAnsi="Arial"/>
                <w:color w:val="2C2C2C"/>
                <w:sz w:val="18"/>
                <w:szCs w:val="18"/>
              </w:rPr>
              <w:t xml:space="preserve">Train sales and onboarding teams to treat first add-on as a mandatory part of the signup journey. Offer OnlineSecurity free for 30 days. Track 'add-on at signup' as a leading retention KPI.</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C0392B"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05</w:t>
            </w:r>
          </w:p>
        </w:tc>
        <w:tc>
          <w:tcPr>
            <w:tcW w:type="dxa" w:w="8760"/>
            <w:tcBorders>
              <w:top w:val="none" w:color="FFFFFF" w:sz="0"/>
              <w:left w:val="none" w:color="FFFFFF" w:sz="0"/>
              <w:bottom w:val="none" w:color="FFFFFF" w:sz="0"/>
              <w:right w:val="none" w:color="FFFFFF" w:sz="0"/>
            </w:tcBorders>
            <w:shd w:fill="EBF5FB" w:val="clear"/>
            <w:tcMar>
              <w:top w:type="dxa" w:w="120"/>
              <w:left w:type="dxa" w:w="200"/>
              <w:bottom w:type="dxa" w:w="120"/>
              <w:right w:type="dxa" w:w="120"/>
            </w:tcMar>
          </w:tcPr>
          <w:p>
            <w:r>
              <w:rPr>
                <w:rFonts w:ascii="Arial" w:cs="Arial" w:eastAsia="Arial" w:hAnsi="Arial"/>
                <w:b/>
                <w:bCs/>
                <w:color w:val="1B2A4A"/>
                <w:sz w:val="20"/>
                <w:szCs w:val="20"/>
              </w:rPr>
              <w:t xml:space="preserve">Create a Senior Citizen Retention Plan</w:t>
            </w:r>
          </w:p>
          <w:p>
            <w:pPr>
              <w:spacing w:before="40"/>
            </w:pPr>
            <w:r>
              <w:rPr>
                <w:rFonts w:ascii="Arial" w:cs="Arial" w:eastAsia="Arial" w:hAnsi="Arial"/>
                <w:color w:val="2C2C2C"/>
                <w:sz w:val="18"/>
                <w:szCs w:val="18"/>
              </w:rPr>
              <w:t xml:space="preserve">Senior citizens churn at 41% — 14.5 percentage points above the average. They disproportionately use Fiber Optic (compounding risk) and are less likely to subscribe to protective add-ons.</w:t>
            </w:r>
          </w:p>
          <w:p>
            <w:pPr>
              <w:spacing w:before="60"/>
            </w:pPr>
            <w:r>
              <w:rPr>
                <w:rFonts w:ascii="Arial" w:cs="Arial" w:eastAsia="Arial" w:hAnsi="Arial"/>
                <w:b/>
                <w:bCs/>
                <w:color w:val="C0392B"/>
                <w:sz w:val="18"/>
                <w:szCs w:val="18"/>
              </w:rPr>
              <w:t xml:space="preserve">Action: </w:t>
            </w:r>
            <w:r>
              <w:rPr>
                <w:rFonts w:ascii="Arial" w:cs="Arial" w:eastAsia="Arial" w:hAnsi="Arial"/>
                <w:color w:val="2C2C2C"/>
                <w:sz w:val="18"/>
                <w:szCs w:val="18"/>
              </w:rPr>
              <w:t xml:space="preserve">Design a senior-specific bundle: Fiber Optic + TechSupport included, simplified billing, dedicated support line. Price it slightly above DSL but below standard Fiber — the built-in TechSupport justifies the premium.</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C0392B"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06</w:t>
            </w:r>
          </w:p>
        </w:tc>
        <w:tc>
          <w:tcPr>
            <w:tcW w:type="dxa" w:w="8760"/>
            <w:tcBorders>
              <w:top w:val="none" w:color="FFFFFF" w:sz="0"/>
              <w:left w:val="none" w:color="FFFFFF" w:sz="0"/>
              <w:bottom w:val="none" w:color="FFFFFF" w:sz="0"/>
              <w:right w:val="none" w:color="FFFFFF" w:sz="0"/>
            </w:tcBorders>
            <w:shd w:fill="EBF5FB" w:val="clear"/>
            <w:tcMar>
              <w:top w:type="dxa" w:w="120"/>
              <w:left w:type="dxa" w:w="200"/>
              <w:bottom w:type="dxa" w:w="120"/>
              <w:right w:type="dxa" w:w="120"/>
            </w:tcMar>
          </w:tcPr>
          <w:p>
            <w:r>
              <w:rPr>
                <w:rFonts w:ascii="Arial" w:cs="Arial" w:eastAsia="Arial" w:hAnsi="Arial"/>
                <w:b/>
                <w:bCs/>
                <w:color w:val="1B2A4A"/>
                <w:sz w:val="20"/>
                <w:szCs w:val="20"/>
              </w:rPr>
              <w:t xml:space="preserve">Redirect Electronic Check Retention Budget to Contract Conversion</w:t>
            </w:r>
          </w:p>
          <w:p>
            <w:pPr>
              <w:spacing w:before="40"/>
            </w:pPr>
            <w:r>
              <w:rPr>
                <w:rFonts w:ascii="Arial" w:cs="Arial" w:eastAsia="Arial" w:hAnsi="Arial"/>
                <w:color w:val="2C2C2C"/>
                <w:sz w:val="18"/>
                <w:szCs w:val="18"/>
              </w:rPr>
              <w:t xml:space="preserve">Electronic Check users churn at 45% — but this is driven by their disproportionate concentration on Month-to-Month contracts, not by payment method itself.</w:t>
            </w:r>
          </w:p>
          <w:p>
            <w:pPr>
              <w:spacing w:before="60"/>
            </w:pPr>
            <w:r>
              <w:rPr>
                <w:rFonts w:ascii="Arial" w:cs="Arial" w:eastAsia="Arial" w:hAnsi="Arial"/>
                <w:b/>
                <w:bCs/>
                <w:color w:val="C0392B"/>
                <w:sz w:val="18"/>
                <w:szCs w:val="18"/>
              </w:rPr>
              <w:t xml:space="preserve">Action: </w:t>
            </w:r>
            <w:r>
              <w:rPr>
                <w:rFonts w:ascii="Arial" w:cs="Arial" w:eastAsia="Arial" w:hAnsi="Arial"/>
                <w:color w:val="2C2C2C"/>
                <w:sz w:val="18"/>
                <w:szCs w:val="18"/>
              </w:rPr>
              <w:t xml:space="preserve">Do not create payment method nudge campaigns. Instead, identify Electronic Check + Month-to-Month customers and target them with Recommendation #1 (contract upgrade offer). This addresses the actual cause.</w:t>
            </w:r>
          </w:p>
        </w:tc>
      </w:tr>
    </w:tbl>
    <w:p>
      <w:pPr>
        <w:spacing w:after="80"/>
      </w:pPr>
      <w:r>
        <w:t xml:space="preserve"/>
      </w:r>
    </w:p>
    <w:p>
      <w:pPr>
        <w:spacing w:after="80"/>
      </w:pPr>
      <w:r>
        <w:t xml:space="preserve"/>
      </w:r>
    </w:p>
    <w:p>
      <w:r>
        <w:br w:type="page"/>
      </w:r>
    </w:p>
    <w:p>
      <w:pPr>
        <w:pStyle w:val="Heading1"/>
        <w:spacing w:after="120" w:before="280"/>
      </w:pPr>
      <w:r>
        <w:rPr>
          <w:rFonts w:ascii="Arial" w:cs="Arial" w:eastAsia="Arial" w:hAnsi="Arial"/>
          <w:b/>
          <w:bCs/>
          <w:color w:val="1B2A4A"/>
          <w:sz w:val="34"/>
          <w:szCs w:val="34"/>
        </w:rPr>
        <w:t xml:space="preserve">7. Expected Impact Summary</w:t>
      </w:r>
    </w:p>
    <w:p>
      <w:pPr>
        <w:pBdr>
          <w:bottom w:val="single" w:color="C0392B" w:sz="6" w:space="1"/>
        </w:pBdr>
        <w:spacing w:after="120" w:before="120"/>
      </w:pPr>
      <w:r>
        <w:t xml:space="preserve"/>
      </w:r>
    </w:p>
    <w:p>
      <w:pPr>
        <w:spacing w:after="8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1600"/>
        <w:gridCol w:w="156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Recommendation</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Target Segment</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Expected Churn Reduction</w:t>
            </w:r>
          </w:p>
        </w:tc>
        <w:tc>
          <w:tcPr>
            <w:tcW w:type="dxa" w:w="1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Implementation Effort</w:t>
            </w:r>
          </w:p>
        </w:tc>
        <w:tc>
          <w:tcPr>
            <w:tcW w:type="dxa" w:w="1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Priority</w:t>
            </w:r>
          </w:p>
        </w:tc>
      </w:tr>
      <w:tr>
        <w:tc>
          <w:tcPr>
            <w:tcW w:type="dxa" w:w="28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R1 — Contract Conversion Campaign</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All M2M customers</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-3 to -5pp overall churn</w:t>
            </w:r>
          </w:p>
        </w:tc>
        <w:tc>
          <w:tcPr>
            <w:tcW w:type="dxa" w:w="16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Low (CRM automation)</w:t>
            </w:r>
          </w:p>
        </w:tc>
        <w:tc>
          <w:tcPr>
            <w:tcW w:type="dxa" w:w="15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 Immediate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R2 — 6-Month Onboarding Programme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New customers (0–6 months)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-2 to -4pp overall churn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Medium (process design)</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 Immediate</w:t>
            </w:r>
          </w:p>
        </w:tc>
      </w:tr>
      <w:tr>
        <w:tc>
          <w:tcPr>
            <w:tcW w:type="dxa" w:w="28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R3 — Fiber Optic Bundle Redesign</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Fiber Optic subscribers</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-5 to -8pp Fiber churn</w:t>
            </w:r>
          </w:p>
        </w:tc>
        <w:tc>
          <w:tcPr>
            <w:tcW w:type="dxa" w:w="16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Medium (product change)</w:t>
            </w:r>
          </w:p>
        </w:tc>
        <w:tc>
          <w:tcPr>
            <w:tcW w:type="dxa" w:w="15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 High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R4 — Add-on Adoption at Signup</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All new internet customers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-3 to -5pp internet churn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Low (sales training)</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 High</w:t>
            </w:r>
          </w:p>
        </w:tc>
      </w:tr>
      <w:tr>
        <w:tc>
          <w:tcPr>
            <w:tcW w:type="dxa" w:w="28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R5 — Senior Retention Plan</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Senior citizen customers</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-8 to -12pp senior churn</w:t>
            </w:r>
          </w:p>
        </w:tc>
        <w:tc>
          <w:tcPr>
            <w:tcW w:type="dxa" w:w="16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Medium (new product)</w:t>
            </w:r>
          </w:p>
        </w:tc>
        <w:tc>
          <w:tcPr>
            <w:tcW w:type="dxa" w:w="15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 High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R6 — Redirect E-Check Budget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Electronic Check users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Budget reallocation only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Low (stop campaign)</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 Medium</w:t>
            </w:r>
          </w:p>
        </w:tc>
      </w:tr>
    </w:tbl>
    <w:p>
      <w:pPr>
        <w:spacing w:after="120"/>
      </w:pPr>
      <w:r>
        <w:t xml:space="preserve"/>
      </w:r>
    </w:p>
    <w:p>
      <w:pPr>
        <w:pStyle w:val="Heading2"/>
        <w:spacing w:after="100" w:before="220"/>
      </w:pPr>
      <w:r>
        <w:rPr>
          <w:rFonts w:ascii="Arial" w:cs="Arial" w:eastAsia="Arial" w:hAnsi="Arial"/>
          <w:b/>
          <w:bCs/>
          <w:color w:val="2E4057"/>
          <w:sz w:val="26"/>
          <w:szCs w:val="26"/>
        </w:rPr>
        <w:t xml:space="preserve">Projected Overall Churn Reduction</w:t>
      </w:r>
    </w:p>
    <w:p>
      <w:pPr>
        <w:spacing w:after="80"/>
      </w:pPr>
      <w:r>
        <w:rPr>
          <w:rFonts w:ascii="Arial" w:cs="Arial" w:eastAsia="Arial" w:hAnsi="Arial"/>
          <w:i w:val="false"/>
          <w:iCs w:val="false"/>
          <w:color w:val="2C2C2C"/>
          <w:sz w:val="20"/>
          <w:szCs w:val="20"/>
        </w:rPr>
        <w:t xml:space="preserve">If Recommendations 1–4 are implemented simultaneously within the next quarter, modelling suggests overall churn could be reduced from 26.5% to approximately 18–21% within 12 months. This would represent:</w:t>
      </w:r>
    </w:p>
    <w:p>
      <w:pPr>
        <w:pStyle w:val="ListParagraph"/>
        <w:numPr>
          <w:ilvl w:val="0"/>
          <w:numId w:val="2"/>
        </w:numPr>
        <w:spacing w:after="60"/>
      </w:pPr>
      <w:r>
        <w:rPr>
          <w:rFonts w:ascii="Arial" w:cs="Arial" w:eastAsia="Arial" w:hAnsi="Arial"/>
          <w:b w:val="false"/>
          <w:bCs w:val="false"/>
          <w:color w:val="1B2A4A"/>
          <w:sz w:val="20"/>
          <w:szCs w:val="20"/>
        </w:rPr>
        <w:t xml:space="preserve">Approximately 400–600 additional customers retained per cohort</w:t>
      </w:r>
      <w:r>
        <w:rPr>
          <w:rFonts w:ascii="Arial" w:cs="Arial" w:eastAsia="Arial" w:hAnsi="Arial"/>
          <w:color w:val="2C2C2C"/>
          <w:sz w:val="20"/>
          <w:szCs w:val="20"/>
        </w:rPr>
        <w:t xml:space="preserve"/>
      </w:r>
    </w:p>
    <w:p>
      <w:pPr>
        <w:pStyle w:val="ListParagraph"/>
        <w:numPr>
          <w:ilvl w:val="0"/>
          <w:numId w:val="2"/>
        </w:numPr>
        <w:spacing w:after="60"/>
      </w:pPr>
      <w:r>
        <w:rPr>
          <w:rFonts w:ascii="Arial" w:cs="Arial" w:eastAsia="Arial" w:hAnsi="Arial"/>
          <w:b w:val="false"/>
          <w:bCs w:val="false"/>
          <w:color w:val="1B2A4A"/>
          <w:sz w:val="20"/>
          <w:szCs w:val="20"/>
        </w:rPr>
        <w:t xml:space="preserve">Revenue impact: £800K–£1.2M+ at an estimated £2,000 average LTV per customer</w:t>
      </w:r>
      <w:r>
        <w:rPr>
          <w:rFonts w:ascii="Arial" w:cs="Arial" w:eastAsia="Arial" w:hAnsi="Arial"/>
          <w:color w:val="2C2C2C"/>
          <w:sz w:val="20"/>
          <w:szCs w:val="20"/>
        </w:rPr>
        <w:t xml:space="preserve"/>
      </w:r>
    </w:p>
    <w:p>
      <w:pPr>
        <w:pStyle w:val="ListParagraph"/>
        <w:numPr>
          <w:ilvl w:val="0"/>
          <w:numId w:val="2"/>
        </w:numPr>
        <w:spacing w:after="60"/>
      </w:pPr>
      <w:r>
        <w:rPr>
          <w:rFonts w:ascii="Arial" w:cs="Arial" w:eastAsia="Arial" w:hAnsi="Arial"/>
          <w:b w:val="false"/>
          <w:bCs w:val="false"/>
          <w:color w:val="1B2A4A"/>
          <w:sz w:val="20"/>
          <w:szCs w:val="20"/>
        </w:rPr>
        <w:t xml:space="preserve">ROI on retention spend: estimated 5–8× based on cost of acquisition vs cost of retention</w:t>
      </w:r>
      <w:r>
        <w:rPr>
          <w:rFonts w:ascii="Arial" w:cs="Arial" w:eastAsia="Arial" w:hAnsi="Arial"/>
          <w:color w:val="2C2C2C"/>
          <w:sz w:val="20"/>
          <w:szCs w:val="20"/>
        </w:rPr>
        <w:t xml:space="preserve"/>
      </w:r>
    </w:p>
    <w:p>
      <w:pPr>
        <w:spacing w:after="80"/>
      </w:pPr>
      <w:r>
        <w:t xml:space="preserve"/>
      </w:r>
    </w:p>
    <w:p>
      <w:r>
        <w:br w:type="page"/>
      </w:r>
    </w:p>
    <w:p>
      <w:pPr>
        <w:pStyle w:val="Heading1"/>
        <w:spacing w:after="120" w:before="280"/>
      </w:pPr>
      <w:r>
        <w:rPr>
          <w:rFonts w:ascii="Arial" w:cs="Arial" w:eastAsia="Arial" w:hAnsi="Arial"/>
          <w:b/>
          <w:bCs/>
          <w:color w:val="1B2A4A"/>
          <w:sz w:val="34"/>
          <w:szCs w:val="34"/>
        </w:rPr>
        <w:t xml:space="preserve">Appendix — Methodology Notes</w:t>
      </w:r>
    </w:p>
    <w:p>
      <w:pPr>
        <w:pBdr>
          <w:bottom w:val="single" w:color="C0392B" w:sz="6" w:space="1"/>
        </w:pBdr>
        <w:spacing w:after="120" w:before="120"/>
      </w:pPr>
      <w:r>
        <w:t xml:space="preserve"/>
      </w:r>
    </w:p>
    <w:p>
      <w:pPr>
        <w:spacing w:after="60"/>
      </w:pPr>
      <w:r>
        <w:t xml:space="preserve"/>
      </w:r>
    </w:p>
    <w:p>
      <w:pPr>
        <w:pStyle w:val="Heading2"/>
        <w:spacing w:after="100" w:before="220"/>
      </w:pPr>
      <w:r>
        <w:rPr>
          <w:rFonts w:ascii="Arial" w:cs="Arial" w:eastAsia="Arial" w:hAnsi="Arial"/>
          <w:b/>
          <w:bCs/>
          <w:color w:val="2E4057"/>
          <w:sz w:val="26"/>
          <w:szCs w:val="26"/>
        </w:rPr>
        <w:t xml:space="preserve">Tools &amp;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Tool</w:t>
            </w:r>
          </w:p>
        </w:tc>
        <w:tc>
          <w:tcPr>
            <w:tcW w:type="dxa" w:w="68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18"/>
                <w:szCs w:val="18"/>
              </w:rPr>
              <w:t xml:space="preserve">Purpose</w:t>
            </w:r>
          </w:p>
        </w:tc>
      </w:tr>
      <w:tr>
        <w:tc>
          <w:tcPr>
            <w:tcW w:type="dxa" w:w="25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Python 3.10</w:t>
            </w:r>
          </w:p>
        </w:tc>
        <w:tc>
          <w:tcPr>
            <w:tcW w:type="dxa" w:w="68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Core analysis language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Pandas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Data manipulation, cleaning, and aggregation</w:t>
            </w:r>
          </w:p>
        </w:tc>
      </w:tr>
      <w:tr>
        <w:tc>
          <w:tcPr>
            <w:tcW w:type="dxa" w:w="25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NumPy</w:t>
            </w:r>
          </w:p>
        </w:tc>
        <w:tc>
          <w:tcPr>
            <w:tcW w:type="dxa" w:w="68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Numerical operations and array handling</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Seaborn &amp; Matplotlib</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Data visualisation — all charts in the notebook</w:t>
            </w:r>
          </w:p>
        </w:tc>
      </w:tr>
      <w:tr>
        <w:tc>
          <w:tcPr>
            <w:tcW w:type="dxa" w:w="25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Scipy (stats module)</w:t>
            </w:r>
          </w:p>
        </w:tc>
        <w:tc>
          <w:tcPr>
            <w:tcW w:type="dxa" w:w="68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Welch's T-Test for statistical significance testing</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Microsoft Excel</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Pre-analysis data audit — blank string detection</w:t>
            </w:r>
          </w:p>
        </w:tc>
      </w:tr>
      <w:tr>
        <w:tc>
          <w:tcPr>
            <w:tcW w:type="dxa" w:w="25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Google Colab</w:t>
            </w:r>
          </w:p>
        </w:tc>
        <w:tc>
          <w:tcPr>
            <w:tcW w:type="dxa" w:w="686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color w:val="2C2C2C"/>
                <w:sz w:val="18"/>
                <w:szCs w:val="18"/>
              </w:rPr>
              <w:t xml:space="preserve">Development and execution environment</w:t>
            </w:r>
          </w:p>
        </w:tc>
      </w:tr>
    </w:tbl>
    <w:p>
      <w:pPr>
        <w:spacing w:after="80"/>
      </w:pPr>
      <w:r>
        <w:t xml:space="preserve"/>
      </w:r>
    </w:p>
    <w:p>
      <w:pPr>
        <w:pStyle w:val="Heading2"/>
        <w:spacing w:after="100" w:before="220"/>
      </w:pPr>
      <w:r>
        <w:rPr>
          <w:rFonts w:ascii="Arial" w:cs="Arial" w:eastAsia="Arial" w:hAnsi="Arial"/>
          <w:b/>
          <w:bCs/>
          <w:color w:val="2E4057"/>
          <w:sz w:val="26"/>
          <w:szCs w:val="26"/>
        </w:rPr>
        <w:t xml:space="preserve">Statistical Methods Used</w:t>
      </w:r>
    </w:p>
    <w:p>
      <w:pPr>
        <w:pStyle w:val="ListParagraph"/>
        <w:numPr>
          <w:ilvl w:val="0"/>
          <w:numId w:val="2"/>
        </w:numPr>
        <w:spacing w:after="60"/>
      </w:pPr>
      <w:r>
        <w:rPr>
          <w:rFonts w:ascii="Arial" w:cs="Arial" w:eastAsia="Arial" w:hAnsi="Arial"/>
          <w:b/>
          <w:bCs/>
          <w:color w:val="1B2A4A"/>
          <w:sz w:val="20"/>
          <w:szCs w:val="20"/>
        </w:rPr>
        <w:t xml:space="preserve">Welch's T-Test </w:t>
      </w:r>
      <w:r>
        <w:rPr>
          <w:rFonts w:ascii="Arial" w:cs="Arial" w:eastAsia="Arial" w:hAnsi="Arial"/>
          <w:color w:val="2C2C2C"/>
          <w:sz w:val="20"/>
          <w:szCs w:val="20"/>
        </w:rPr>
        <w:t xml:space="preserve">— used to test whether the difference in MonthlyCharges between churned and retained customers is statistically significant (p-value &lt; 0.05 confirms significance).</w:t>
      </w:r>
    </w:p>
    <w:p>
      <w:pPr>
        <w:pStyle w:val="ListParagraph"/>
        <w:numPr>
          <w:ilvl w:val="0"/>
          <w:numId w:val="2"/>
        </w:numPr>
        <w:spacing w:after="60"/>
      </w:pPr>
      <w:r>
        <w:rPr>
          <w:rFonts w:ascii="Arial" w:cs="Arial" w:eastAsia="Arial" w:hAnsi="Arial"/>
          <w:b/>
          <w:bCs/>
          <w:color w:val="1B2A4A"/>
          <w:sz w:val="20"/>
          <w:szCs w:val="20"/>
        </w:rPr>
        <w:t xml:space="preserve">Pivot Table Aggregation </w:t>
      </w:r>
      <w:r>
        <w:rPr>
          <w:rFonts w:ascii="Arial" w:cs="Arial" w:eastAsia="Arial" w:hAnsi="Arial"/>
          <w:color w:val="2C2C2C"/>
          <w:sz w:val="20"/>
          <w:szCs w:val="20"/>
        </w:rPr>
        <w:t xml:space="preserve">— used to calculate churn rates across multi-dimensional combinations (D1 matrix, persona matrix, 128-cohort matrix).</w:t>
      </w:r>
    </w:p>
    <w:p>
      <w:pPr>
        <w:pStyle w:val="ListParagraph"/>
        <w:numPr>
          <w:ilvl w:val="0"/>
          <w:numId w:val="2"/>
        </w:numPr>
        <w:spacing w:after="60"/>
      </w:pPr>
      <w:r>
        <w:rPr>
          <w:rFonts w:ascii="Arial" w:cs="Arial" w:eastAsia="Arial" w:hAnsi="Arial"/>
          <w:b/>
          <w:bCs/>
          <w:color w:val="1B2A4A"/>
          <w:sz w:val="20"/>
          <w:szCs w:val="20"/>
        </w:rPr>
        <w:t xml:space="preserve">Correlation Matrix </w:t>
      </w:r>
      <w:r>
        <w:rPr>
          <w:rFonts w:ascii="Arial" w:cs="Arial" w:eastAsia="Arial" w:hAnsi="Arial"/>
          <w:color w:val="2C2C2C"/>
          <w:sz w:val="20"/>
          <w:szCs w:val="20"/>
        </w:rPr>
        <w:t xml:space="preserve">— used to identify co-purchase patterns among add-on services.</w:t>
      </w:r>
    </w:p>
    <w:p>
      <w:pPr>
        <w:pStyle w:val="ListParagraph"/>
        <w:numPr>
          <w:ilvl w:val="0"/>
          <w:numId w:val="2"/>
        </w:numPr>
        <w:spacing w:after="60"/>
      </w:pPr>
      <w:r>
        <w:rPr>
          <w:rFonts w:ascii="Arial" w:cs="Arial" w:eastAsia="Arial" w:hAnsi="Arial"/>
          <w:b/>
          <w:bCs/>
          <w:color w:val="1B2A4A"/>
          <w:sz w:val="20"/>
          <w:szCs w:val="20"/>
        </w:rPr>
        <w:t xml:space="preserve">IQR Analysis </w:t>
      </w:r>
      <w:r>
        <w:rPr>
          <w:rFonts w:ascii="Arial" w:cs="Arial" w:eastAsia="Arial" w:hAnsi="Arial"/>
          <w:color w:val="2C2C2C"/>
          <w:sz w:val="20"/>
          <w:szCs w:val="20"/>
        </w:rPr>
        <w:t xml:space="preserve">— not applied in this dataset (used in the clustering project for outlier separation).</w:t>
      </w:r>
    </w:p>
    <w:p>
      <w:pPr>
        <w:spacing w:after="80"/>
      </w:pPr>
      <w:r>
        <w:t xml:space="preserve"/>
      </w:r>
    </w:p>
    <w:p>
      <w:pPr>
        <w:pStyle w:val="Heading2"/>
        <w:spacing w:after="100" w:before="220"/>
      </w:pPr>
      <w:r>
        <w:rPr>
          <w:rFonts w:ascii="Arial" w:cs="Arial" w:eastAsia="Arial" w:hAnsi="Arial"/>
          <w:b/>
          <w:bCs/>
          <w:color w:val="2E4057"/>
          <w:sz w:val="26"/>
          <w:szCs w:val="26"/>
        </w:rPr>
        <w:t xml:space="preserve">Original Features Engineered</w:t>
      </w:r>
    </w:p>
    <w:p>
      <w:pPr>
        <w:pStyle w:val="ListParagraph"/>
        <w:numPr>
          <w:ilvl w:val="0"/>
          <w:numId w:val="2"/>
        </w:numPr>
        <w:spacing w:after="60"/>
      </w:pPr>
      <w:r>
        <w:rPr>
          <w:rFonts w:ascii="Arial" w:cs="Arial" w:eastAsia="Arial" w:hAnsi="Arial"/>
          <w:b/>
          <w:bCs/>
          <w:color w:val="1B2A4A"/>
          <w:sz w:val="20"/>
          <w:szCs w:val="20"/>
        </w:rPr>
        <w:t xml:space="preserve">Phone_Setup </w:t>
      </w:r>
      <w:r>
        <w:rPr>
          <w:rFonts w:ascii="Arial" w:cs="Arial" w:eastAsia="Arial" w:hAnsi="Arial"/>
          <w:color w:val="2C2C2C"/>
          <w:sz w:val="20"/>
          <w:szCs w:val="20"/>
        </w:rPr>
        <w:t xml:space="preserve">— consolidates PhoneService + MultipleLines into a single 3-category variable: No Phone / Single Line / Multiple Lines.</w:t>
      </w:r>
    </w:p>
    <w:p>
      <w:pPr>
        <w:pStyle w:val="ListParagraph"/>
        <w:numPr>
          <w:ilvl w:val="0"/>
          <w:numId w:val="2"/>
        </w:numPr>
        <w:spacing w:after="60"/>
      </w:pPr>
      <w:r>
        <w:rPr>
          <w:rFonts w:ascii="Arial" w:cs="Arial" w:eastAsia="Arial" w:hAnsi="Arial"/>
          <w:b/>
          <w:bCs/>
          <w:color w:val="1B2A4A"/>
          <w:sz w:val="20"/>
          <w:szCs w:val="20"/>
        </w:rPr>
        <w:t xml:space="preserve">Internet_Persona </w:t>
      </w:r>
      <w:r>
        <w:rPr>
          <w:rFonts w:ascii="Arial" w:cs="Arial" w:eastAsia="Arial" w:hAnsi="Arial"/>
          <w:color w:val="2C2C2C"/>
          <w:sz w:val="20"/>
          <w:szCs w:val="20"/>
        </w:rPr>
        <w:t xml:space="preserve">— classifies each internet subscriber into one of 4 personas based on add-on combination: Barebones / Entertainment Only / Utility/Security Only / Power User.</w:t>
      </w:r>
    </w:p>
    <w:p>
      <w:pPr>
        <w:pStyle w:val="ListParagraph"/>
        <w:numPr>
          <w:ilvl w:val="0"/>
          <w:numId w:val="2"/>
        </w:numPr>
        <w:spacing w:after="60"/>
      </w:pPr>
      <w:r>
        <w:rPr>
          <w:rFonts w:ascii="Arial" w:cs="Arial" w:eastAsia="Arial" w:hAnsi="Arial"/>
          <w:b/>
          <w:bCs/>
          <w:color w:val="1B2A4A"/>
          <w:sz w:val="20"/>
          <w:szCs w:val="20"/>
        </w:rPr>
        <w:t xml:space="preserve">Tenure_Cohort </w:t>
      </w:r>
      <w:r>
        <w:rPr>
          <w:rFonts w:ascii="Arial" w:cs="Arial" w:eastAsia="Arial" w:hAnsi="Arial"/>
          <w:color w:val="2C2C2C"/>
          <w:sz w:val="20"/>
          <w:szCs w:val="20"/>
        </w:rPr>
        <w:t xml:space="preserve">— bins continuous tenure into 7 meaningful business cohorts (0–3 months through 4–6 years).</w:t>
      </w:r>
    </w:p>
    <w:p>
      <w:pPr>
        <w:pStyle w:val="ListParagraph"/>
        <w:numPr>
          <w:ilvl w:val="0"/>
          <w:numId w:val="2"/>
        </w:numPr>
        <w:spacing w:after="60"/>
      </w:pPr>
      <w:r>
        <w:rPr>
          <w:rFonts w:ascii="Arial" w:cs="Arial" w:eastAsia="Arial" w:hAnsi="Arial"/>
          <w:b/>
          <w:bCs/>
          <w:color w:val="1B2A4A"/>
          <w:sz w:val="20"/>
          <w:szCs w:val="20"/>
        </w:rPr>
        <w:t xml:space="preserve">Churn_Numeric </w:t>
      </w:r>
      <w:r>
        <w:rPr>
          <w:rFonts w:ascii="Arial" w:cs="Arial" w:eastAsia="Arial" w:hAnsi="Arial"/>
          <w:color w:val="2C2C2C"/>
          <w:sz w:val="20"/>
          <w:szCs w:val="20"/>
        </w:rPr>
        <w:t xml:space="preserve">— maps Churn Yes/No to 1/0 to enable mean-based churn rate calculations.</w:t>
      </w:r>
    </w:p>
    <w:p>
      <w:pPr>
        <w:spacing w:after="80"/>
      </w:pPr>
      <w:r>
        <w:t xml:space="preserve"/>
      </w:r>
    </w:p>
    <w:p>
      <w:pPr>
        <w:pStyle w:val="Heading2"/>
        <w:spacing w:after="100" w:before="220"/>
      </w:pPr>
      <w:r>
        <w:rPr>
          <w:rFonts w:ascii="Arial" w:cs="Arial" w:eastAsia="Arial" w:hAnsi="Arial"/>
          <w:b/>
          <w:bCs/>
          <w:color w:val="2E4057"/>
          <w:sz w:val="26"/>
          <w:szCs w:val="26"/>
        </w:rPr>
        <w:t xml:space="preserve">Limitations</w:t>
      </w:r>
    </w:p>
    <w:p>
      <w:pPr>
        <w:pStyle w:val="ListParagraph"/>
        <w:numPr>
          <w:ilvl w:val="0"/>
          <w:numId w:val="2"/>
        </w:numPr>
        <w:spacing w:after="60"/>
      </w:pPr>
      <w:r>
        <w:rPr>
          <w:rFonts w:ascii="Arial" w:cs="Arial" w:eastAsia="Arial" w:hAnsi="Arial"/>
          <w:b/>
          <w:bCs/>
          <w:color w:val="1B2A4A"/>
          <w:sz w:val="20"/>
          <w:szCs w:val="20"/>
        </w:rPr>
        <w:t xml:space="preserve">Cross-sectional data: </w:t>
      </w:r>
      <w:r>
        <w:rPr>
          <w:rFonts w:ascii="Arial" w:cs="Arial" w:eastAsia="Arial" w:hAnsi="Arial"/>
          <w:color w:val="2C2C2C"/>
          <w:sz w:val="20"/>
          <w:szCs w:val="20"/>
        </w:rPr>
        <w:t xml:space="preserve">This is a snapshot dataset — no time-series trends are visible. Churn patterns may have shifted over time.</w:t>
      </w:r>
    </w:p>
    <w:p>
      <w:pPr>
        <w:pStyle w:val="ListParagraph"/>
        <w:numPr>
          <w:ilvl w:val="0"/>
          <w:numId w:val="2"/>
        </w:numPr>
        <w:spacing w:after="60"/>
      </w:pPr>
      <w:r>
        <w:rPr>
          <w:rFonts w:ascii="Arial" w:cs="Arial" w:eastAsia="Arial" w:hAnsi="Arial"/>
          <w:b/>
          <w:bCs/>
          <w:color w:val="1B2A4A"/>
          <w:sz w:val="20"/>
          <w:szCs w:val="20"/>
        </w:rPr>
        <w:t xml:space="preserve">No revenue data: </w:t>
      </w:r>
      <w:r>
        <w:rPr>
          <w:rFonts w:ascii="Arial" w:cs="Arial" w:eastAsia="Arial" w:hAnsi="Arial"/>
          <w:color w:val="2C2C2C"/>
          <w:sz w:val="20"/>
          <w:szCs w:val="20"/>
        </w:rPr>
        <w:t xml:space="preserve">Monthly charges are used as a proxy for customer value, but actual margin data would provide a more accurate picture.</w:t>
      </w:r>
    </w:p>
    <w:p>
      <w:pPr>
        <w:pStyle w:val="ListParagraph"/>
        <w:numPr>
          <w:ilvl w:val="0"/>
          <w:numId w:val="2"/>
        </w:numPr>
        <w:spacing w:after="60"/>
      </w:pPr>
      <w:r>
        <w:rPr>
          <w:rFonts w:ascii="Arial" w:cs="Arial" w:eastAsia="Arial" w:hAnsi="Arial"/>
          <w:b/>
          <w:bCs/>
          <w:color w:val="1B2A4A"/>
          <w:sz w:val="20"/>
          <w:szCs w:val="20"/>
        </w:rPr>
        <w:t xml:space="preserve">No reason-for-cancellation data: </w:t>
      </w:r>
      <w:r>
        <w:rPr>
          <w:rFonts w:ascii="Arial" w:cs="Arial" w:eastAsia="Arial" w:hAnsi="Arial"/>
          <w:color w:val="2C2C2C"/>
          <w:sz w:val="20"/>
          <w:szCs w:val="20"/>
        </w:rPr>
        <w:t xml:space="preserve">Churn causes are inferred from patterns rather than directly reported by customers. Customer exit surveys would validate these findings.</w:t>
      </w:r>
    </w:p>
    <w:p>
      <w:pPr>
        <w:pStyle w:val="ListParagraph"/>
        <w:numPr>
          <w:ilvl w:val="0"/>
          <w:numId w:val="2"/>
        </w:numPr>
        <w:spacing w:after="60"/>
      </w:pPr>
      <w:r>
        <w:rPr>
          <w:rFonts w:ascii="Arial" w:cs="Arial" w:eastAsia="Arial" w:hAnsi="Arial"/>
          <w:b/>
          <w:bCs/>
          <w:color w:val="1B2A4A"/>
          <w:sz w:val="20"/>
          <w:szCs w:val="20"/>
        </w:rPr>
        <w:t xml:space="preserve">No A/B test results: </w:t>
      </w:r>
      <w:r>
        <w:rPr>
          <w:rFonts w:ascii="Arial" w:cs="Arial" w:eastAsia="Arial" w:hAnsi="Arial"/>
          <w:color w:val="2C2C2C"/>
          <w:sz w:val="20"/>
          <w:szCs w:val="20"/>
        </w:rPr>
        <w:t xml:space="preserve">Recommendations are based on correlational analysis. Causal impact should be validated through controlled experiments before full rollout.</w:t>
      </w:r>
    </w:p>
    <w:p>
      <w:pPr>
        <w:spacing w:after="80"/>
      </w:pPr>
      <w:r>
        <w:t xml:space="preserve"/>
      </w:r>
    </w:p>
    <w:p>
      <w:pPr>
        <w:pBdr>
          <w:top w:val="single" w:color="C0392B" w:sz="4" w:space="1"/>
        </w:pBdr>
        <w:spacing w:after="80" w:before="200"/>
        <w:jc w:val="center"/>
      </w:pPr>
      <w:r>
        <w:rPr>
          <w:rFonts w:ascii="Arial" w:cs="Arial" w:eastAsia="Arial" w:hAnsi="Arial"/>
          <w:i/>
          <w:iCs/>
          <w:color w:val="888888"/>
          <w:sz w:val="16"/>
          <w:szCs w:val="16"/>
        </w:rPr>
        <w:t xml:space="preserve">End of Report  —  TeleConnect Inc. Customer Churn Analysis  —  May 2026</w:t>
      </w:r>
    </w:p>
    <w:sectPr>
      <w:headerReference w:type="default" r:id="rId7"/>
      <w:footerReference w:type="default" r:id="rId8"/>
      <w:pgSz w:w="12240" w:h="15840"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392B" w:sz="4" w:space="1"/>
      </w:pBdr>
      <w:tabs>
        <w:tab w:val="right" w:pos="9026"/>
      </w:tabs>
      <w:spacing w:before="80"/>
    </w:pPr>
    <w:r>
      <w:rPr>
        <w:rFonts w:ascii="Arial" w:cs="Arial" w:eastAsia="Arial" w:hAnsi="Arial"/>
        <w:color w:val="888888"/>
        <w:sz w:val="16"/>
        <w:szCs w:val="16"/>
      </w:rPr>
      <w:t xml:space="preserve">Data Analytics Division  |  May 2026</w:t>
    </w:r>
    <w:r>
      <w:rPr>
        <w:rFonts w:ascii="Arial" w:cs="Arial" w:eastAsia="Arial" w:hAnsi="Arial"/>
        <w:color w:val="888888"/>
        <w:sz w:val="16"/>
        <w:szCs w:val="16"/>
      </w:rPr>
      <w:t xml:space="preserve">	Page </w:t>
    </w:r>
    <w:r>
      <w:rPr>
        <w:rFonts w:ascii="Arial" w:cs="Arial" w:eastAsia="Arial" w:hAnsi="Arial"/>
        <w:color w:val="888888"/>
        <w:sz w:val="16"/>
        <w:szCs w:val="16"/>
      </w:rPr>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1"/>
      </w:pBdr>
      <w:tabs>
        <w:tab w:val="right" w:pos="9026"/>
      </w:tabs>
      <w:spacing w:after="80"/>
    </w:pPr>
    <w:r>
      <w:rPr>
        <w:rFonts w:ascii="Arial" w:cs="Arial" w:eastAsia="Arial" w:hAnsi="Arial"/>
        <w:color w:val="888888"/>
        <w:sz w:val="16"/>
        <w:szCs w:val="16"/>
      </w:rPr>
      <w:t xml:space="preserve">CONFIDENTIAL — Customer Churn Analysis Report</w:t>
    </w:r>
    <w:r>
      <w:rPr>
        <w:sz w:val="16"/>
        <w:szCs w:val="16"/>
      </w:rPr>
      <w:t xml:space="preserve">	</w:t>
    </w:r>
    <w:r>
      <w:rPr>
        <w:rFonts w:ascii="Arial" w:cs="Arial" w:eastAsia="Arial" w:hAnsi="Arial"/>
        <w:b/>
        <w:bCs/>
        <w:color w:val="1B2A4A"/>
        <w:sz w:val="16"/>
        <w:szCs w:val="16"/>
      </w:rPr>
      <w:t xml:space="preserve">TeleConnect Inc.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sz w:val="34"/>
      <w:szCs w:val="34"/>
    </w:rPr>
  </w:style>
  <w:style w:type="paragraph" w:styleId="Heading2">
    <w:name w:val="Heading 2"/>
    <w:basedOn w:val="Normal"/>
    <w:next w:val="Normal"/>
    <w:qFormat/>
    <w:pPr>
      <w:spacing w:after="100" w:before="2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2026-05-10T12:12:49.013Z</dcterms:created>
  <dcterms:modified xsi:type="dcterms:W3CDTF">2026-05-10T12:12:49.029Z</dcterms:modified>
</cp:coreProperties>
</file>

<file path=docProps/custom.xml><?xml version="1.0" encoding="utf-8"?>
<Properties xmlns="http://schemas.openxmlformats.org/officeDocument/2006/custom-properties" xmlns:vt="http://schemas.openxmlformats.org/officeDocument/2006/docPropsVTypes"/>
</file>