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 Personal Auto Underwriting &amp; Pricing — Technical Overview</w:t>
      </w:r>
    </w:p>
    <w:p>
      <w:r>
        <w:rPr>
          <w:b/>
        </w:rPr>
        <w:t>Audience:</w:t>
      </w:r>
      <w:r>
        <w:t xml:space="preserve"> Technical/architecture review</w:t>
      </w:r>
    </w:p>
    <w:p>
      <w:r>
        <w:rPr>
          <w:b/>
        </w:rPr>
        <w:t>Scope:</w:t>
      </w:r>
      <w:r>
        <w:t xml:space="preserve"> What's running under the hood, which models were chosen, and why — not a user guide (see </w:t>
      </w:r>
      <w:r>
        <w:rPr>
          <w:rFonts w:ascii="Consolas" w:hAnsi="Consolas"/>
          <w:sz w:val="19"/>
        </w:rPr>
        <w:t>docs/demo_guide.html</w:t>
      </w:r>
      <w:r>
        <w:t xml:space="preserve"> for that).</w:t>
      </w:r>
    </w:p>
    <w:p>
      <w:pPr>
        <w:pStyle w:val="Heading2"/>
      </w:pPr>
      <w:r>
        <w:t>1. Architecture, top to bottom</w:t>
      </w:r>
    </w:p>
    <w:p>
      <w:r>
        <w:t>The system is deliberately split into independent layers so that no single</w:t>
      </w:r>
    </w:p>
    <w:p>
      <w:r>
        <w:t>component is a black box making an end-to-end decision. This mirrors how a</w:t>
      </w:r>
    </w:p>
    <w:p>
      <w:r>
        <w:t>real carrier's actuarial/underwriting/pricing functions are organized —</w:t>
      </w:r>
    </w:p>
    <w:p>
      <w:r>
        <w:t>different teams, different governance, different sign-off — rather than one</w:t>
      </w:r>
    </w:p>
    <w:p>
      <w:r>
        <w:t>model that predicts "the premium" directly.</w:t>
      </w:r>
    </w:p>
    <w:p>
      <w:r>
        <w:t>Raw submission (form input or historical row)</w:t>
      </w:r>
    </w:p>
    <w:p>
      <w:r>
        <w:t>│</w:t>
      </w:r>
    </w:p>
    <w:p>
      <w:r>
        <w:t>▼</w:t>
      </w:r>
    </w:p>
    <w:p>
      <w:r>
        <w:t>┌───────────────────────┐</w:t>
      </w:r>
    </w:p>
    <w:p>
      <w:r>
        <w:t>│  3 ML MODELS           │  Frequency, Severity, Bind Probability</w:t>
      </w:r>
    </w:p>
    <w:p>
      <w:r>
        <w:t>│  (independently        │  Each trained on its own feature set, no leakage</w:t>
      </w:r>
    </w:p>
    <w:p>
      <w:r>
        <w:t>│   trained, leak-safe)  │  between them (see §3).</w:t>
      </w:r>
    </w:p>
    <w:p>
      <w:r>
        <w:t>└───────────┬───────────┘</w:t>
      </w:r>
    </w:p>
    <w:p>
      <w:r>
        <w:t>▼</w:t>
      </w:r>
    </w:p>
    <w:p>
      <w:r>
        <w:t>┌───────────────────────┐</w:t>
      </w:r>
    </w:p>
    <w:p>
      <w:r>
        <w:t>│  DETERMINISTIC RULES   │  Composite score, technical premium, business</w:t>
      </w:r>
    </w:p>
    <w:p>
      <w:r>
        <w:t>│  ENGINE (non-ML)       │  premium, hard-stops, risk band, recommended</w:t>
      </w:r>
    </w:p>
    <w:p>
      <w:r>
        <w:t>│  rules/rules_engine.py │  action. Pure business formulas — auditable,</w:t>
      </w:r>
    </w:p>
    <w:p>
      <w:r>
        <w:t>│                        │  reproducible, not learned.</w:t>
      </w:r>
    </w:p>
    <w:p>
      <w:r>
        <w:t>└───────────┬───────────┘</w:t>
      </w:r>
    </w:p>
    <w:p>
      <w:r>
        <w:t>▼</w:t>
      </w:r>
    </w:p>
    <w:p>
      <w:r>
        <w:t>┌───────────────────────┐</w:t>
      </w:r>
    </w:p>
    <w:p>
      <w:r>
        <w:t>│  EXPLAINABILITY        │  SHAP-exact reason codes (loss + bind) and an</w:t>
      </w:r>
    </w:p>
    <w:p>
      <w:r>
        <w:t>│  scoring/explain.py    │  exact decomposition of the appetite penalty</w:t>
      </w:r>
    </w:p>
    <w:p>
      <w:r>
        <w:t>│                        │  formula. Every number is reproducible.</w:t>
      </w:r>
    </w:p>
    <w:p>
      <w:r>
        <w:t>└───────────┬───────────┘</w:t>
      </w:r>
    </w:p>
    <w:p>
      <w:r>
        <w:t>▼</w:t>
      </w:r>
    </w:p>
    <w:p>
      <w:r>
        <w:t>┌───────────────────────┐</w:t>
      </w:r>
    </w:p>
    <w:p>
      <w:r>
        <w:t>│  ADVISOR               │  Coverage-fit comparison and "alternatives to a</w:t>
      </w:r>
    </w:p>
    <w:p>
      <w:r>
        <w:t>│  scoring/advisor.py    │  decline" — re-simulated through the SAME rules</w:t>
      </w:r>
    </w:p>
    <w:p>
      <w:r>
        <w:t>│                        │  engine with modified inputs, never fabricated.</w:t>
      </w:r>
    </w:p>
    <w:p>
      <w:r>
        <w:t>└───────────┬───────────┘</w:t>
      </w:r>
    </w:p>
    <w:p>
      <w:r>
        <w:t>▼</w:t>
      </w:r>
    </w:p>
    <w:p>
      <w:r>
        <w:t>┌───────────────────────┐</w:t>
      </w:r>
    </w:p>
    <w:p>
      <w:r>
        <w:t>│  AI NARRATIVE (opt.)   │  Azure OpenAI GPT-4o turns the above into plain</w:t>
      </w:r>
    </w:p>
    <w:p>
      <w:r>
        <w:t>│  scoring/ai_narrator.py│  English. It narrates; it never decides. Falls</w:t>
      </w:r>
    </w:p>
    <w:p>
      <w:r>
        <w:t>│                        │  back to rule-based text if unavailable.</w:t>
      </w:r>
    </w:p>
    <w:p>
      <w:r>
        <w:t>└───────────┬───────────┘</w:t>
      </w:r>
    </w:p>
    <w:p>
      <w:r>
        <w:t>▼</w:t>
      </w:r>
    </w:p>
    <w:p>
      <w:r>
        <w:t>┌───────────────────────┐</w:t>
      </w:r>
    </w:p>
    <w:p>
      <w:r>
        <w:t>│  STREAMLIT UI          │  Dashboard tab (book-wide KPIs) + Interface tab</w:t>
      </w:r>
    </w:p>
    <w:p>
      <w:r>
        <w:t>│  app/app.py            │  (live single-submission scoring / what-if).</w:t>
      </w:r>
    </w:p>
    <w:p>
      <w:r>
        <w:t>└───────────────────────┘</w:t>
      </w:r>
    </w:p>
    <w:p>
      <w:r>
        <w:rPr>
          <w:b/>
        </w:rPr>
        <w:t>Why this separation matters:</w:t>
      </w:r>
      <w:r>
        <w:t xml:space="preserve"> if a regulator or auditor asks "why was</w:t>
      </w:r>
    </w:p>
    <w:p>
      <w:r>
        <w:t>this risk declined," the answer traces to a specific, inspectable rule</w:t>
      </w:r>
    </w:p>
    <w:p>
      <w:r>
        <w:t>(</w:t>
      </w:r>
      <w:r>
        <w:rPr>
          <w:rFonts w:ascii="Consolas" w:hAnsi="Consolas"/>
          <w:sz w:val="19"/>
        </w:rPr>
        <w:t>rules_engine.check_hard_stops</w:t>
      </w:r>
      <w:r>
        <w:t>) or a specific, exact Shapley contribution</w:t>
      </w:r>
    </w:p>
    <w:p>
      <w:r>
        <w:t>— never "the model decided." The only genuinely probabilistic, non-exact</w:t>
      </w:r>
    </w:p>
    <w:p>
      <w:r>
        <w:t>component (the AI narrative) is explicitly walled off from ever producing a</w:t>
      </w:r>
    </w:p>
    <w:p>
      <w:r>
        <w:t>number, band, or decision.</w:t>
      </w:r>
    </w:p>
    <w:p>
      <w:pPr>
        <w:pStyle w:val="Heading2"/>
      </w:pPr>
      <w:r>
        <w:t>2. The three ML models — what and why</w:t>
      </w:r>
    </w:p>
    <w:p>
      <w:r>
        <w:t xml:space="preserve">All three are trained in </w:t>
      </w:r>
      <w:r>
        <w:rPr>
          <w:rFonts w:ascii="Consolas" w:hAnsi="Consolas"/>
          <w:sz w:val="19"/>
        </w:rPr>
        <w:t>train/train_*.py</w:t>
      </w:r>
      <w:r>
        <w:t>, loaded via</w:t>
      </w:r>
    </w:p>
    <w:p>
      <w:r>
        <w:rPr>
          <w:rFonts w:ascii="Consolas" w:hAnsi="Consolas"/>
          <w:sz w:val="19"/>
        </w:rPr>
        <w:t>scoring/predictors.py</w:t>
      </w:r>
      <w:r>
        <w:t>, and consumed by the rules engine as inputs, not</w:t>
      </w:r>
    </w:p>
    <w:p>
      <w:r>
        <w:t>replacements for it.</w:t>
      </w:r>
    </w:p>
    <w:p>
      <w:pPr>
        <w:pStyle w:val="Heading3"/>
      </w:pPr>
      <w:r>
        <w:t>2.1 Claim Frequency — XGBoost Regressor, `objective="count:poisson"`</w:t>
      </w:r>
    </w:p>
    <w:p>
      <w:pPr>
        <w:pStyle w:val="ListBullet"/>
      </w:pPr>
      <w:r>
        <w:rPr>
          <w:b/>
        </w:rPr>
        <w:t>Target:</w:t>
      </w:r>
      <w:r>
        <w:t xml:space="preserve"> </w:t>
      </w:r>
      <w:r>
        <w:rPr>
          <w:rFonts w:ascii="Consolas" w:hAnsi="Consolas"/>
          <w:sz w:val="19"/>
        </w:rPr>
        <w:t>Claim_Count</w:t>
      </w:r>
      <w:r>
        <w:t xml:space="preserve"> per policy-year (a count, not a probability).</w:t>
      </w:r>
    </w:p>
    <w:p>
      <w:pPr>
        <w:pStyle w:val="ListBullet"/>
      </w:pPr>
      <w:r>
        <w:rPr>
          <w:b/>
        </w:rPr>
        <w:t>Why gradient-boosted trees over a classical Poisson GLM:</w:t>
      </w:r>
      <w:r>
        <w:t xml:space="preserve"> frequency in</w:t>
      </w:r>
    </w:p>
    <w:p>
      <w:r>
        <w:t>auto insurance is driven by nonlinear interactions (e.g., young driver ×</w:t>
      </w:r>
    </w:p>
    <w:p>
      <w:r>
        <w:t>urban territory × high mileage compounds differently than any one factor</w:t>
      </w:r>
    </w:p>
    <w:p>
      <w:r>
        <w:t>alone). A Poisson GLM assumes additive-in-the-link effects; XGBoost with a</w:t>
      </w:r>
    </w:p>
    <w:p>
      <w:r>
        <w:t>Poisson objective keeps the correct count-data loss function (log-link,</w:t>
      </w:r>
    </w:p>
    <w:p>
      <w:r>
        <w:t>Poisson deviance) while letting the trees discover those interactions</w:t>
      </w:r>
    </w:p>
    <w:p>
      <w:r>
        <w:t>without hand-engineering interaction terms.</w:t>
      </w:r>
    </w:p>
    <w:p>
      <w:pPr>
        <w:pStyle w:val="ListBullet"/>
      </w:pPr>
      <w:r>
        <w:rPr>
          <w:b/>
        </w:rPr>
        <w:t>Why not a plain regressor (squared error):</w:t>
      </w:r>
      <w:r>
        <w:t xml:space="preserve"> claim counts are</w:t>
      </w:r>
    </w:p>
    <w:p>
      <w:r>
        <w:t>non-negative integers with a right-skewed distribution — a Poisson</w:t>
      </w:r>
    </w:p>
    <w:p>
      <w:r>
        <w:t>objective is the standard actuarial choice for frequency; squared-error</w:t>
      </w:r>
    </w:p>
    <w:p>
      <w:r>
        <w:t>regression would let the model predict nonsensical negative frequencies</w:t>
      </w:r>
    </w:p>
    <w:p>
      <w:r>
        <w:t>and mis-weight rare high-count cases.</w:t>
      </w:r>
    </w:p>
    <w:p>
      <w:pPr>
        <w:pStyle w:val="ListBullet"/>
      </w:pPr>
      <w:r>
        <w:t>Trained only on bound policies (</w:t>
      </w:r>
      <w:r>
        <w:rPr>
          <w:rFonts w:ascii="Consolas" w:hAnsi="Consolas"/>
          <w:sz w:val="19"/>
        </w:rPr>
        <w:t>Bound_Flag == 1</w:t>
      </w:r>
      <w:r>
        <w:t>) — you only observe</w:t>
      </w:r>
    </w:p>
    <w:p>
      <w:r>
        <w:t>claims experience on business that was actually written.</w:t>
      </w:r>
    </w:p>
    <w:p>
      <w:pPr>
        <w:pStyle w:val="Heading3"/>
      </w:pPr>
      <w:r>
        <w:t>2.2 Claim Severity — Gamma GLM (`statsmodels`), log link</w:t>
      </w:r>
    </w:p>
    <w:p>
      <w:pPr>
        <w:pStyle w:val="ListBullet"/>
      </w:pPr>
      <w:r>
        <w:rPr>
          <w:b/>
        </w:rPr>
        <w:t>Target:</w:t>
      </w:r>
      <w:r>
        <w:t xml:space="preserve"> </w:t>
      </w:r>
      <w:r>
        <w:rPr>
          <w:rFonts w:ascii="Consolas" w:hAnsi="Consolas"/>
          <w:sz w:val="19"/>
        </w:rPr>
        <w:t>Incurred_Loss / Claim_Count</w:t>
      </w:r>
      <w:r>
        <w:t xml:space="preserve"> (average cost per claim, only</w:t>
      </w:r>
    </w:p>
    <w:p>
      <w:r>
        <w:t>defined where at least one claim occurred).</w:t>
      </w:r>
    </w:p>
    <w:p>
      <w:pPr>
        <w:pStyle w:val="ListBullet"/>
      </w:pPr>
      <w:r>
        <w:rPr>
          <w:b/>
        </w:rPr>
        <w:t>Why a classical GLM here instead of another gradient-boosted model:</w:t>
      </w:r>
    </w:p>
    <w:p>
      <w:r>
        <w:t>severity is the standard home turf of the Gamma-GLM-with-log-link in</w:t>
      </w:r>
    </w:p>
    <w:p>
      <w:r>
        <w:t>actuarial pricing (severity is strictly positive and right-skewed — the</w:t>
      </w:r>
    </w:p>
    <w:p>
      <w:r>
        <w:t>Gamma family's variance-mean relationship matches that shape correctly).</w:t>
      </w:r>
    </w:p>
    <w:p>
      <w:r>
        <w:t xml:space="preserve">Just as importantly, a GLM's coefficients give an </w:t>
      </w:r>
      <w:r>
        <w:rPr>
          <w:b/>
        </w:rPr>
        <w:t>exact</w:t>
      </w:r>
      <w:r>
        <w:t>, not</w:t>
      </w:r>
    </w:p>
    <w:p>
      <w:r>
        <w:t>approximated, per-feature dollar contribution (coefficient × value in log</w:t>
      </w:r>
    </w:p>
    <w:p>
      <w:r>
        <w:t>space) — no post-hoc explainability technique is needed for severity, it's</w:t>
      </w:r>
    </w:p>
    <w:p>
      <w:r>
        <w:t>intrinsically interpretable. That exactness matters more for severity</w:t>
      </w:r>
    </w:p>
    <w:p>
      <w:r>
        <w:t>than frequency because severity dollar amounts flow directly into the</w:t>
      </w:r>
    </w:p>
    <w:p>
      <w:r>
        <w:t>premium, and finance/actuarial sign-off tends to expect GLM-style</w:t>
      </w:r>
    </w:p>
    <w:p>
      <w:r>
        <w:t>transparency on the cost side specifically.</w:t>
      </w:r>
    </w:p>
    <w:p>
      <w:pPr>
        <w:pStyle w:val="ListBullet"/>
      </w:pPr>
      <w:r>
        <w:t xml:space="preserve">Deliberately a </w:t>
      </w:r>
      <w:r>
        <w:rPr>
          <w:b/>
        </w:rPr>
        <w:t>different model family from frequency</w:t>
      </w:r>
      <w:r>
        <w:t xml:space="preserve"> — this is</w:t>
      </w:r>
    </w:p>
    <w:p>
      <w:r>
        <w:t>intentional, not inconsistency: frequency and severity are actuarially</w:t>
      </w:r>
    </w:p>
    <w:p>
      <w:r>
        <w:t>distinct processes (how often vs. how much) with different appropriate</w:t>
      </w:r>
    </w:p>
    <w:p>
      <w:r>
        <w:t>distributions, and combining them multiplicatively (`frequency × severity</w:t>
      </w:r>
    </w:p>
    <w:p>
      <w:r>
        <w:t>= expected loss cost`) is the standard actuarial decomposition.</w:t>
      </w:r>
    </w:p>
    <w:p>
      <w:pPr>
        <w:pStyle w:val="Heading3"/>
      </w:pPr>
      <w:r>
        <w:t>2.3 Bind Probability — LightGBM Classifier</w:t>
      </w:r>
    </w:p>
    <w:p>
      <w:pPr>
        <w:pStyle w:val="ListBullet"/>
      </w:pPr>
      <w:r>
        <w:rPr>
          <w:b/>
        </w:rPr>
        <w:t>Target:</w:t>
      </w:r>
      <w:r>
        <w:t xml:space="preserve"> </w:t>
      </w:r>
      <w:r>
        <w:rPr>
          <w:rFonts w:ascii="Consolas" w:hAnsi="Consolas"/>
          <w:sz w:val="19"/>
        </w:rPr>
        <w:t>Bound_Flag</w:t>
      </w:r>
      <w:r>
        <w:t xml:space="preserve"> (did the customer accept the quote?).</w:t>
      </w:r>
    </w:p>
    <w:p>
      <w:pPr>
        <w:pStyle w:val="ListBullet"/>
      </w:pPr>
      <w:r>
        <w:rPr>
          <w:b/>
        </w:rPr>
        <w:t>Why LightGBM over XGBoost or logistic regression here:</w:t>
      </w:r>
      <w:r>
        <w:t xml:space="preserve"> this is a</w:t>
      </w:r>
    </w:p>
    <w:p>
      <w:r>
        <w:t>behavioral/conversion problem (shopping behavior, price sensitivity,</w:t>
      </w:r>
    </w:p>
    <w:p>
      <w:r>
        <w:t>channel, premium change vs. last year), which tends to have more</w:t>
      </w:r>
    </w:p>
    <w:p>
      <w:r>
        <w:t>categorical structure and weaker, noisier signal than a loss-cost model.</w:t>
      </w:r>
    </w:p>
    <w:p>
      <w:r>
        <w:t>LightGBM's leaf-wise tree growth handles a high proportion of categorical</w:t>
      </w:r>
    </w:p>
    <w:p>
      <w:r>
        <w:t>splits (channel, price-sensitivity band, state) efficiently and trains</w:t>
      </w:r>
    </w:p>
    <w:p>
      <w:r>
        <w:t>fast, which matters because this model is also re-invoked repeatedly per</w:t>
      </w:r>
    </w:p>
    <w:p>
      <w:r>
        <w:t>what-if scenario (coverage fit across 5 options, up to 3 underwriter</w:t>
      </w:r>
    </w:p>
    <w:p>
      <w:r>
        <w:t>alternatives) — LightGBM's speed keeps the live Interface tab responsive.</w:t>
      </w:r>
    </w:p>
    <w:p>
      <w:pPr>
        <w:pStyle w:val="ListBullet"/>
      </w:pPr>
      <w:r>
        <w:t>Trained on the full book (every quoted submission has a bind outcome,</w:t>
      </w:r>
    </w:p>
    <w:p>
      <w:r>
        <w:t>unlike claims which are conditional on binding).</w:t>
      </w:r>
    </w:p>
    <w:p>
      <w:pPr>
        <w:pStyle w:val="Heading3"/>
      </w:pPr>
      <w:r>
        <w:t>2.4 Why three separate models instead of one end-to-end model</w:t>
      </w:r>
    </w:p>
    <w:p>
      <w:r>
        <w:t>This is a deliberate governance decision, enforced in code</w:t>
      </w:r>
    </w:p>
    <w:p>
      <w:r>
        <w:t>(</w:t>
      </w:r>
      <w:r>
        <w:rPr>
          <w:rFonts w:ascii="Consolas" w:hAnsi="Consolas"/>
          <w:sz w:val="19"/>
        </w:rPr>
        <w:t>train/feature_config.py</w:t>
      </w:r>
      <w:r>
        <w:t>):</w:t>
      </w:r>
    </w:p>
    <w:p>
      <w:pPr>
        <w:pStyle w:val="ListBullet"/>
      </w:pPr>
      <w:r>
        <w:t xml:space="preserve">Loss models (frequency, severity) </w:t>
      </w:r>
      <w:r>
        <w:rPr>
          <w:b/>
        </w:rPr>
        <w:t>never</w:t>
      </w:r>
      <w:r>
        <w:t xml:space="preserve"> see bind/shopping-behavior</w:t>
      </w:r>
    </w:p>
    <w:p>
      <w:r>
        <w:t>features (agent engagement, price sensitivity, quote revisions).</w:t>
      </w:r>
    </w:p>
    <w:p>
      <w:pPr>
        <w:pStyle w:val="ListBullet"/>
      </w:pPr>
      <w:r>
        <w:t xml:space="preserve">The bind model </w:t>
      </w:r>
      <w:r>
        <w:rPr>
          <w:b/>
        </w:rPr>
        <w:t>never</w:t>
      </w:r>
      <w:r>
        <w:t xml:space="preserve"> sees loss/claims-history features.</w:t>
      </w:r>
    </w:p>
    <w:p>
      <w:pPr>
        <w:pStyle w:val="ListBullet"/>
      </w:pPr>
      <w:r>
        <w:t>No model ever sees another model's *output* (composite score, bind</w:t>
      </w:r>
    </w:p>
    <w:p>
      <w:r>
        <w:t>score, etc.) fed back in as an input, and none see post-outcome fields</w:t>
      </w:r>
    </w:p>
    <w:p>
      <w:r>
        <w:t>(</w:t>
      </w:r>
      <w:r>
        <w:rPr>
          <w:rFonts w:ascii="Consolas" w:hAnsi="Consolas"/>
          <w:sz w:val="19"/>
        </w:rPr>
        <w:t>Bound_Flag</w:t>
      </w:r>
      <w:r>
        <w:t xml:space="preserve">, </w:t>
      </w:r>
      <w:r>
        <w:rPr>
          <w:rFonts w:ascii="Consolas" w:hAnsi="Consolas"/>
          <w:sz w:val="19"/>
        </w:rPr>
        <w:t>Claim_Count</w:t>
      </w:r>
      <w:r>
        <w:t xml:space="preserve">, </w:t>
      </w:r>
      <w:r>
        <w:rPr>
          <w:rFonts w:ascii="Consolas" w:hAnsi="Consolas"/>
          <w:sz w:val="19"/>
        </w:rPr>
        <w:t>Incurred_Loss</w:t>
      </w:r>
      <w:r>
        <w:t>) except as their own</w:t>
      </w:r>
    </w:p>
    <w:p>
      <w:r>
        <w:t>training target.</w:t>
      </w:r>
    </w:p>
    <w:p>
      <w:r>
        <w:t>A single unified "predict the premium" model would blur two things that</w:t>
      </w:r>
    </w:p>
    <w:p>
      <w:r>
        <w:t>must stay independently auditable in a regulated line: the actuarial cost</w:t>
      </w:r>
    </w:p>
    <w:p>
      <w:r>
        <w:t>of risk (loss models) and the commercial likelihood of conversion (bind</w:t>
      </w:r>
    </w:p>
    <w:p>
      <w:r>
        <w:t>model). Regulators expect rate filings to be justified on loss-cost</w:t>
      </w:r>
    </w:p>
    <w:p>
      <w:r>
        <w:t>grounds; conflating that with bind-probability-driven pricing in one</w:t>
      </w:r>
    </w:p>
    <w:p>
      <w:r>
        <w:t>model would be difficult to defend in a filing.</w:t>
      </w:r>
    </w:p>
    <w:p>
      <w:pPr>
        <w:pStyle w:val="Heading3"/>
      </w:pPr>
      <w:r>
        <w:t>2.5 Why not a neural network anywhere in this pipeline</w:t>
      </w:r>
    </w:p>
    <w:p>
      <w:pPr>
        <w:pStyle w:val="ListBullet"/>
      </w:pPr>
      <w:r>
        <w:t>The training set is ~22,000 rows — far too small to justify a neural</w:t>
      </w:r>
    </w:p>
    <w:p>
      <w:r>
        <w:t>network over gradient-boosted trees / GLMs, which are the empirically</w:t>
      </w:r>
    </w:p>
    <w:p>
      <w:r>
        <w:t>stronger choice on tabular data at this scale and are dramatically</w:t>
      </w:r>
    </w:p>
    <w:p>
      <w:r>
        <w:t>easier to explain to underwriters, actuaries, and regulators.</w:t>
      </w:r>
    </w:p>
    <w:p>
      <w:pPr>
        <w:pStyle w:val="ListBullet"/>
      </w:pPr>
      <w:r>
        <w:t xml:space="preserve">Every model chosen here (XGBoost, LightGBM, GLM) has a </w:t>
      </w:r>
      <w:r>
        <w:rPr>
          <w:b/>
        </w:rPr>
        <w:t>native, exact</w:t>
      </w:r>
    </w:p>
    <w:p>
      <w:r>
        <w:t>per-instance explainability mechanism (see §4) — a neural net would need</w:t>
      </w:r>
    </w:p>
    <w:p>
      <w:r>
        <w:t>an approximate post-hoc method (e.g. KernelSHAP) instead of an exact one.</w:t>
      </w:r>
    </w:p>
    <w:p>
      <w:pPr>
        <w:pStyle w:val="Heading2"/>
      </w:pPr>
      <w:r>
        <w:t>3. Preprocessing &amp; validation methodology (`train/preprocessing.py`, `train/splits.py`)</w:t>
      </w:r>
    </w:p>
    <w:p>
      <w:pPr>
        <w:pStyle w:val="ListBullet"/>
      </w:pPr>
      <w:r>
        <w:rPr>
          <w:b/>
        </w:rPr>
        <w:t>Imputation:</w:t>
      </w:r>
      <w:r>
        <w:t xml:space="preserve"> numeric features → median; categorical features →</w:t>
      </w:r>
    </w:p>
    <w:p>
      <w:r>
        <w:t>most-frequent, then one-hot encoded (</w:t>
      </w:r>
      <w:r>
        <w:rPr>
          <w:rFonts w:ascii="Consolas" w:hAnsi="Consolas"/>
          <w:sz w:val="19"/>
        </w:rPr>
        <w:t>handle_unknown="ignore"</w:t>
      </w:r>
      <w:r>
        <w:t>, so a</w:t>
      </w:r>
    </w:p>
    <w:p>
      <w:r>
        <w:t>category never seen in training — e.g. a body type not in the historical</w:t>
      </w:r>
    </w:p>
    <w:p>
      <w:r>
        <w:t>book — degrades safely to "no signal" instead of crashing).</w:t>
      </w:r>
    </w:p>
    <w:p>
      <w:pPr>
        <w:pStyle w:val="ListBullet"/>
      </w:pPr>
      <w:r>
        <w:rPr>
          <w:b/>
        </w:rPr>
        <w:t>Same preprocessor pickled with each model</w:t>
      </w:r>
      <w:r>
        <w:t xml:space="preserve"> so live single-row scoring</w:t>
      </w:r>
    </w:p>
    <w:p>
      <w:r>
        <w:t>in the Streamlit app applies byte-identical preprocessing to what the</w:t>
      </w:r>
    </w:p>
    <w:p>
      <w:r>
        <w:t>model was trained on.</w:t>
      </w:r>
    </w:p>
    <w:p>
      <w:pPr>
        <w:pStyle w:val="ListBullet"/>
      </w:pPr>
      <w:r>
        <w:rPr>
          <w:b/>
        </w:rPr>
        <w:t>Time-based train/test split</w:t>
      </w:r>
      <w:r>
        <w:t xml:space="preserve"> (80/20 by </w:t>
      </w:r>
      <w:r>
        <w:rPr>
          <w:rFonts w:ascii="Consolas" w:hAnsi="Consolas"/>
          <w:sz w:val="19"/>
        </w:rPr>
        <w:t>Quote_Date</w:t>
      </w:r>
      <w:r>
        <w:t>, not random): the</w:t>
      </w:r>
    </w:p>
    <w:p>
      <w:r>
        <w:t>model trains on the earlier ~80% of the book and validates on the most</w:t>
      </w:r>
    </w:p>
    <w:p>
      <w:r>
        <w:t>recent ~20%. This avoids look-ahead leakage and mirrors how you'd</w:t>
      </w:r>
    </w:p>
    <w:p>
      <w:r>
        <w:t>actually validate a pricing model in production — train on history,</w:t>
      </w:r>
    </w:p>
    <w:p>
      <w:r>
        <w:t>test against "the future" — rather than a random split that could leak</w:t>
      </w:r>
    </w:p>
    <w:p>
      <w:r>
        <w:t>information across time.</w:t>
      </w:r>
    </w:p>
    <w:p>
      <w:pPr>
        <w:pStyle w:val="ListBullet"/>
      </w:pPr>
      <w:r>
        <w:t>Per-model held-out predictions are persisted (</w:t>
      </w:r>
      <w:r>
        <w:rPr>
          <w:rFonts w:ascii="Consolas" w:hAnsi="Consolas"/>
          <w:sz w:val="19"/>
        </w:rPr>
        <w:t>*_test_predictions.parquet</w:t>
      </w:r>
      <w:r>
        <w:t>)</w:t>
      </w:r>
    </w:p>
    <w:p>
      <w:r>
        <w:t xml:space="preserve">for </w:t>
      </w:r>
      <w:r>
        <w:rPr>
          <w:rFonts w:ascii="Consolas" w:hAnsi="Consolas"/>
          <w:sz w:val="19"/>
        </w:rPr>
        <w:t>train/evaluate_models.py</w:t>
      </w:r>
      <w:r>
        <w:t xml:space="preserve"> to score independently.</w:t>
      </w:r>
    </w:p>
    <w:p>
      <w:pPr>
        <w:pStyle w:val="Heading2"/>
      </w:pPr>
      <w:r>
        <w:t>4. Explainability — exact, not approximated (`scoring/explain.py`)</w:t>
      </w:r>
    </w:p>
    <w:p>
      <w:pPr>
        <w:pStyle w:val="ListBullet"/>
      </w:pPr>
      <w:r>
        <w:rPr>
          <w:b/>
        </w:rPr>
        <w:t>Loss reason codes:</w:t>
      </w:r>
      <w:r>
        <w:t xml:space="preserve"> XGBoost and LightGBM both compute true per-instance</w:t>
      </w:r>
    </w:p>
    <w:p>
      <w:r>
        <w:t>Shapley-value decompositions natively (</w:t>
      </w:r>
      <w:r>
        <w:rPr>
          <w:rFonts w:ascii="Consolas" w:hAnsi="Consolas"/>
          <w:sz w:val="19"/>
        </w:rPr>
        <w:t>pred_contribs</w:t>
      </w:r>
      <w:r>
        <w:t xml:space="preserve"> / </w:t>
      </w:r>
      <w:r>
        <w:rPr>
          <w:rFonts w:ascii="Consolas" w:hAnsi="Consolas"/>
          <w:sz w:val="19"/>
        </w:rPr>
        <w:t>pred_contrib</w:t>
      </w:r>
      <w:r>
        <w:t>)</w:t>
      </w:r>
    </w:p>
    <w:p>
      <w:r>
        <w:t xml:space="preserve">— this is the same mathematical mechanism the third-party </w:t>
      </w:r>
      <w:r>
        <w:rPr>
          <w:rFonts w:ascii="Consolas" w:hAnsi="Consolas"/>
          <w:sz w:val="19"/>
        </w:rPr>
        <w:t>shap</w:t>
      </w:r>
      <w:r>
        <w:t xml:space="preserve"> package</w:t>
      </w:r>
    </w:p>
    <w:p>
      <w:r>
        <w:t>wraps for tree models, so no extra dependency is needed and there's no</w:t>
      </w:r>
    </w:p>
    <w:p>
      <w:r>
        <w:t>approximation error. Frequency uses a log link (Poisson) and severity a</w:t>
      </w:r>
    </w:p>
    <w:p>
      <w:r>
        <w:t>log link (Gamma), so `log(frequency) + log(severity) = log(expected loss</w:t>
      </w:r>
    </w:p>
    <w:p>
      <w:r>
        <w:t>cost)` exactly — the two contribution sets are on a common scale and can</w:t>
      </w:r>
    </w:p>
    <w:p>
      <w:r>
        <w:t>be summed feature-by-feature into one combined "Loss Risk Drivers" list.</w:t>
      </w:r>
    </w:p>
    <w:p>
      <w:pPr>
        <w:pStyle w:val="ListBullet"/>
      </w:pPr>
      <w:r>
        <w:rPr>
          <w:b/>
        </w:rPr>
        <w:t>Bind reason codes:</w:t>
      </w:r>
      <w:r>
        <w:t xml:space="preserve"> same native SHAP mechanism against the LightGBM</w:t>
      </w:r>
    </w:p>
    <w:p>
      <w:r>
        <w:t>classifier.</w:t>
      </w:r>
    </w:p>
    <w:p>
      <w:pPr>
        <w:pStyle w:val="ListBullet"/>
      </w:pPr>
      <w:r>
        <w:rPr>
          <w:b/>
        </w:rPr>
        <w:t>Appetite reason codes:</w:t>
      </w:r>
      <w:r>
        <w:t xml:space="preserve"> not a model at all — an exact decomposition of</w:t>
      </w:r>
    </w:p>
    <w:p>
      <w:r>
        <w:t xml:space="preserve">the deterministic penalty formula in </w:t>
      </w:r>
      <w:r>
        <w:rPr>
          <w:rFonts w:ascii="Consolas" w:hAnsi="Consolas"/>
          <w:sz w:val="19"/>
        </w:rPr>
        <w:t>rules_engine.compute_appetite_score</w:t>
      </w:r>
      <w:r>
        <w:t>.</w:t>
      </w:r>
    </w:p>
    <w:p>
      <w:r>
        <w:t>There's nothing approximate to explain; it's arithmetic.</w:t>
      </w:r>
    </w:p>
    <w:p>
      <w:pPr>
        <w:pStyle w:val="ListBullet"/>
      </w:pPr>
      <w:r>
        <w:rPr>
          <w:b/>
        </w:rPr>
        <w:t>Reconciliation:</w:t>
      </w:r>
      <w:r>
        <w:t xml:space="preserve"> the app's "Technical &amp; audit detail" panel shows the</w:t>
      </w:r>
    </w:p>
    <w:p>
      <w:r>
        <w:t>model's base value plus every driver's contribution (named + pooled)</w:t>
      </w:r>
    </w:p>
    <w:p>
      <w:r>
        <w:t>reproducing the final predicted figure exactly — a hard guarantee that</w:t>
      </w:r>
    </w:p>
    <w:p>
      <w:r>
        <w:t>the explanation isn't just "directionally plausible" but numerically</w:t>
      </w:r>
    </w:p>
    <w:p>
      <w:r>
        <w:t>ties out.</w:t>
      </w:r>
    </w:p>
    <w:p>
      <w:pPr>
        <w:pStyle w:val="Heading2"/>
      </w:pPr>
      <w:r>
        <w:t>5. The deterministic rules engine — why it's *not* ML (`rules/rules_engine.py`)</w:t>
      </w:r>
    </w:p>
    <w:p>
      <w:r>
        <w:t>Three things are intentionally kept out of any model and hard-coded as</w:t>
      </w:r>
    </w:p>
    <w:p>
      <w:r>
        <w:t>auditable business formulas instead:</w:t>
      </w:r>
    </w:p>
    <w:p>
      <w:pPr>
        <w:pStyle w:val="ListNumber"/>
      </w:pPr>
      <w:r>
        <w:rPr>
          <w:b/>
        </w:rPr>
        <w:t>Hard-stop eligibility rules</w:t>
      </w:r>
      <w:r>
        <w:t xml:space="preserve"> (DUI, license suspension, confirmed</w:t>
      </w:r>
    </w:p>
    <w:p>
      <w:r>
        <w:t>fraud, coverage lapse &gt; 60 days, vehicle value over the carrier limit,</w:t>
      </w:r>
    </w:p>
    <w:p>
      <w:r>
        <w:t>etc.) — these must be traceable to "we declined you because of rule X,"</w:t>
      </w:r>
    </w:p>
    <w:p>
      <w:r>
        <w:t>not a model's learned pattern that could drift or can't be cited in an</w:t>
      </w:r>
    </w:p>
    <w:p>
      <w:r>
        <w:t>adverse-action notice.</w:t>
      </w:r>
    </w:p>
    <w:p>
      <w:pPr>
        <w:pStyle w:val="ListNumber"/>
      </w:pPr>
      <w:r>
        <w:rPr>
          <w:b/>
        </w:rPr>
        <w:t>Premium loads</w:t>
      </w:r>
      <w:r>
        <w:t xml:space="preserve"> (10% LAE, 18% expense, 2–7% profit margin, CAT load,</w:t>
      </w:r>
    </w:p>
    <w:p>
      <w:r>
        <w:t>risk load) — these are actuarial/finance policy assumptions set by</w:t>
      </w:r>
    </w:p>
    <w:p>
      <w:r>
        <w:t>leadership, not something a model should fit from data.</w:t>
      </w:r>
    </w:p>
    <w:p>
      <w:pPr>
        <w:pStyle w:val="ListNumber"/>
      </w:pPr>
      <w:r>
        <w:rPr>
          <w:b/>
        </w:rPr>
        <w:t>Composite score weighting</w:t>
      </w:r>
      <w:r>
        <w:t xml:space="preserve"> (50% loss / 20% bind / 30% appetite) and</w:t>
      </w:r>
    </w:p>
    <w:p>
      <w:r>
        <w:t>band thresholds (Preferred/Standard/Non-Standard/Decline) — a risk-</w:t>
      </w:r>
    </w:p>
    <w:p>
      <w:r>
        <w:t>appetite policy choice, reviewed and set by underwriting management.</w:t>
      </w:r>
    </w:p>
    <w:p>
      <w:r>
        <w:t>The rules engine's only ML inputs are the three model outputs (expected</w:t>
      </w:r>
    </w:p>
    <w:p>
      <w:r>
        <w:t>frequency, severity, bind probability) — everything downstream of that is</w:t>
      </w:r>
    </w:p>
    <w:p>
      <w:r>
        <w:t>plain, versioned Python arithmetic that produces the same output for the</w:t>
      </w:r>
    </w:p>
    <w:p>
      <w:r>
        <w:t>same input, every time.</w:t>
      </w:r>
    </w:p>
    <w:p>
      <w:pPr>
        <w:pStyle w:val="Heading2"/>
      </w:pPr>
      <w:r>
        <w:t>6. AI narrative layer — Azure OpenAI GPT-4o (`scoring/ai_narrator.py`)</w:t>
      </w:r>
    </w:p>
    <w:p>
      <w:pPr>
        <w:pStyle w:val="ListBullet"/>
      </w:pPr>
      <w:r>
        <w:rPr>
          <w:b/>
        </w:rPr>
        <w:t>What it does:</w:t>
      </w:r>
      <w:r>
        <w:t xml:space="preserve"> turns the deterministic scoring/explainability/</w:t>
      </w:r>
    </w:p>
    <w:p>
      <w:r>
        <w:t>recommendation output into a polished, plain-English underwriter</w:t>
      </w:r>
    </w:p>
    <w:p>
      <w:r>
        <w:t>narrative.</w:t>
      </w:r>
    </w:p>
    <w:p>
      <w:pPr>
        <w:pStyle w:val="ListBullet"/>
      </w:pPr>
      <w:r>
        <w:rPr>
          <w:b/>
        </w:rPr>
        <w:t>What it never does:</w:t>
      </w:r>
      <w:r>
        <w:t xml:space="preserve"> decide anything. Every number, band, premium,</w:t>
      </w:r>
    </w:p>
    <w:p>
      <w:r>
        <w:t>reason code, and alternative shown elsewhere in the app is computed by</w:t>
      </w:r>
    </w:p>
    <w:p>
      <w:r>
        <w:t>the rules engine / models *before* this module ever runs — the LLM is</w:t>
      </w:r>
    </w:p>
    <w:p>
      <w:r>
        <w:t>instructed to only phrase and prioritize those given facts, never invent</w:t>
      </w:r>
    </w:p>
    <w:p>
      <w:r>
        <w:t>new ones.</w:t>
      </w:r>
    </w:p>
    <w:p>
      <w:pPr>
        <w:pStyle w:val="ListBullet"/>
      </w:pPr>
      <w:r>
        <w:rPr>
          <w:b/>
        </w:rPr>
        <w:t>Why an LLM here at all, given everything above is deterministic:</w:t>
      </w:r>
    </w:p>
    <w:p>
      <w:r>
        <w:t>underwriters read dozens of these a day; a fluent narrative summarizing</w:t>
      </w:r>
    </w:p>
    <w:p>
      <w:r>
        <w:t>"why," phrased for a human, is a genuine productivity aid — but only</w:t>
      </w:r>
    </w:p>
    <w:p>
      <w:r>
        <w:t>because it's layered on top of numbers that are already correct and</w:t>
      </w:r>
    </w:p>
    <w:p>
      <w:r>
        <w:t>auditable, not used to *produce* those numbers.</w:t>
      </w:r>
    </w:p>
    <w:p>
      <w:pPr>
        <w:pStyle w:val="ListBullet"/>
      </w:pPr>
      <w:r>
        <w:rPr>
          <w:b/>
        </w:rPr>
        <w:t>Failure mode by design:</w:t>
      </w:r>
      <w:r>
        <w:t xml:space="preserve"> if the API is unreachable, misconfigured, or</w:t>
      </w:r>
    </w:p>
    <w:p>
      <w:r>
        <w:t xml:space="preserve">errors for any reason, every function returns </w:t>
      </w:r>
      <w:r>
        <w:rPr>
          <w:rFonts w:ascii="Consolas" w:hAnsi="Consolas"/>
          <w:sz w:val="19"/>
        </w:rPr>
        <w:t>None</w:t>
      </w:r>
      <w:r>
        <w:t xml:space="preserve"> and callers fall</w:t>
      </w:r>
    </w:p>
    <w:p>
      <w:r>
        <w:t>back to the plain rule-based text that already existed. A live demo (or</w:t>
      </w:r>
    </w:p>
    <w:p>
      <w:r>
        <w:t>production run) never breaks because an AI call failed — the app is</w:t>
      </w:r>
    </w:p>
    <w:p>
      <w:r>
        <w:t>fully functional with zero AI narrative at all.</w:t>
      </w:r>
    </w:p>
    <w:p>
      <w:pPr>
        <w:pStyle w:val="ListBullet"/>
      </w:pPr>
      <w:r>
        <w:t>Credentials are read from environment variables locally (</w:t>
      </w:r>
      <w:r>
        <w:rPr>
          <w:rFonts w:ascii="Consolas" w:hAnsi="Consolas"/>
          <w:sz w:val="19"/>
        </w:rPr>
        <w:t>.env</w:t>
      </w:r>
      <w:r>
        <w:t>, git-</w:t>
      </w:r>
    </w:p>
    <w:p>
      <w:r>
        <w:t>ignored) or Streamlit's Secrets manager in the cloud deployment — the key</w:t>
      </w:r>
    </w:p>
    <w:p>
      <w:r>
        <w:t>never lives in the repo.</w:t>
      </w:r>
    </w:p>
    <w:p>
      <w:pPr>
        <w:pStyle w:val="Heading2"/>
      </w:pPr>
      <w:r>
        <w:t>7. Underwriter alternatives &amp; coverage fit — re-simulated, not fabricated (`scoring/advisor.py`)</w:t>
      </w:r>
    </w:p>
    <w:p>
      <w:r>
        <w:t>When a submission lands in Decline or Hard Stop, real underwriters look for</w:t>
      </w:r>
    </w:p>
    <w:p>
      <w:r>
        <w:t>a way to write the business rather than sending a form-letter decline. The</w:t>
      </w:r>
    </w:p>
    <w:p>
      <w:r>
        <w:rPr>
          <w:rFonts w:ascii="Consolas" w:hAnsi="Consolas"/>
          <w:sz w:val="19"/>
        </w:rPr>
        <w:t>advisor</w:t>
      </w:r>
      <w:r>
        <w:t xml:space="preserve"> module surfaces those alternatives (raise deductibles, require</w:t>
      </w:r>
    </w:p>
    <w:p>
      <w:r>
        <w:t>telematics, quote at a non-standard load, reclassify business use, etc.) by</w:t>
      </w:r>
    </w:p>
    <w:p>
      <w:r>
        <w:t>literally re-running the exact same scoring path (</w:t>
      </w:r>
      <w:r>
        <w:rPr>
          <w:rFonts w:ascii="Consolas" w:hAnsi="Consolas"/>
          <w:sz w:val="19"/>
        </w:rPr>
        <w:t>score_submission</w:t>
      </w:r>
      <w:r>
        <w:t>) with</w:t>
      </w:r>
    </w:p>
    <w:p>
      <w:r>
        <w:t>the modified input — every number shown (composite score, premium, band)</w:t>
      </w:r>
    </w:p>
    <w:p>
      <w:r>
        <w:t>is a genuine re-score, not a plausible-sounding guess. Only reasons with</w:t>
      </w:r>
    </w:p>
    <w:p>
      <w:r>
        <w:t>zero underwriting discretion (DUI, license suspension, confirmed fraud) get</w:t>
      </w:r>
    </w:p>
    <w:p>
      <w:r>
        <w:t>no alternative offered at all, because none legitimately exists.</w:t>
      </w:r>
    </w:p>
    <w:p>
      <w:r>
        <w:t>Coverage fit works the same way: the same risk is scored under all 5</w:t>
      </w:r>
    </w:p>
    <w:p>
      <w:r>
        <w:t>coverage options, because switching coverage actually changes the</w:t>
      </w:r>
    </w:p>
    <w:p>
      <w:r>
        <w:t>Collision/Comprehensive/UM-UIM flags the loss models read — it moves the</w:t>
      </w:r>
    </w:p>
    <w:p>
      <w:r>
        <w:t>predicted loss cost and technical premium, not just an appetite bonus.</w:t>
      </w:r>
    </w:p>
    <w:p>
      <w:pPr>
        <w:pStyle w:val="Heading2"/>
      </w:pPr>
      <w:r>
        <w:t>8. Tech stack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type="dxa" w:w="2880"/>
          </w:tcPr>
          <w:p>
            <w:r>
              <w:t>Frequency model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xgboost.XGBRegressor</w:t>
            </w:r>
            <w:r>
              <w:t xml:space="preserve"> (Poisson objective)</w:t>
            </w:r>
          </w:p>
        </w:tc>
        <w:tc>
          <w:tcPr>
            <w:tcW w:type="dxa" w:w="2880"/>
          </w:tcPr>
          <w:p>
            <w:r>
              <w:t>Nonlinear interactions + correct count-data loss</w:t>
            </w:r>
          </w:p>
        </w:tc>
      </w:tr>
      <w:tr>
        <w:tc>
          <w:tcPr>
            <w:tcW w:type="dxa" w:w="2880"/>
          </w:tcPr>
          <w:p>
            <w:r>
              <w:t>Severity model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statsmodels</w:t>
            </w:r>
            <w:r>
              <w:t xml:space="preserve"> GLM (Gamma, log link)</w:t>
            </w:r>
          </w:p>
        </w:tc>
        <w:tc>
          <w:tcPr>
            <w:tcW w:type="dxa" w:w="2880"/>
          </w:tcPr>
          <w:p>
            <w:r>
              <w:t>Actuarial standard for positive skewed cost; exact coefficients</w:t>
            </w:r>
          </w:p>
        </w:tc>
      </w:tr>
      <w:tr>
        <w:tc>
          <w:tcPr>
            <w:tcW w:type="dxa" w:w="2880"/>
          </w:tcPr>
          <w:p>
            <w:r>
              <w:t>Bind model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lightgbm.LGBMClassifier</w:t>
            </w:r>
          </w:p>
        </w:tc>
        <w:tc>
          <w:tcPr>
            <w:tcW w:type="dxa" w:w="2880"/>
          </w:tcPr>
          <w:p>
            <w:r>
              <w:t>Fast, handles categorical/behavioral features well</w:t>
            </w:r>
          </w:p>
        </w:tc>
      </w:tr>
      <w:tr>
        <w:tc>
          <w:tcPr>
            <w:tcW w:type="dxa" w:w="2880"/>
          </w:tcPr>
          <w:p>
            <w:r>
              <w:t>Preprocessing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scikit-learn</w:t>
            </w:r>
            <w:r>
              <w:t xml:space="preserve"> </w:t>
            </w:r>
            <w:r>
              <w:rPr>
                <w:rFonts w:ascii="Consolas" w:hAnsi="Consolas"/>
                <w:sz w:val="19"/>
              </w:rPr>
              <w:t>ColumnTransformer</w:t>
            </w:r>
            <w:r>
              <w:t xml:space="preserve"> (median/most-frequent impute + one-hot)</w:t>
            </w:r>
          </w:p>
        </w:tc>
        <w:tc>
          <w:tcPr>
            <w:tcW w:type="dxa" w:w="2880"/>
          </w:tcPr>
          <w:p>
            <w:r>
              <w:t>Identical pipeline at train and inference time</w:t>
            </w:r>
          </w:p>
        </w:tc>
      </w:tr>
      <w:tr>
        <w:tc>
          <w:tcPr>
            <w:tcW w:type="dxa" w:w="2880"/>
          </w:tcPr>
          <w:p>
            <w:r>
              <w:t>Explainability</w:t>
            </w:r>
          </w:p>
        </w:tc>
        <w:tc>
          <w:tcPr>
            <w:tcW w:type="dxa" w:w="2880"/>
          </w:tcPr>
          <w:p>
            <w:r>
              <w:t>Native SHAP (</w:t>
            </w:r>
            <w:r>
              <w:rPr>
                <w:rFonts w:ascii="Consolas" w:hAnsi="Consolas"/>
                <w:sz w:val="19"/>
              </w:rPr>
              <w:t>pred_contribs</w:t>
            </w:r>
            <w:r>
              <w:t>/</w:t>
            </w:r>
            <w:r>
              <w:rPr>
                <w:rFonts w:ascii="Consolas" w:hAnsi="Consolas"/>
                <w:sz w:val="19"/>
              </w:rPr>
              <w:t>pred_contrib</w:t>
            </w:r>
            <w:r>
              <w:t>)</w:t>
            </w:r>
          </w:p>
        </w:tc>
        <w:tc>
          <w:tcPr>
            <w:tcW w:type="dxa" w:w="2880"/>
          </w:tcPr>
          <w:p>
            <w:r>
              <w:t>Exact, not approximated; no extra dependency</w:t>
            </w:r>
          </w:p>
        </w:tc>
      </w:tr>
      <w:tr>
        <w:tc>
          <w:tcPr>
            <w:tcW w:type="dxa" w:w="2880"/>
          </w:tcPr>
          <w:p>
            <w:r>
              <w:t>Rules/pricing</w:t>
            </w:r>
          </w:p>
        </w:tc>
        <w:tc>
          <w:tcPr>
            <w:tcW w:type="dxa" w:w="2880"/>
          </w:tcPr>
          <w:p>
            <w:r>
              <w:t>Plain Python (</w:t>
            </w:r>
            <w:r>
              <w:rPr>
                <w:rFonts w:ascii="Consolas" w:hAnsi="Consolas"/>
                <w:sz w:val="19"/>
              </w:rPr>
              <w:t>rules/rules_engine.py</w:t>
            </w:r>
            <w:r>
              <w:t>)</w:t>
            </w:r>
          </w:p>
        </w:tc>
        <w:tc>
          <w:tcPr>
            <w:tcW w:type="dxa" w:w="2880"/>
          </w:tcPr>
          <w:p>
            <w:r>
              <w:t>Auditable, reproducible, policy-owned, not learned</w:t>
            </w:r>
          </w:p>
        </w:tc>
      </w:tr>
      <w:tr>
        <w:tc>
          <w:tcPr>
            <w:tcW w:type="dxa" w:w="2880"/>
          </w:tcPr>
          <w:p>
            <w:r>
              <w:t>AI narrative</w:t>
            </w:r>
          </w:p>
        </w:tc>
        <w:tc>
          <w:tcPr>
            <w:tcW w:type="dxa" w:w="2880"/>
          </w:tcPr>
          <w:p>
            <w:r>
              <w:t xml:space="preserve">Azure OpenAI (GPT-4o) via </w:t>
            </w:r>
            <w:r>
              <w:rPr>
                <w:rFonts w:ascii="Consolas" w:hAnsi="Consolas"/>
                <w:sz w:val="19"/>
              </w:rPr>
              <w:t>openai</w:t>
            </w:r>
            <w:r>
              <w:t xml:space="preserve"> SDK</w:t>
            </w:r>
          </w:p>
        </w:tc>
        <w:tc>
          <w:tcPr>
            <w:tcW w:type="dxa" w:w="2880"/>
          </w:tcPr>
          <w:p>
            <w:r>
              <w:t>Narrates only; graceful fallback if unavailable</w:t>
            </w:r>
          </w:p>
        </w:tc>
      </w:tr>
      <w:tr>
        <w:tc>
          <w:tcPr>
            <w:tcW w:type="dxa" w:w="2880"/>
          </w:tcPr>
          <w:p>
            <w:r>
              <w:t>App/UI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streamlit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plotly</w:t>
            </w:r>
          </w:p>
        </w:tc>
        <w:tc>
          <w:tcPr>
            <w:tcW w:type="dxa" w:w="2880"/>
          </w:tcPr>
          <w:p>
            <w:r>
              <w:t>Rapid internal tooling, native charting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pandas</w:t>
            </w:r>
            <w:r>
              <w:t>/</w:t>
            </w:r>
            <w:r>
              <w:rPr>
                <w:rFonts w:ascii="Consolas" w:hAnsi="Consolas"/>
                <w:sz w:val="19"/>
              </w:rPr>
              <w:t>pyarrow</w:t>
            </w:r>
            <w:r>
              <w:t xml:space="preserve"> (Parquet), synthetic 22,000-row book</w:t>
            </w:r>
          </w:p>
        </w:tc>
        <w:tc>
          <w:tcPr>
            <w:tcW w:type="dxa" w:w="2880"/>
          </w:tcPr>
          <w:p>
            <w:r>
              <w:t>Fast columnar I/O for the batch-scored book</w:t>
            </w:r>
          </w:p>
        </w:tc>
      </w:tr>
    </w:tbl>
    <w:p/>
    <w:p>
      <w:pPr>
        <w:pStyle w:val="Heading2"/>
      </w:pPr>
      <w:r>
        <w:t>9. Other model types considered / why not</w:t>
      </w:r>
    </w:p>
    <w:p>
      <w:r>
        <w:t>To be direct about what's actually in this repo versus what a review would</w:t>
      </w:r>
    </w:p>
    <w:p>
      <w:r>
        <w:t>typically ask about: **no alternative model type was benchmarked in</w:t>
      </w:r>
    </w:p>
    <w:p>
      <w:r>
        <w:t xml:space="preserve">code** — </w:t>
      </w:r>
      <w:r>
        <w:rPr>
          <w:rFonts w:ascii="Consolas" w:hAnsi="Consolas"/>
          <w:sz w:val="19"/>
        </w:rPr>
        <w:t>train/evaluate_models.py</w:t>
      </w:r>
      <w:r>
        <w:t xml:space="preserve"> reports the three shipped models'</w:t>
      </w:r>
    </w:p>
    <w:p>
      <w:r>
        <w:t>own held-out performance (lift/calibration tables, deviance, AUC/log-loss/</w:t>
      </w:r>
    </w:p>
    <w:p>
      <w:r>
        <w:t>Brier), not a bake-off against other candidates. That's worth stating</w:t>
      </w:r>
    </w:p>
    <w:p>
      <w:r>
        <w:t>plainly rather than implying a comparison happened that didn't. What</w:t>
      </w:r>
    </w:p>
    <w:p>
      <w:r>
        <w:t>follows is the standard alternative for each model and why it wasn't the</w:t>
      </w:r>
    </w:p>
    <w:p>
      <w:r>
        <w:t>better fit here: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Standard alternative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 it wasn't chosen instead</w:t>
            </w:r>
          </w:p>
        </w:tc>
      </w:tr>
      <w:tr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 xml:space="preserve">Poisson </w:t>
            </w:r>
            <w:r>
              <w:rPr>
                <w:b/>
              </w:rPr>
              <w:t>GLM</w:t>
            </w:r>
            <w:r>
              <w:t xml:space="preserve"> (no trees)</w:t>
            </w:r>
          </w:p>
        </w:tc>
        <w:tc>
          <w:tcPr>
            <w:tcW w:type="dxa" w:w="2880"/>
          </w:tcPr>
          <w:p>
            <w:r>
              <w:t>Additive-only; misses the nonlinear interactions (age × territory × mileage) that gradient boosting captures without hand-built interaction terms</w:t>
            </w:r>
          </w:p>
        </w:tc>
      </w:tr>
      <w:tr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Tweedie GLM/GBM</w:t>
            </w:r>
            <w:r>
              <w:t xml:space="preserve"> modeling frequency × severity jointly as one "pure premium" target</w:t>
            </w:r>
          </w:p>
        </w:tc>
        <w:tc>
          <w:tcPr>
            <w:tcW w:type="dxa" w:w="2880"/>
          </w:tcPr>
          <w:p>
            <w:r>
              <w:t>Common in practice, but collapses two actuarially distinct processes into one model and one set of diagnostics - harder to explain "why is this expensive" (frequency-driven vs. severity-driven) to an underwriter</w:t>
            </w:r>
          </w:p>
        </w:tc>
      </w:tr>
      <w:tr>
        <w:tc>
          <w:tcPr>
            <w:tcW w:type="dxa" w:w="2880"/>
          </w:tcPr>
          <w:p>
            <w:r>
              <w:t>Severity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Log-normal</w:t>
            </w:r>
            <w:r>
              <w:t xml:space="preserve"> OLS on log(severity)</w:t>
            </w:r>
          </w:p>
        </w:tc>
        <w:tc>
          <w:tcPr>
            <w:tcW w:type="dxa" w:w="2880"/>
          </w:tcPr>
          <w:p>
            <w:r>
              <w:t>Gamma is the closer distributional match to claim-severity's shape (Gamma's variance ∝ mean², matching how large claims are also more variable) and gives a direct multiplicative interpretation via the log link</w:t>
            </w:r>
          </w:p>
        </w:tc>
      </w:tr>
      <w:tr>
        <w:tc>
          <w:tcPr>
            <w:tcW w:type="dxa" w:w="2880"/>
          </w:tcPr>
          <w:p>
            <w:r>
              <w:t>Severity</w:t>
            </w:r>
          </w:p>
        </w:tc>
        <w:tc>
          <w:tcPr>
            <w:tcW w:type="dxa" w:w="2880"/>
          </w:tcPr>
          <w:p>
            <w:r>
              <w:t>Gradient-boosted regressor (XGBoost, same family as frequency)</w:t>
            </w:r>
          </w:p>
        </w:tc>
        <w:tc>
          <w:tcPr>
            <w:tcW w:type="dxa" w:w="2880"/>
          </w:tcPr>
          <w:p>
            <w:r>
              <w:t>Would drop the exact-coefficient explainability the Gamma GLM gives for free; considered, not used, specifically to keep severity's dollar-driver explanations exact rather than SHAP-approximated</w:t>
            </w:r>
          </w:p>
        </w:tc>
      </w:tr>
      <w:tr>
        <w:tc>
          <w:tcPr>
            <w:tcW w:type="dxa" w:w="2880"/>
          </w:tcPr>
          <w:p>
            <w:r>
              <w:t>Bind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Logistic regression</w:t>
            </w:r>
          </w:p>
        </w:tc>
        <w:tc>
          <w:tcPr>
            <w:tcW w:type="dxa" w:w="2880"/>
          </w:tcPr>
          <w:p>
            <w:r>
              <w:t>Simpler and directly interpretable, but weaker on the categorical/behavioral feature mix here (channel, price-sensitivity band, state) without manual interaction terms; LightGBM was chosen over XGBoost for this one specifically for training/inference speed on repeated what-if re-scoring</w:t>
            </w:r>
          </w:p>
        </w:tc>
      </w:tr>
      <w:tr>
        <w:tc>
          <w:tcPr>
            <w:tcW w:type="dxa" w:w="2880"/>
          </w:tcPr>
          <w:p>
            <w:r>
              <w:t>All three</w:t>
            </w:r>
          </w:p>
        </w:tc>
        <w:tc>
          <w:tcPr>
            <w:tcW w:type="dxa" w:w="2880"/>
          </w:tcPr>
          <w:p>
            <w:r>
              <w:t>Neural network</w:t>
            </w:r>
          </w:p>
        </w:tc>
        <w:tc>
          <w:tcPr>
            <w:tcW w:type="dxa" w:w="2880"/>
          </w:tcPr>
          <w:p>
            <w:r>
              <w:t>Ruled out outright at ~22,000 rows - not enough data to earn a benefit over trees/GLMs, and would trade away the exact native explainability described in §4 for an approximate post-hoc method</w:t>
            </w:r>
          </w:p>
        </w:tc>
      </w:tr>
    </w:tbl>
    <w:p/>
    <w:p>
      <w:r>
        <w:t>If a formal bake-off against these alternatives is wanted for the review,</w:t>
      </w:r>
    </w:p>
    <w:p>
      <w:r>
        <w:t>that's a follow-on exercise (retrain each candidate on the same</w:t>
      </w:r>
    </w:p>
    <w:p>
      <w:r>
        <w:t>time-based split, compare on the same lift/calibration/AUC metrics</w:t>
      </w:r>
    </w:p>
    <w:p>
      <w:r>
        <w:rPr>
          <w:rFonts w:ascii="Consolas" w:hAnsi="Consolas"/>
          <w:sz w:val="19"/>
        </w:rPr>
        <w:t>evaluate_models.py</w:t>
      </w:r>
      <w:r>
        <w:t xml:space="preserve"> already reports) - flag it and it can be scoped</w:t>
      </w:r>
    </w:p>
    <w:p>
      <w:r>
        <w:t>separately.</w:t>
      </w:r>
    </w:p>
    <w:p>
      <w:pPr>
        <w:pStyle w:val="Heading2"/>
      </w:pPr>
      <w:r>
        <w:t>10. Global feature importance — what actually drives each model</w:t>
      </w:r>
    </w:p>
    <w:p>
      <w:r>
        <w:t>Per-submission reason codes (§4) answer "why did *this* risk score this</w:t>
      </w:r>
    </w:p>
    <w:p>
      <w:r>
        <w:t>way." The question "what drives the model overall" is different — it's</w:t>
      </w:r>
    </w:p>
    <w:p>
      <w:r>
        <w:t xml:space="preserve">the </w:t>
      </w:r>
      <w:r>
        <w:rPr>
          <w:b/>
        </w:rPr>
        <w:t>mean absolute SHAP contribution across many rows</w:t>
      </w:r>
      <w:r>
        <w:t>, not just one.</w:t>
      </w:r>
    </w:p>
    <w:p>
      <w:r>
        <w:t>Computed directly against the three shipped models over a 4,000-row sample</w:t>
      </w:r>
    </w:p>
    <w:p>
      <w:r>
        <w:t>of the book (not estimated/guessed):</w:t>
      </w:r>
    </w:p>
    <w:p>
      <w:r>
        <w:rPr>
          <w:b/>
        </w:rPr>
        <w:t>Frequency (XGBoost, true Shapley contributions via `pred_contribs`):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Rank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Share of total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Annual Mileage</w:t>
            </w:r>
          </w:p>
        </w:tc>
        <w:tc>
          <w:tcPr>
            <w:tcW w:type="dxa" w:w="2880"/>
          </w:tcPr>
          <w:p>
            <w:r>
              <w:t>13.1%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Driver Age</w:t>
            </w:r>
          </w:p>
        </w:tc>
        <w:tc>
          <w:tcPr>
            <w:tcW w:type="dxa" w:w="2880"/>
          </w:tcPr>
          <w:p>
            <w:r>
              <w:t>7.1%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Prior Claims (5Y)</w:t>
            </w:r>
          </w:p>
        </w:tc>
        <w:tc>
          <w:tcPr>
            <w:tcW w:type="dxa" w:w="2880"/>
          </w:tcPr>
          <w:p>
            <w:r>
              <w:t>4.2%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Rapid Acceleration Rate</w:t>
            </w:r>
          </w:p>
        </w:tc>
        <w:tc>
          <w:tcPr>
            <w:tcW w:type="dxa" w:w="2880"/>
          </w:tcPr>
          <w:p>
            <w:r>
              <w:t>3.9%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Months Since Last Claim</w:t>
            </w:r>
          </w:p>
        </w:tc>
        <w:tc>
          <w:tcPr>
            <w:tcW w:type="dxa" w:w="2880"/>
          </w:tcPr>
          <w:p>
            <w:r>
              <w:t>3.2%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Distracted Driving Score</w:t>
            </w:r>
          </w:p>
        </w:tc>
        <w:tc>
          <w:tcPr>
            <w:tcW w:type="dxa" w:w="2880"/>
          </w:tcPr>
          <w:p>
            <w:r>
              <w:t>2.9%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Moving Violations (3Y)</w:t>
            </w:r>
          </w:p>
        </w:tc>
        <w:tc>
          <w:tcPr>
            <w:tcW w:type="dxa" w:w="2880"/>
          </w:tcPr>
          <w:p>
            <w:r>
              <w:t>2.7%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Speeding Rate</w:t>
            </w:r>
          </w:p>
        </w:tc>
        <w:tc>
          <w:tcPr>
            <w:tcW w:type="dxa" w:w="2880"/>
          </w:tcPr>
          <w:p>
            <w:r>
              <w:t>2.7%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Vehicle Theft Risk Score</w:t>
            </w:r>
          </w:p>
        </w:tc>
        <w:tc>
          <w:tcPr>
            <w:tcW w:type="dxa" w:w="2880"/>
          </w:tcPr>
          <w:p>
            <w:r>
              <w:t>2.7%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Years Licensed</w:t>
            </w:r>
          </w:p>
        </w:tc>
        <w:tc>
          <w:tcPr>
            <w:tcW w:type="dxa" w:w="2880"/>
          </w:tcPr>
          <w:p>
            <w:r>
              <w:t>2.6%</w:t>
            </w:r>
          </w:p>
        </w:tc>
      </w:tr>
    </w:tbl>
    <w:p/>
    <w:p>
      <w:r>
        <w:rPr>
          <w:b/>
        </w:rPr>
        <w:t>Severity (Gamma GLM, |coefficient × value|):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Rank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Share of total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Telematics Safety Score</w:t>
            </w:r>
          </w:p>
        </w:tc>
        <w:tc>
          <w:tcPr>
            <w:tcW w:type="dxa" w:w="2880"/>
          </w:tcPr>
          <w:p>
            <w:r>
              <w:t>31.7%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CAT Exposure Score</w:t>
            </w:r>
          </w:p>
        </w:tc>
        <w:tc>
          <w:tcPr>
            <w:tcW w:type="dxa" w:w="2880"/>
          </w:tcPr>
          <w:p>
            <w:r>
              <w:t>11.1%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Medical Cost Index</w:t>
            </w:r>
          </w:p>
        </w:tc>
        <w:tc>
          <w:tcPr>
            <w:tcW w:type="dxa" w:w="2880"/>
          </w:tcPr>
          <w:p>
            <w:r>
              <w:t>6.7%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Distracted Driving Score</w:t>
            </w:r>
          </w:p>
        </w:tc>
        <w:tc>
          <w:tcPr>
            <w:tcW w:type="dxa" w:w="2880"/>
          </w:tcPr>
          <w:p>
            <w:r>
              <w:t>5.1%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Speeding Rate</w:t>
            </w:r>
          </w:p>
        </w:tc>
        <w:tc>
          <w:tcPr>
            <w:tcW w:type="dxa" w:w="2880"/>
          </w:tcPr>
          <w:p>
            <w:r>
              <w:t>4.4%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Hail Risk Score</w:t>
            </w:r>
          </w:p>
        </w:tc>
        <w:tc>
          <w:tcPr>
            <w:tcW w:type="dxa" w:w="2880"/>
          </w:tcPr>
          <w:p>
            <w:r>
              <w:t>3.2%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Hard Braking Rate</w:t>
            </w:r>
          </w:p>
        </w:tc>
        <w:tc>
          <w:tcPr>
            <w:tcW w:type="dxa" w:w="2880"/>
          </w:tcPr>
          <w:p>
            <w:r>
              <w:t>3.1%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Flood Risk Score</w:t>
            </w:r>
          </w:p>
        </w:tc>
        <w:tc>
          <w:tcPr>
            <w:tcW w:type="dxa" w:w="2880"/>
          </w:tcPr>
          <w:p>
            <w:r>
              <w:t>2.6%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Repairability Score</w:t>
            </w:r>
          </w:p>
        </w:tc>
        <w:tc>
          <w:tcPr>
            <w:tcW w:type="dxa" w:w="2880"/>
          </w:tcPr>
          <w:p>
            <w:r>
              <w:t>2.4%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Weather Risk Score</w:t>
            </w:r>
          </w:p>
        </w:tc>
        <w:tc>
          <w:tcPr>
            <w:tcW w:type="dxa" w:w="2880"/>
          </w:tcPr>
          <w:p>
            <w:r>
              <w:t>2.3%</w:t>
            </w:r>
          </w:p>
        </w:tc>
      </w:tr>
    </w:tbl>
    <w:p/>
    <w:p>
      <w:r>
        <w:t>*Caveat specific to this table:* unlike the tree models' Shapley values,</w:t>
      </w:r>
    </w:p>
    <w:p>
      <w:r>
        <w:t xml:space="preserve">this is the GLM's raw </w:t>
      </w:r>
      <w:r>
        <w:rPr>
          <w:rFonts w:ascii="Consolas" w:hAnsi="Consolas"/>
          <w:sz w:val="19"/>
        </w:rPr>
        <w:t>coefficient × feature value</w:t>
      </w:r>
      <w:r>
        <w:t>, not zero-centered</w:t>
      </w:r>
    </w:p>
    <w:p>
      <w:r>
        <w:t>against a baseline — a feature with a large coefficient and a large</w:t>
      </w:r>
    </w:p>
    <w:p>
      <w:r>
        <w:t>typical value (e.g. Telematics Safety Score, which is imputed to the</w:t>
      </w:r>
    </w:p>
    <w:p>
      <w:r>
        <w:t>population median for the ~majority of rows that aren't telematics-</w:t>
      </w:r>
    </w:p>
    <w:p>
      <w:r>
        <w:t>enrolled) can rank higher here than it would in a properly centered</w:t>
      </w:r>
    </w:p>
    <w:p>
      <w:r>
        <w:t>decomposition. It's the same computation the app already uses for</w:t>
      </w:r>
    </w:p>
    <w:p>
      <w:r>
        <w:t>per-submission severity reason codes (</w:t>
      </w:r>
      <w:r>
        <w:rPr>
          <w:rFonts w:ascii="Consolas" w:hAnsi="Consolas"/>
          <w:sz w:val="19"/>
        </w:rPr>
        <w:t>explain.py</w:t>
      </w:r>
      <w:r>
        <w:t>), just aggregated</w:t>
      </w:r>
    </w:p>
    <w:p>
      <w:r>
        <w:t>across rows — so it's consistent with what's on screen, but it should be</w:t>
      </w:r>
    </w:p>
    <w:p>
      <w:r>
        <w:t>read as "which features carry the most weight in the formula," not a</w:t>
      </w:r>
    </w:p>
    <w:p>
      <w:r>
        <w:t>strictly apples-to-apples ranking against the frequency/bind tables.</w:t>
      </w:r>
    </w:p>
    <w:p>
      <w:r>
        <w:rPr>
          <w:b/>
        </w:rPr>
        <w:t>Bind Probability (LightGBM, true Shapley contributions via `pred_contrib`):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Rank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Share of total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Premium Change Percentage (vs. last year)</w:t>
            </w:r>
          </w:p>
        </w:tc>
        <w:tc>
          <w:tcPr>
            <w:tcW w:type="dxa" w:w="2880"/>
          </w:tcPr>
          <w:p>
            <w:r>
              <w:t>24.9%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Final Quoted Premium</w:t>
            </w:r>
          </w:p>
        </w:tc>
        <w:tc>
          <w:tcPr>
            <w:tcW w:type="dxa" w:w="2880"/>
          </w:tcPr>
          <w:p>
            <w:r>
              <w:t>13.0%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Multi-Policy: No</w:t>
            </w:r>
          </w:p>
        </w:tc>
        <w:tc>
          <w:tcPr>
            <w:tcW w:type="dxa" w:w="2880"/>
          </w:tcPr>
          <w:p>
            <w:r>
              <w:t>9.3%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Customer Tenure (Years)</w:t>
            </w:r>
          </w:p>
        </w:tc>
        <w:tc>
          <w:tcPr>
            <w:tcW w:type="dxa" w:w="2880"/>
          </w:tcPr>
          <w:p>
            <w:r>
              <w:t>8.8%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Agent Engagement Score</w:t>
            </w:r>
          </w:p>
        </w:tc>
        <w:tc>
          <w:tcPr>
            <w:tcW w:type="dxa" w:w="2880"/>
          </w:tcPr>
          <w:p>
            <w:r>
              <w:t>4.9%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Submission Channel: Agent</w:t>
            </w:r>
          </w:p>
        </w:tc>
        <w:tc>
          <w:tcPr>
            <w:tcW w:type="dxa" w:w="2880"/>
          </w:tcPr>
          <w:p>
            <w:r>
              <w:t>4.7%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Submission Channel: Aggregator</w:t>
            </w:r>
          </w:p>
        </w:tc>
        <w:tc>
          <w:tcPr>
            <w:tcW w:type="dxa" w:w="2880"/>
          </w:tcPr>
          <w:p>
            <w:r>
              <w:t>4.0%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Prior Year Premium</w:t>
            </w:r>
          </w:p>
        </w:tc>
        <w:tc>
          <w:tcPr>
            <w:tcW w:type="dxa" w:w="2880"/>
          </w:tcPr>
          <w:p>
            <w:r>
              <w:t>4.0%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Quote Revisions</w:t>
            </w:r>
          </w:p>
        </w:tc>
        <w:tc>
          <w:tcPr>
            <w:tcW w:type="dxa" w:w="2880"/>
          </w:tcPr>
          <w:p>
            <w:r>
              <w:t>3.9%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Digital Engagement Score</w:t>
            </w:r>
          </w:p>
        </w:tc>
        <w:tc>
          <w:tcPr>
            <w:tcW w:type="dxa" w:w="2880"/>
          </w:tcPr>
          <w:p>
            <w:r>
              <w:t>3.4%</w:t>
            </w:r>
          </w:p>
        </w:tc>
      </w:tr>
    </w:tbl>
    <w:p/>
    <w:p>
      <w:r>
        <w:rPr>
          <w:b/>
        </w:rPr>
        <w:t>Read across all three:</w:t>
      </w:r>
      <w:r>
        <w:t xml:space="preserve"> frequency is driven mostly by exposure/behavior</w:t>
      </w:r>
    </w:p>
    <w:p>
      <w:r>
        <w:t>(mileage, age, prior claims, telematics behavior signals); severity is</w:t>
      </w:r>
    </w:p>
    <w:p>
      <w:r>
        <w:t>driven by cost-environment factors (CAT/weather exposure, medical cost</w:t>
      </w:r>
    </w:p>
    <w:p>
      <w:r>
        <w:t>index) plus the telematics caveat above; bind is overwhelmingly a pricing-</w:t>
      </w:r>
    </w:p>
    <w:p>
      <w:r>
        <w:t>shock and relationship story (premium change, tenure, multi-policy,</w:t>
      </w:r>
    </w:p>
    <w:p>
      <w:r>
        <w:t>channel) — which is exactly the "behavioral, not loss-cost" separation</w:t>
      </w:r>
    </w:p>
    <w:p>
      <w:r>
        <w:t>§2.4 argues the three-model design exists to preserve.</w:t>
      </w:r>
    </w:p>
    <w:p>
      <w:pPr>
        <w:pStyle w:val="Heading2"/>
      </w:pPr>
      <w:r>
        <w:t>11. Common technical-review questions, answered directly</w:t>
      </w:r>
    </w:p>
    <w:p>
      <w:r>
        <w:rPr>
          <w:b/>
        </w:rPr>
        <w:t>"Why three models instead of one?"</w:t>
      </w:r>
      <w:r>
        <w:t xml:space="preserve"> — Loss cost and bind probability are</w:t>
      </w:r>
    </w:p>
    <w:p>
      <w:r>
        <w:t>actuarially and regulatorily distinct; keeping them separate (and feature-</w:t>
      </w:r>
    </w:p>
    <w:p>
      <w:r>
        <w:t>isolated, see §2.4) keeps each independently auditable and matches how a</w:t>
      </w:r>
    </w:p>
    <w:p>
      <w:r>
        <w:t>real pricing/underwriting org is actually governed.</w:t>
      </w:r>
    </w:p>
    <w:p>
      <w:r>
        <w:rPr>
          <w:b/>
        </w:rPr>
        <w:t>"Why isn't the premium itself ML-predicted?"</w:t>
      </w:r>
      <w:r>
        <w:t xml:space="preserve"> — Because premium</w:t>
      </w:r>
    </w:p>
    <w:p>
      <w:r>
        <w:t>includes policy decisions (loads, margin, hard-stops) that must be</w:t>
      </w:r>
    </w:p>
    <w:p>
      <w:r>
        <w:t>attributable to management/actuarial sign-off, not to a model that could</w:t>
      </w:r>
    </w:p>
    <w:p>
      <w:r>
        <w:t>silently drift with retraining.</w:t>
      </w:r>
    </w:p>
    <w:p>
      <w:r>
        <w:rPr>
          <w:b/>
        </w:rPr>
        <w:t>"How do we know the explanations are correct, not just plausible?"</w:t>
      </w:r>
      <w:r>
        <w:t xml:space="preserve"> —</w:t>
      </w:r>
    </w:p>
    <w:p>
      <w:r>
        <w:t>They're either an exact Shapley decomposition (tree models, mathematically</w:t>
      </w:r>
    </w:p>
    <w:p>
      <w:r>
        <w:t>guaranteed to sum to the prediction) or exact GLM coefficients, or exact</w:t>
      </w:r>
    </w:p>
    <w:p>
      <w:r>
        <w:t>arithmetic (the appetite penalty formula) — never an approximation, and the</w:t>
      </w:r>
    </w:p>
    <w:p>
      <w:r>
        <w:t>audit panel reconciles the numbers to prove it.</w:t>
      </w:r>
    </w:p>
    <w:p>
      <w:r>
        <w:rPr>
          <w:b/>
        </w:rPr>
        <w:t>"What happens if the AI narrative service goes down?"</w:t>
      </w:r>
      <w:r>
        <w:t xml:space="preserve"> — Nothing</w:t>
      </w:r>
    </w:p>
    <w:p>
      <w:r>
        <w:t xml:space="preserve">breaks. Every function in </w:t>
      </w:r>
      <w:r>
        <w:rPr>
          <w:rFonts w:ascii="Consolas" w:hAnsi="Consolas"/>
          <w:sz w:val="19"/>
        </w:rPr>
        <w:t>ai_narrator.py</w:t>
      </w:r>
      <w:r>
        <w:t xml:space="preserve"> returns </w:t>
      </w:r>
      <w:r>
        <w:rPr>
          <w:rFonts w:ascii="Consolas" w:hAnsi="Consolas"/>
          <w:sz w:val="19"/>
        </w:rPr>
        <w:t>None</w:t>
      </w:r>
      <w:r>
        <w:t xml:space="preserve"> on any failure,</w:t>
      </w:r>
    </w:p>
    <w:p>
      <w:r>
        <w:t>and the app falls back to the existing rule-based summary text.</w:t>
      </w:r>
    </w:p>
    <w:p>
      <w:r>
        <w:rPr>
          <w:b/>
        </w:rPr>
        <w:t>"How were the models validated?"</w:t>
      </w:r>
      <w:r>
        <w:t xml:space="preserve"> — Time-based (not random) 80/20</w:t>
      </w:r>
    </w:p>
    <w:p>
      <w:r>
        <w:t>split by quote date, per §3, with held-out predictions persisted for</w:t>
      </w:r>
    </w:p>
    <w:p>
      <w:r>
        <w:t>independent evaluation (</w:t>
      </w:r>
      <w:r>
        <w:rPr>
          <w:rFonts w:ascii="Consolas" w:hAnsi="Consolas"/>
          <w:sz w:val="19"/>
        </w:rPr>
        <w:t>train/evaluate_models.py</w:t>
      </w:r>
      <w:r>
        <w:t>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