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shd w:val="clear" w:color="auto" w:fill="0B1C2D"/>
      </w:pPr>
      <w:r>
        <w:rPr>
          <w:rFonts w:ascii="Times New Roman" w:hAnsi="Times New Roman"/>
          <w:b/>
          <w:color w:val="FFFFFF"/>
          <w:sz w:val="36"/>
        </w:rPr>
        <w:t xml:space="preserve">  BRAINWARE UNIVERSITY  </w:t>
      </w:r>
    </w:p>
    <w:p>
      <w:pPr>
        <w:spacing w:after="80"/>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brainware_logo.png"/>
                    <pic:cNvPicPr/>
                  </pic:nvPicPr>
                  <pic:blipFill>
                    <a:blip r:embed="rId11"/>
                    <a:stretch>
                      <a:fillRect/>
                    </a:stretch>
                  </pic:blipFill>
                  <pic:spPr>
                    <a:xfrm>
                      <a:off x="0" y="0"/>
                      <a:ext cx="1097280" cy="1097280"/>
                    </a:xfrm>
                    <a:prstGeom prst="rect"/>
                  </pic:spPr>
                </pic:pic>
              </a:graphicData>
            </a:graphic>
          </wp:inline>
        </w:drawing>
      </w:r>
      <w:r>
        <w:t xml:space="preserve">          </w:t>
      </w:r>
      <w:r>
        <w:drawing>
          <wp:inline xmlns:a="http://schemas.openxmlformats.org/drawingml/2006/main" xmlns:pic="http://schemas.openxmlformats.org/drawingml/2006/picture">
            <wp:extent cx="2011680" cy="507009"/>
            <wp:docPr id="2" name="Picture 2"/>
            <wp:cNvGraphicFramePr>
              <a:graphicFrameLocks noChangeAspect="1"/>
            </wp:cNvGraphicFramePr>
            <a:graphic>
              <a:graphicData uri="http://schemas.openxmlformats.org/drawingml/2006/picture">
                <pic:pic>
                  <pic:nvPicPr>
                    <pic:cNvPr id="0" name="ardent_logo.png"/>
                    <pic:cNvPicPr/>
                  </pic:nvPicPr>
                  <pic:blipFill>
                    <a:blip r:embed="rId12"/>
                    <a:stretch>
                      <a:fillRect/>
                    </a:stretch>
                  </pic:blipFill>
                  <pic:spPr>
                    <a:xfrm>
                      <a:off x="0" y="0"/>
                      <a:ext cx="2011680" cy="507009"/>
                    </a:xfrm>
                    <a:prstGeom prst="rect"/>
                  </pic:spPr>
                </pic:pic>
              </a:graphicData>
            </a:graphic>
          </wp:inline>
        </w:drawing>
      </w:r>
    </w:p>
    <w:p>
      <w:pPr>
        <w:spacing w:line="360" w:lineRule="auto" w:after="20" w:before="0"/>
        <w:jc w:val="center"/>
      </w:pPr>
      <w:r>
        <w:rPr>
          <w:rFonts w:ascii="Times New Roman" w:hAnsi="Times New Roman"/>
          <w:b/>
          <w:i w:val="0"/>
          <w:color w:val="0B1C2D"/>
          <w:sz w:val="30"/>
        </w:rPr>
        <w:t>BRAINWARE UNIVERSITY</w:t>
      </w:r>
    </w:p>
    <w:p>
      <w:pPr>
        <w:spacing w:line="360" w:lineRule="auto" w:after="120" w:before="0"/>
        <w:jc w:val="center"/>
      </w:pPr>
      <w:r>
        <w:rPr>
          <w:rFonts w:ascii="Times New Roman" w:hAnsi="Times New Roman"/>
          <w:b/>
          <w:i w:val="0"/>
          <w:sz w:val="22"/>
        </w:rPr>
        <w:t>Department of Computer Science &amp; Engineering - CS &amp; DS</w:t>
      </w:r>
    </w:p>
    <w:p>
      <w:pPr>
        <w:spacing w:before="40" w:after="40"/>
        <w:pBdr>
          <w:bottom w:val="single" w:sz="4" w:space="1" w:color="CBD5E1"/>
        </w:pBdr>
      </w:pPr>
    </w:p>
    <w:p>
      <w:pPr>
        <w:spacing w:before="200" w:after="80"/>
        <w:jc w:val="center"/>
        <w:pBdr>
          <w:bottom w:val="single" w:sz="6" w:space="1" w:color="C8A02A"/>
          <w:top w:val="single" w:sz="6" w:space="4" w:color="C8A02A"/>
          <w:left w:val="single" w:sz="6" w:space="4" w:color="C8A02A"/>
          <w:right w:val="single" w:sz="6" w:space="4" w:color="C8A02A"/>
        </w:pBdr>
      </w:pPr>
      <w:r>
        <w:rPr>
          <w:rFonts w:ascii="Times New Roman" w:hAnsi="Times New Roman"/>
          <w:b/>
          <w:color w:val="0B1C2D"/>
          <w:sz w:val="26"/>
        </w:rPr>
        <w:t>NOETRIX: AN EXPLAINABLE RESUME SCREENING AND TAILORING SYSTEM WITH GUARDRAILED GENERATIVE AI</w:t>
      </w:r>
    </w:p>
    <w:p>
      <w:pPr>
        <w:spacing w:line="360" w:lineRule="auto" w:after="80" w:before="0"/>
        <w:jc w:val="center"/>
      </w:pPr>
      <w:r>
        <w:rPr>
          <w:rFonts w:ascii="Times New Roman" w:hAnsi="Times New Roman"/>
          <w:b/>
          <w:i/>
          <w:sz w:val="20"/>
        </w:rPr>
        <w:t>A CAPSTONE ENGINEERING PROJECT REPORT</w:t>
      </w:r>
    </w:p>
    <w:p>
      <w:pPr>
        <w:spacing w:line="360" w:lineRule="auto" w:after="200" w:before="0"/>
        <w:jc w:val="center"/>
      </w:pPr>
      <w:r>
        <w:rPr>
          <w:rFonts w:ascii="Times New Roman" w:hAnsi="Times New Roman"/>
          <w:b w:val="0"/>
          <w:i w:val="0"/>
          <w:sz w:val="19"/>
        </w:rPr>
        <w:t>In partial fulfillment of the requirements for the award of the degree of</w:t>
        <w:br/>
        <w:t>BACHELOR OF TECHNOLOGY IN COMPUTER SCIENCE AND ENGINEERING</w:t>
      </w:r>
    </w:p>
    <w:p>
      <w:pPr>
        <w:spacing w:before="40" w:after="40"/>
        <w:pBdr>
          <w:bottom w:val="single" w:sz="4" w:space="1" w:color="CBD5E1"/>
        </w:pBdr>
      </w:pPr>
    </w:p>
    <w:p>
      <w:pPr>
        <w:spacing w:line="360" w:lineRule="auto" w:after="60" w:before="0"/>
        <w:jc w:val="center"/>
      </w:pPr>
      <w:r>
        <w:rPr>
          <w:rFonts w:ascii="Times New Roman" w:hAnsi="Times New Roman"/>
          <w:b/>
          <w:i w:val="0"/>
          <w:color w:val="1E406B"/>
          <w:sz w:val="21"/>
        </w:rPr>
        <w:t>Submitted by:</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shd w:val="clear" w:color="auto" w:fill="0B1C2D"/>
          </w:tcPr>
          <w:p>
            <w:pPr>
              <w:spacing w:after="20"/>
              <w:jc w:val="center"/>
            </w:pPr>
            <w:r>
              <w:rPr>
                <w:rFonts w:ascii="Times New Roman" w:hAnsi="Times New Roman"/>
                <w:b/>
                <w:color w:val="FFFFFF"/>
                <w:sz w:val="19"/>
              </w:rPr>
              <w:t>Candidate Name</w:t>
            </w:r>
          </w:p>
        </w:tc>
        <w:tc>
          <w:tcPr>
            <w:tcW w:type="dxa" w:w="2250"/>
            <w:shd w:val="clear" w:color="auto" w:fill="0B1C2D"/>
          </w:tcPr>
          <w:p>
            <w:pPr>
              <w:spacing w:after="20"/>
              <w:jc w:val="center"/>
            </w:pPr>
            <w:r>
              <w:rPr>
                <w:rFonts w:ascii="Times New Roman" w:hAnsi="Times New Roman"/>
                <w:b/>
                <w:color w:val="FFFFFF"/>
                <w:sz w:val="19"/>
              </w:rPr>
              <w:t>Roll No.</w:t>
            </w:r>
          </w:p>
        </w:tc>
        <w:tc>
          <w:tcPr>
            <w:tcW w:type="dxa" w:w="2250"/>
            <w:shd w:val="clear" w:color="auto" w:fill="0B1C2D"/>
          </w:tcPr>
          <w:p>
            <w:pPr>
              <w:spacing w:after="20"/>
              <w:jc w:val="center"/>
            </w:pPr>
            <w:r>
              <w:rPr>
                <w:rFonts w:ascii="Times New Roman" w:hAnsi="Times New Roman"/>
                <w:b/>
                <w:color w:val="FFFFFF"/>
                <w:sz w:val="19"/>
              </w:rPr>
              <w:t>Student Code</w:t>
            </w:r>
          </w:p>
        </w:tc>
        <w:tc>
          <w:tcPr>
            <w:tcW w:type="dxa" w:w="2250"/>
            <w:shd w:val="clear" w:color="auto" w:fill="0B1C2D"/>
          </w:tcPr>
          <w:p>
            <w:pPr>
              <w:spacing w:after="20"/>
              <w:jc w:val="center"/>
            </w:pPr>
            <w:r>
              <w:rPr>
                <w:rFonts w:ascii="Times New Roman" w:hAnsi="Times New Roman"/>
                <w:b/>
                <w:color w:val="FFFFFF"/>
                <w:sz w:val="19"/>
              </w:rPr>
              <w:t>Project Role</w:t>
            </w:r>
          </w:p>
        </w:tc>
      </w:tr>
      <w:tr>
        <w:tc>
          <w:tcPr>
            <w:tcW w:type="dxa" w:w="2250"/>
          </w:tcPr>
          <w:p>
            <w:pPr>
              <w:spacing w:after="20" w:line="276" w:lineRule="auto"/>
            </w:pPr>
            <w:r>
              <w:rPr>
                <w:rFonts w:ascii="Times New Roman" w:hAnsi="Times New Roman"/>
                <w:sz w:val="18"/>
              </w:rPr>
              <w:t>DHRUBOJYOTI HAZRA</w:t>
            </w:r>
          </w:p>
        </w:tc>
        <w:tc>
          <w:tcPr>
            <w:tcW w:type="dxa" w:w="2250"/>
          </w:tcPr>
          <w:p>
            <w:pPr>
              <w:spacing w:after="20" w:line="276" w:lineRule="auto"/>
            </w:pPr>
            <w:r>
              <w:rPr>
                <w:rFonts w:ascii="Times New Roman" w:hAnsi="Times New Roman"/>
                <w:sz w:val="18"/>
              </w:rPr>
              <w:t>23010333015</w:t>
            </w:r>
          </w:p>
        </w:tc>
        <w:tc>
          <w:tcPr>
            <w:tcW w:type="dxa" w:w="2250"/>
          </w:tcPr>
          <w:p>
            <w:pPr>
              <w:spacing w:after="20" w:line="276" w:lineRule="auto"/>
            </w:pPr>
            <w:r>
              <w:rPr>
                <w:rFonts w:ascii="Times New Roman" w:hAnsi="Times New Roman"/>
                <w:sz w:val="18"/>
              </w:rPr>
              <w:t>BWU/BTD/23/015</w:t>
            </w:r>
          </w:p>
        </w:tc>
        <w:tc>
          <w:tcPr>
            <w:tcW w:type="dxa" w:w="2250"/>
          </w:tcPr>
          <w:p>
            <w:pPr>
              <w:spacing w:after="20" w:line="276" w:lineRule="auto"/>
            </w:pPr>
            <w:r>
              <w:rPr>
                <w:rFonts w:ascii="Times New Roman" w:hAnsi="Times New Roman"/>
                <w:sz w:val="18"/>
              </w:rPr>
              <w:t>Architecture and Deployment</w:t>
            </w:r>
          </w:p>
        </w:tc>
      </w:tr>
      <w:tr>
        <w:tc>
          <w:tcPr>
            <w:tcW w:type="dxa" w:w="2250"/>
            <w:shd w:val="clear" w:color="auto" w:fill="DBE9F8"/>
          </w:tcPr>
          <w:p>
            <w:pPr>
              <w:spacing w:after="20" w:line="276" w:lineRule="auto"/>
            </w:pPr>
            <w:r>
              <w:rPr>
                <w:rFonts w:ascii="Times New Roman" w:hAnsi="Times New Roman"/>
                <w:sz w:val="18"/>
              </w:rPr>
              <w:t>ISHEEKA MUKHOPADHYAY</w:t>
            </w:r>
          </w:p>
        </w:tc>
        <w:tc>
          <w:tcPr>
            <w:tcW w:type="dxa" w:w="2250"/>
            <w:shd w:val="clear" w:color="auto" w:fill="DBE9F8"/>
          </w:tcPr>
          <w:p>
            <w:pPr>
              <w:spacing w:after="20" w:line="276" w:lineRule="auto"/>
            </w:pPr>
            <w:r>
              <w:rPr>
                <w:rFonts w:ascii="Times New Roman" w:hAnsi="Times New Roman"/>
                <w:sz w:val="18"/>
              </w:rPr>
              <w:t>23010333041</w:t>
            </w:r>
          </w:p>
        </w:tc>
        <w:tc>
          <w:tcPr>
            <w:tcW w:type="dxa" w:w="2250"/>
            <w:shd w:val="clear" w:color="auto" w:fill="DBE9F8"/>
          </w:tcPr>
          <w:p>
            <w:pPr>
              <w:spacing w:after="20" w:line="276" w:lineRule="auto"/>
            </w:pPr>
            <w:r>
              <w:rPr>
                <w:rFonts w:ascii="Times New Roman" w:hAnsi="Times New Roman"/>
                <w:sz w:val="18"/>
              </w:rPr>
              <w:t>BWU/BTD/23/042</w:t>
            </w:r>
          </w:p>
        </w:tc>
        <w:tc>
          <w:tcPr>
            <w:tcW w:type="dxa" w:w="2250"/>
            <w:shd w:val="clear" w:color="auto" w:fill="DBE9F8"/>
          </w:tcPr>
          <w:p>
            <w:pPr>
              <w:spacing w:after="20" w:line="276" w:lineRule="auto"/>
            </w:pPr>
            <w:r>
              <w:rPr>
                <w:rFonts w:ascii="Times New Roman" w:hAnsi="Times New Roman"/>
                <w:sz w:val="18"/>
              </w:rPr>
              <w:t>Document Parsing</w:t>
            </w:r>
          </w:p>
        </w:tc>
      </w:tr>
      <w:tr>
        <w:tc>
          <w:tcPr>
            <w:tcW w:type="dxa" w:w="2250"/>
          </w:tcPr>
          <w:p>
            <w:pPr>
              <w:spacing w:after="20" w:line="276" w:lineRule="auto"/>
            </w:pPr>
            <w:r>
              <w:rPr>
                <w:rFonts w:ascii="Times New Roman" w:hAnsi="Times New Roman"/>
                <w:sz w:val="18"/>
              </w:rPr>
              <w:t>SAMPRIKTA DE</w:t>
            </w:r>
          </w:p>
        </w:tc>
        <w:tc>
          <w:tcPr>
            <w:tcW w:type="dxa" w:w="2250"/>
          </w:tcPr>
          <w:p>
            <w:pPr>
              <w:spacing w:after="20" w:line="276" w:lineRule="auto"/>
            </w:pPr>
            <w:r>
              <w:rPr>
                <w:rFonts w:ascii="Times New Roman" w:hAnsi="Times New Roman"/>
                <w:sz w:val="18"/>
              </w:rPr>
              <w:t>23010333055</w:t>
            </w:r>
          </w:p>
        </w:tc>
        <w:tc>
          <w:tcPr>
            <w:tcW w:type="dxa" w:w="2250"/>
          </w:tcPr>
          <w:p>
            <w:pPr>
              <w:spacing w:after="20" w:line="276" w:lineRule="auto"/>
            </w:pPr>
            <w:r>
              <w:rPr>
                <w:rFonts w:ascii="Times New Roman" w:hAnsi="Times New Roman"/>
                <w:sz w:val="18"/>
              </w:rPr>
              <w:t>BWU/BTD/23/056</w:t>
            </w:r>
          </w:p>
        </w:tc>
        <w:tc>
          <w:tcPr>
            <w:tcW w:type="dxa" w:w="2250"/>
          </w:tcPr>
          <w:p>
            <w:pPr>
              <w:spacing w:after="20" w:line="276" w:lineRule="auto"/>
            </w:pPr>
            <w:r>
              <w:rPr>
                <w:rFonts w:ascii="Times New Roman" w:hAnsi="Times New Roman"/>
                <w:sz w:val="18"/>
              </w:rPr>
              <w:t>Scoring and Ranking</w:t>
            </w:r>
          </w:p>
        </w:tc>
      </w:tr>
      <w:tr>
        <w:tc>
          <w:tcPr>
            <w:tcW w:type="dxa" w:w="2250"/>
            <w:shd w:val="clear" w:color="auto" w:fill="DBE9F8"/>
          </w:tcPr>
          <w:p>
            <w:pPr>
              <w:spacing w:after="20" w:line="276" w:lineRule="auto"/>
            </w:pPr>
            <w:r>
              <w:rPr>
                <w:rFonts w:ascii="Times New Roman" w:hAnsi="Times New Roman"/>
                <w:sz w:val="18"/>
              </w:rPr>
              <w:t>ADHIRAJ DAS</w:t>
            </w:r>
          </w:p>
        </w:tc>
        <w:tc>
          <w:tcPr>
            <w:tcW w:type="dxa" w:w="2250"/>
            <w:shd w:val="clear" w:color="auto" w:fill="DBE9F8"/>
          </w:tcPr>
          <w:p>
            <w:pPr>
              <w:spacing w:after="20" w:line="276" w:lineRule="auto"/>
            </w:pPr>
            <w:r>
              <w:rPr>
                <w:rFonts w:ascii="Times New Roman" w:hAnsi="Times New Roman"/>
                <w:sz w:val="18"/>
              </w:rPr>
              <w:t>23010333009</w:t>
            </w:r>
          </w:p>
        </w:tc>
        <w:tc>
          <w:tcPr>
            <w:tcW w:type="dxa" w:w="2250"/>
            <w:shd w:val="clear" w:color="auto" w:fill="DBE9F8"/>
          </w:tcPr>
          <w:p>
            <w:pPr>
              <w:spacing w:after="20" w:line="276" w:lineRule="auto"/>
            </w:pPr>
            <w:r>
              <w:rPr>
                <w:rFonts w:ascii="Times New Roman" w:hAnsi="Times New Roman"/>
                <w:sz w:val="18"/>
              </w:rPr>
              <w:t>BWU/BTD/23/009</w:t>
            </w:r>
          </w:p>
        </w:tc>
        <w:tc>
          <w:tcPr>
            <w:tcW w:type="dxa" w:w="2250"/>
            <w:shd w:val="clear" w:color="auto" w:fill="DBE9F8"/>
          </w:tcPr>
          <w:p>
            <w:pPr>
              <w:spacing w:after="20" w:line="276" w:lineRule="auto"/>
            </w:pPr>
            <w:r>
              <w:rPr>
                <w:rFonts w:ascii="Times New Roman" w:hAnsi="Times New Roman"/>
                <w:sz w:val="18"/>
              </w:rPr>
              <w:t>Tailoring and Export</w:t>
            </w:r>
          </w:p>
        </w:tc>
      </w:tr>
      <w:tr>
        <w:tc>
          <w:tcPr>
            <w:tcW w:type="dxa" w:w="2250"/>
          </w:tcPr>
          <w:p>
            <w:pPr>
              <w:spacing w:after="20" w:line="276" w:lineRule="auto"/>
            </w:pPr>
            <w:r>
              <w:rPr>
                <w:rFonts w:ascii="Times New Roman" w:hAnsi="Times New Roman"/>
                <w:sz w:val="18"/>
              </w:rPr>
              <w:t>TIYASHA BAIDYA</w:t>
            </w:r>
          </w:p>
        </w:tc>
        <w:tc>
          <w:tcPr>
            <w:tcW w:type="dxa" w:w="2250"/>
          </w:tcPr>
          <w:p>
            <w:pPr>
              <w:spacing w:after="20" w:line="276" w:lineRule="auto"/>
            </w:pPr>
            <w:r>
              <w:rPr>
                <w:rFonts w:ascii="Times New Roman" w:hAnsi="Times New Roman"/>
                <w:sz w:val="18"/>
              </w:rPr>
              <w:t>23010333025</w:t>
            </w:r>
          </w:p>
        </w:tc>
        <w:tc>
          <w:tcPr>
            <w:tcW w:type="dxa" w:w="2250"/>
          </w:tcPr>
          <w:p>
            <w:pPr>
              <w:spacing w:after="20" w:line="276" w:lineRule="auto"/>
            </w:pPr>
            <w:r>
              <w:rPr>
                <w:rFonts w:ascii="Times New Roman" w:hAnsi="Times New Roman"/>
                <w:sz w:val="18"/>
              </w:rPr>
              <w:t>BWU/BTD/23/025</w:t>
            </w:r>
          </w:p>
        </w:tc>
        <w:tc>
          <w:tcPr>
            <w:tcW w:type="dxa" w:w="2250"/>
          </w:tcPr>
          <w:p>
            <w:pPr>
              <w:spacing w:after="20" w:line="276" w:lineRule="auto"/>
            </w:pPr>
            <w:r>
              <w:rPr>
                <w:rFonts w:ascii="Times New Roman" w:hAnsi="Times New Roman"/>
                <w:sz w:val="18"/>
              </w:rPr>
              <w:t>GenAI, Privacy and Fairness</w:t>
            </w:r>
          </w:p>
        </w:tc>
      </w:tr>
    </w:tbl>
    <w:p>
      <w:pPr>
        <w:spacing w:after="160"/>
      </w:pPr>
    </w:p>
    <w:p>
      <w:pPr>
        <w:spacing w:before="40" w:after="120"/>
        <w:jc w:val="center"/>
        <w:shd w:val="clear" w:color="auto" w:fill="F8FAFC"/>
      </w:pPr>
      <w:r>
        <w:rPr>
          <w:rFonts w:ascii="Times New Roman" w:hAnsi="Times New Roman"/>
          <w:color w:val="1E406B"/>
          <w:sz w:val="17"/>
        </w:rPr>
        <w:t>GitHub: https://github.com/kngdhurbo/Noetrix   |   Live Demo: https://noetrix-virid.vercel.app/</w:t>
      </w:r>
    </w:p>
    <w:p>
      <w:pPr>
        <w:spacing w:before="40" w:after="40"/>
        <w:pBdr>
          <w:bottom w:val="single" w:sz="4" w:space="1" w:color="CBD5E1"/>
        </w:pBdr>
      </w:pPr>
    </w:p>
    <w:p>
      <w:pPr>
        <w:spacing w:line="360" w:lineRule="auto" w:after="0" w:before="0"/>
        <w:jc w:val="center"/>
      </w:pPr>
      <w:r>
        <w:rPr>
          <w:rFonts w:ascii="Times New Roman" w:hAnsi="Times New Roman"/>
          <w:b w:val="0"/>
          <w:i w:val="0"/>
          <w:sz w:val="19"/>
        </w:rPr>
        <w:t>Under the Guidance of: Mr. Mahendra Dutta, Project Engineer &amp; Industry Mentor, Ardent Computech Pvt. Ltd.</w:t>
        <w:br/>
        <w:t>In Association with: ARDENT COMPUTECH PVT. LTD.</w:t>
        <w:br/>
        <w:t>Academic Session: 2026 – 2027</w:t>
      </w:r>
    </w:p>
    <w:p>
      <w:r>
        <w:br w:type="page"/>
      </w:r>
    </w:p>
    <w:p>
      <w:pPr>
        <w:spacing w:before="0" w:after="80"/>
      </w:pPr>
    </w:p>
    <w:p>
      <w:pPr>
        <w:spacing w:before="120" w:after="40"/>
        <w:jc w:val="center"/>
        <w:shd w:val="clear" w:color="auto" w:fill="0B1C2D"/>
        <w:pBdr>
          <w:bottom w:val="single" w:sz="8" w:space="1" w:color="C8A02A"/>
        </w:pBdr>
      </w:pPr>
      <w:r>
        <w:rPr>
          <w:rFonts w:ascii="Times New Roman" w:hAnsi="Times New Roman"/>
          <w:b/>
          <w:color w:val="FFFFFF"/>
          <w:sz w:val="30"/>
        </w:rPr>
        <w:t xml:space="preserve">  CERTIFICATE OF RECOMMENDATION  </w:t>
      </w:r>
    </w:p>
    <w:p>
      <w:pPr>
        <w:spacing w:before="0" w:after="160"/>
      </w:pPr>
    </w:p>
    <w:p>
      <w:pPr>
        <w:spacing w:line="360" w:lineRule="auto" w:after="600" w:before="0"/>
        <w:jc w:val="both"/>
      </w:pPr>
      <w:r>
        <w:rPr>
          <w:rFonts w:ascii="Times New Roman" w:hAnsi="Times New Roman"/>
          <w:b w:val="0"/>
          <w:i w:val="0"/>
          <w:sz w:val="24"/>
        </w:rPr>
        <w:t>This is to certify that the project entitled "NOETRIX: AN EXPLAINABLE RESUME SCREENING AND TAILORING SYSTEM WITH GUARDRAILED GENERATIVE AI" is a bonafide work carried out by DHRUBOJYOTI HAZRA (Roll No: 23010333015, Student Code: BWU/BTD/23/015), ISHEEKA MUKHOPADHYAY (Roll No: 23010333041, Student Code: BWU/BTD/23/042), SAMPRIKTA DE (Roll No: 23010333055, Student Code: BWU/BTD/23/056), ADHIRAJ DAS (Roll No: 23010333009, Student Code: BWU/BTD/23/009), and TIYASHA BAIDYA (Roll No: 23010333025, Student Code: BWU/BTD/23/025) in partial fulfillment of the requirements for the award of the degree of BACHELOR OF TECHNOLOGY in COMPUTER SCIENCE AND ENGINEERING from BRAINWARE UNIVERSITY, Barasat, Kolkata, during the academic session 2026–2027.</w:t>
        <w:br/>
        <w:br/>
        <w:t>The project work has been carried out under my direct supervision and guidance at Brainware University in association with ARDENT COMPUTECH PVT. LTD. The results embodied in this report are original and have not been submitted to any other University or Institution for the award of any other degree or diploma.</w:t>
      </w:r>
    </w:p>
    <w:p>
      <w:pPr>
        <w:spacing w:before="40" w:after="40"/>
        <w:pBdr>
          <w:bottom w:val="single" w:sz="4" w:space="1" w:color="CBD5E1"/>
        </w:pBdr>
      </w:pPr>
    </w:p>
    <w:p>
      <w:pPr>
        <w:spacing w:line="360" w:lineRule="auto" w:after="0" w:before="0"/>
        <w:jc w:val="left"/>
      </w:pPr>
      <w:r>
        <w:rPr>
          <w:rFonts w:ascii="Times New Roman" w:hAnsi="Times New Roman"/>
          <w:b/>
          <w:i w:val="0"/>
          <w:sz w:val="24"/>
        </w:rPr>
        <w:br/>
        <w:t>Mr. Mahendra Dutta</w:t>
        <w:br/>
        <w:t>Project Engineer &amp; Industry Mentor</w:t>
        <w:br/>
        <w:t>Ardent Computech Pvt. Ltd.</w:t>
        <w:br/>
        <w:t>(In Association with Brainware University)</w:t>
        <w:br/>
        <w:br/>
        <w:t>Countersigned by:</w:t>
        <w:br/>
        <w:br/>
        <w:t>Dr. Supriya Chakraborty</w:t>
        <w:br/>
        <w:t>Head of the Department, Department of CSE (CS &amp; DS)</w:t>
        <w:br/>
        <w:t>Brainware University</w:t>
        <w:br/>
        <w:br/>
        <w:t>Dr. Anup Kumar Maiti</w:t>
        <w:br/>
        <w:t>Dean, School of Engineering</w:t>
        <w:br/>
        <w:t>Brainware University</w:t>
      </w:r>
    </w:p>
    <w:p>
      <w:r>
        <w:br w:type="page"/>
      </w:r>
    </w:p>
    <w:p>
      <w:pPr>
        <w:spacing w:before="0" w:after="80"/>
      </w:pPr>
    </w:p>
    <w:p>
      <w:pPr>
        <w:spacing w:before="120" w:after="40"/>
        <w:jc w:val="center"/>
        <w:shd w:val="clear" w:color="auto" w:fill="0B1C2D"/>
        <w:pBdr>
          <w:bottom w:val="single" w:sz="8" w:space="1" w:color="C8A02A"/>
        </w:pBdr>
      </w:pPr>
      <w:r>
        <w:rPr>
          <w:rFonts w:ascii="Times New Roman" w:hAnsi="Times New Roman"/>
          <w:b/>
          <w:color w:val="FFFFFF"/>
          <w:sz w:val="30"/>
        </w:rPr>
        <w:t xml:space="preserve">  INDUSTRIAL PROJECT CERTIFICATE  </w:t>
      </w:r>
    </w:p>
    <w:p>
      <w:pPr>
        <w:spacing w:before="0" w:after="160"/>
      </w:pPr>
    </w:p>
    <w:p>
      <w:pPr>
        <w:spacing w:line="360" w:lineRule="auto" w:after="320" w:before="0"/>
        <w:jc w:val="center"/>
      </w:pPr>
      <w:r>
        <w:rPr>
          <w:rFonts w:ascii="Times New Roman" w:hAnsi="Times New Roman"/>
          <w:b/>
          <w:i w:val="0"/>
          <w:sz w:val="24"/>
        </w:rPr>
        <w:t>ARDENT COMPUTECH PVT. LTD.</w:t>
        <w:br/>
        <w:t>An ISO 9001:2015 Certified Company (High-End Technology Training &amp; Project)</w:t>
      </w:r>
    </w:p>
    <w:p>
      <w:pPr>
        <w:spacing w:line="360" w:lineRule="auto" w:after="600" w:before="0"/>
        <w:jc w:val="both"/>
      </w:pPr>
      <w:r>
        <w:rPr>
          <w:rFonts w:ascii="Times New Roman" w:hAnsi="Times New Roman"/>
          <w:b w:val="0"/>
          <w:i w:val="0"/>
          <w:sz w:val="24"/>
        </w:rPr>
        <w:t>This is to certify that the engineering project entitled "NOETRIX: AN EXPLAINABLE RESUME SCREENING AND TAILORING SYSTEM WITH GUARDRAILED GENERATIVE AI" submitted by the undergraduate students of Brainware University, Kolkata, has been successfully reviewed and evaluated at ARDENT COMPUTECH PVT. LTD. under the Industrial Project Mentorship Program.</w:t>
        <w:br/>
        <w:br/>
        <w:t>The team has demonstrated exemplary engineering proficiency across full-stack system architecture, natural language processing pipelines, deterministic multi-metric scoring, and guardrailed generative AI integration. The software prototype and underlying algorithmic frameworks satisfy the technical quality standards of modern enterprise software systems.</w:t>
      </w:r>
    </w:p>
    <w:p>
      <w:pPr>
        <w:spacing w:before="40" w:after="40"/>
        <w:pBdr>
          <w:bottom w:val="single" w:sz="4" w:space="1" w:color="CBD5E1"/>
        </w:pBdr>
      </w:pPr>
    </w:p>
    <w:p>
      <w:pPr>
        <w:spacing w:line="360" w:lineRule="auto" w:after="120" w:before="0"/>
        <w:jc w:val="right"/>
      </w:pPr>
      <w:r>
        <w:rPr>
          <w:rFonts w:ascii="Times New Roman" w:hAnsi="Times New Roman"/>
          <w:b/>
          <w:i w:val="0"/>
          <w:sz w:val="24"/>
        </w:rPr>
        <w:br/>
        <w:br/>
        <w:t>Project Engineer &amp; Technical Director</w:t>
        <w:br/>
        <w:t>Ardent Computech Pvt. Ltd., Kolkata</w:t>
      </w:r>
    </w:p>
    <w:p>
      <w:r>
        <w:br w:type="page"/>
      </w:r>
    </w:p>
    <w:p>
      <w:pPr>
        <w:spacing w:before="0" w:after="80"/>
      </w:pPr>
    </w:p>
    <w:p>
      <w:pPr>
        <w:spacing w:before="120" w:after="40"/>
        <w:jc w:val="center"/>
        <w:shd w:val="clear" w:color="auto" w:fill="0B1C2D"/>
        <w:pBdr>
          <w:bottom w:val="single" w:sz="8" w:space="1" w:color="C8A02A"/>
        </w:pBdr>
      </w:pPr>
      <w:r>
        <w:rPr>
          <w:rFonts w:ascii="Times New Roman" w:hAnsi="Times New Roman"/>
          <w:b/>
          <w:color w:val="FFFFFF"/>
          <w:sz w:val="30"/>
        </w:rPr>
        <w:t xml:space="preserve">  DECLARATION OF ORIGINALITY  </w:t>
      </w:r>
    </w:p>
    <w:p>
      <w:pPr>
        <w:spacing w:before="0" w:after="160"/>
      </w:pPr>
    </w:p>
    <w:p>
      <w:pPr>
        <w:spacing w:line="360" w:lineRule="auto" w:after="400" w:before="0"/>
        <w:jc w:val="both"/>
      </w:pPr>
      <w:r>
        <w:rPr>
          <w:rFonts w:ascii="Times New Roman" w:hAnsi="Times New Roman"/>
          <w:b w:val="0"/>
          <w:i w:val="0"/>
          <w:sz w:val="24"/>
        </w:rPr>
        <w:t>We hereby declare that the project work entitled "NOETRIX: AN EXPLAINABLE RESUME SCREENING AND TAILORING SYSTEM WITH GUARDRAILED GENERATIVE AI", submitted to the Department of Computer Science &amp; Engineering - CS &amp; DS, Brainware University, for the award of the degree of Bachelor of Technology in Computer Science and Engineering, is an authentic record of original work carried out by us under the guidance of our mentor Mr. Mahendra Dutta, Project Engineer at Ardent Computech Pvt. Ltd., in coordination with the Department of Computer Science &amp; Engineering (CS &amp; DS), Brainware University.</w:t>
        <w:br/>
        <w:br/>
        <w:t>We further confirm that this work is original in all respects, and has not been submitted previously in part or in full for the award of any other degree, diploma, fellowship, or other similar title at this or any other university or institute. All literature, software libraries, datasets, and intellectual contributions utilized in the development of this work have been properly cited and acknowledged in accordance with standard academic and ethical practices.</w:t>
      </w:r>
    </w:p>
    <w:p>
      <w:pPr>
        <w:spacing w:before="40" w:after="40"/>
        <w:pBdr>
          <w:bottom w:val="single" w:sz="4" w:space="1" w:color="CBD5E1"/>
        </w:pBdr>
      </w:pPr>
    </w:p>
    <w:p>
      <w:pPr>
        <w:spacing w:line="360" w:lineRule="auto" w:after="200" w:before="0"/>
        <w:jc w:val="both"/>
      </w:pPr>
      <w:r>
        <w:rPr>
          <w:rFonts w:ascii="Times New Roman" w:hAnsi="Times New Roman"/>
          <w:b/>
          <w:i w:val="0"/>
          <w:sz w:val="24"/>
        </w:rPr>
        <w:t>Candidate Signatures:</w:t>
        <w:br/>
        <w:t>1. Dhrubojyoti Hazra (Roll No: 23010333015, Student Code: BWU/BTD/23/015)</w:t>
        <w:br/>
        <w:t>2. Isheeka Mukhopadhyay (Roll No: 23010333041, Student Code: BWU/BTD/23/042)</w:t>
        <w:br/>
        <w:t>3. Samprikta De (Roll No: 23010333055, Student Code: BWU/BTD/23/056)</w:t>
        <w:br/>
        <w:t>4. Adhiraj Das (Roll No: 23010333009, Student Code: BWU/BTD/23/009)</w:t>
        <w:br/>
        <w:t>5. Tiyasha Baidya (Roll No: 23010333025, Student Code: BWU/BTD/23/025)</w:t>
      </w:r>
    </w:p>
    <w:p>
      <w:r>
        <w:br w:type="page"/>
      </w:r>
    </w:p>
    <w:p>
      <w:pPr>
        <w:spacing w:before="0" w:after="80"/>
      </w:pPr>
    </w:p>
    <w:p>
      <w:pPr>
        <w:spacing w:before="120" w:after="40"/>
        <w:jc w:val="center"/>
        <w:shd w:val="clear" w:color="auto" w:fill="0B1C2D"/>
        <w:pBdr>
          <w:bottom w:val="single" w:sz="8" w:space="1" w:color="C8A02A"/>
        </w:pBdr>
      </w:pPr>
      <w:r>
        <w:rPr>
          <w:rFonts w:ascii="Times New Roman" w:hAnsi="Times New Roman"/>
          <w:b/>
          <w:color w:val="FFFFFF"/>
          <w:sz w:val="30"/>
        </w:rPr>
        <w:t xml:space="preserve">  ACKNOWLEDGEMENTS  </w:t>
      </w:r>
    </w:p>
    <w:p>
      <w:pPr>
        <w:spacing w:before="0" w:after="160"/>
      </w:pPr>
    </w:p>
    <w:p>
      <w:pPr>
        <w:spacing w:line="360" w:lineRule="auto" w:after="120" w:before="0"/>
        <w:jc w:val="both"/>
      </w:pPr>
      <w:r>
        <w:rPr>
          <w:rFonts w:ascii="Times New Roman" w:hAnsi="Times New Roman"/>
          <w:b w:val="0"/>
          <w:i w:val="0"/>
          <w:sz w:val="24"/>
        </w:rPr>
        <w:t>We express our deepest sense of gratitude and respect to our project supervisor, Mr. Mahendra Dutta, Project Engineer at Ardent Computech Pvt. Ltd., for his invaluable guidance, continuous encouragement, and insightful feedback throughout the duration of this capstone project. His technical wisdom in software architecture, machine learning systems, and deterministic evaluation principles significantly shaped the foundation of this work.</w:t>
        <w:br/>
        <w:br/>
        <w:t>We extend our sincere thanks to Dr. Supriya Chakraborty, Head of the Department, Computer Science &amp; Engineering (CS &amp; DS), and Dr. Anup Kumar Maiti, Dean, School of Engineering, for providing the necessary infrastructural resources, laboratories, and academic support that enabled us to conceptualize, engineer, and deploy this project.</w:t>
        <w:br/>
        <w:br/>
        <w:t>We would also like to record our deep gratitude to ARDENT COMPUTECH PVT. LTD. for their industrial project mentorship, rigorous code reviews, and industry-aligned evaluation benchmarks.</w:t>
        <w:br/>
        <w:br/>
        <w:t>Our heartfelt thanks to our parents, family members, and friends for their constant patience, moral encouragement, and belief in our efforts.</w:t>
        <w:br/>
        <w:br/>
        <w:t>Finally, we express our gratitude to the global open-source software engineering community—particularly the contributors to FastAPI, Next.js, PyPDF, pdfplumber, Scikit-learn, Sentence-Transformers, ReportLab, and Groq SDK—whose robust tools formed the technological bedrock of the Noetrix platform.</w:t>
      </w:r>
    </w:p>
    <w:p>
      <w:r>
        <w:br w:type="page"/>
      </w:r>
    </w:p>
    <w:p>
      <w:pPr>
        <w:spacing w:before="0" w:after="80"/>
      </w:pPr>
    </w:p>
    <w:p>
      <w:pPr>
        <w:spacing w:before="120" w:after="40"/>
        <w:jc w:val="center"/>
        <w:shd w:val="clear" w:color="auto" w:fill="0B1C2D"/>
        <w:pBdr>
          <w:bottom w:val="single" w:sz="8" w:space="1" w:color="C8A02A"/>
        </w:pBdr>
      </w:pPr>
      <w:r>
        <w:rPr>
          <w:rFonts w:ascii="Times New Roman" w:hAnsi="Times New Roman"/>
          <w:b/>
          <w:color w:val="FFFFFF"/>
          <w:sz w:val="30"/>
        </w:rPr>
        <w:t xml:space="preserve">  ABSTRACT  </w:t>
      </w:r>
    </w:p>
    <w:p>
      <w:pPr>
        <w:spacing w:before="0" w:after="160"/>
      </w:pPr>
    </w:p>
    <w:p>
      <w:pPr>
        <w:spacing w:line="360" w:lineRule="auto" w:after="120" w:before="0"/>
        <w:jc w:val="both"/>
      </w:pPr>
      <w:r>
        <w:rPr>
          <w:rFonts w:ascii="Times New Roman" w:hAnsi="Times New Roman"/>
          <w:b w:val="0"/>
          <w:i w:val="0"/>
          <w:sz w:val="24"/>
        </w:rPr>
        <w:t>Modern corporate hiring relies heavily on Applicant Tracking Systems (ATS) to process, filter, and rank hundreds of candidate resumes per job requisition. However, contemporary commercial ATS implementations suffer from severe structural vulnerabilities: proprietary black-box scoring algorithms, high vulnerability to adversarial keyword stuffing, institutional prestige bias, and uncalibrated Generative AI hallucination. Candidates face an opaque feedback vacuum with zero actionable visibility into rejection causes, while recruiters are inundated with noisy, unexplainable candidate rankings.</w:t>
        <w:br/>
        <w:br/>
        <w:t>To resolve these systemic challenges, this report presents Noetrix: an explainable, dual-portal resume screening and tailoring system engineered with a hybrid deterministic scoring core and guardrailed Generative AI. The system decomposes candidate evaluation across six mathematically rigorous dimensions: Placement-Weighted Keyword Matching (0.30 weight), Dense Semantic Cosine Alignment via Sentence-Transformers MiniLM (0.20 weight), Experience Tenure and Action-Verb Density (0.20 weight), Prestige-Free Educational Attainment (0.10 weight), Quantified Impact Accomplishment Ratio (0.10 weight), and ATS Parse Format Hygiene (0.10 weight). To prevent gaming and keyword dumping, Noetrix enforces a mathematically proven 50-point Soft Knockout Ceiling whenever a candidate fails to demonstrate contextual proof for at least 50% of mandatory job requirements.</w:t>
        <w:br/>
        <w:br/>
        <w:t>In addition to deterministic screening, Noetrix features an interactive Candidate Portal equipped with an 'OpenResume' transparent parse inspector and a real-time bullet optimizer. Powered by a deterministic Zero-Fabrication Validator and bounded Large Language Models (LLMs via Groq), the system enhances weak passive bullet points into impactful Google XYZ accomplishments without inventing metrics or hallucinating phantom qualifications. All candidate data is protected via automated client-side PII scrubbing and a stateless in-memory session pipeline.</w:t>
        <w:br/>
        <w:br/>
        <w:t>Comprehensive empirical evaluation over synthetic and real-world benchmark corpora confirms that the Noetrix deterministic engine achieves 100% mathematical reproducibility with zero score jitter across repeated evaluations and delivers an average scoring latency of 42.4 milliseconds per resume. Recruiter batch ranking executes with a deterministic 6-tier tie-breaking algorithm, ensuring completely auditable, merit-based candidate shortlisting. Noetrix provides a transparent, fair, and trustworthy foundation for next-generation talent acquisition.</w:t>
      </w:r>
    </w:p>
    <w:p>
      <w:r>
        <w:br w:type="page"/>
      </w:r>
    </w:p>
    <w:p>
      <w:pPr>
        <w:spacing w:before="0" w:after="80"/>
      </w:pPr>
    </w:p>
    <w:p>
      <w:pPr>
        <w:spacing w:before="120" w:after="40"/>
        <w:jc w:val="center"/>
        <w:shd w:val="clear" w:color="auto" w:fill="0B1C2D"/>
        <w:pBdr>
          <w:bottom w:val="single" w:sz="8" w:space="1" w:color="C8A02A"/>
        </w:pBdr>
      </w:pPr>
      <w:r>
        <w:rPr>
          <w:rFonts w:ascii="Times New Roman" w:hAnsi="Times New Roman"/>
          <w:b/>
          <w:color w:val="FFFFFF"/>
          <w:sz w:val="30"/>
        </w:rPr>
        <w:t xml:space="preserve">  TABLE OF CONTENTS  </w:t>
      </w:r>
    </w:p>
    <w:p>
      <w:pPr>
        <w:spacing w:before="0" w:after="160"/>
      </w:pPr>
    </w:p>
    <w:p>
      <w:pPr>
        <w:tabs>
          <w:tab w:pos="9000" w:val="right" w:leader="dot"/>
        </w:tabs>
        <w:spacing w:line="300" w:lineRule="auto" w:after="40"/>
      </w:pPr>
      <w:r>
        <w:rPr>
          <w:rFonts w:ascii="Times New Roman" w:hAnsi="Times New Roman"/>
          <w:b/>
          <w:color w:val="1E406B"/>
          <w:sz w:val="22"/>
        </w:rPr>
        <w:t>Front Matter (Certificate, Declaration, Acknowledgements, Abstract)</w:t>
      </w:r>
      <w:r>
        <w:rPr>
          <w:rFonts w:ascii="Times New Roman" w:hAnsi="Times New Roman"/>
          <w:sz w:val="22"/>
        </w:rPr>
        <w:tab/>
        <w:t>i – vi</w:t>
      </w:r>
    </w:p>
    <w:p>
      <w:pPr>
        <w:tabs>
          <w:tab w:pos="9000" w:val="right" w:leader="dot"/>
        </w:tabs>
        <w:spacing w:line="300" w:lineRule="auto" w:after="40"/>
      </w:pPr>
      <w:r>
        <w:rPr>
          <w:rFonts w:ascii="Times New Roman" w:hAnsi="Times New Roman"/>
          <w:b/>
          <w:color w:val="1E406B"/>
          <w:sz w:val="22"/>
        </w:rPr>
        <w:t>List of Figures</w:t>
      </w:r>
      <w:r>
        <w:rPr>
          <w:rFonts w:ascii="Times New Roman" w:hAnsi="Times New Roman"/>
          <w:sz w:val="22"/>
        </w:rPr>
        <w:tab/>
        <w:t>vii</w:t>
      </w:r>
    </w:p>
    <w:p>
      <w:pPr>
        <w:tabs>
          <w:tab w:pos="9000" w:val="right" w:leader="dot"/>
        </w:tabs>
        <w:spacing w:line="300" w:lineRule="auto" w:after="40"/>
      </w:pPr>
      <w:r>
        <w:rPr>
          <w:rFonts w:ascii="Times New Roman" w:hAnsi="Times New Roman"/>
          <w:b/>
          <w:color w:val="1E406B"/>
          <w:sz w:val="22"/>
        </w:rPr>
        <w:t>List of Tables</w:t>
      </w:r>
      <w:r>
        <w:rPr>
          <w:rFonts w:ascii="Times New Roman" w:hAnsi="Times New Roman"/>
          <w:sz w:val="22"/>
        </w:rPr>
        <w:tab/>
        <w:t>viii</w:t>
      </w:r>
    </w:p>
    <w:p>
      <w:pPr>
        <w:tabs>
          <w:tab w:pos="9000" w:val="right" w:leader="dot"/>
        </w:tabs>
        <w:spacing w:line="300" w:lineRule="auto" w:after="40"/>
      </w:pPr>
      <w:r>
        <w:rPr>
          <w:rFonts w:ascii="Times New Roman" w:hAnsi="Times New Roman"/>
          <w:b/>
          <w:color w:val="1E406B"/>
          <w:sz w:val="22"/>
        </w:rPr>
        <w:t>Chapter 1: Introduction</w:t>
      </w:r>
      <w:r>
        <w:rPr>
          <w:rFonts w:ascii="Times New Roman" w:hAnsi="Times New Roman"/>
          <w:sz w:val="22"/>
        </w:rPr>
        <w:tab/>
        <w:t>11</w:t>
      </w:r>
    </w:p>
    <w:p>
      <w:pPr>
        <w:tabs>
          <w:tab w:pos="9000" w:val="right" w:leader="dot"/>
        </w:tabs>
        <w:spacing w:line="300" w:lineRule="auto" w:after="40"/>
        <w:ind w:left="432"/>
      </w:pPr>
      <w:r>
        <w:rPr>
          <w:rFonts w:ascii="Times New Roman" w:hAnsi="Times New Roman"/>
          <w:sz w:val="20"/>
        </w:rPr>
        <w:t>1.1 Background and Problem Landscape</w:t>
      </w:r>
      <w:r>
        <w:rPr>
          <w:rFonts w:ascii="Times New Roman" w:hAnsi="Times New Roman"/>
          <w:sz w:val="20"/>
        </w:rPr>
        <w:tab/>
        <w:t>11</w:t>
      </w:r>
    </w:p>
    <w:p>
      <w:pPr>
        <w:tabs>
          <w:tab w:pos="9000" w:val="right" w:leader="dot"/>
        </w:tabs>
        <w:spacing w:line="300" w:lineRule="auto" w:after="40"/>
        <w:ind w:left="432"/>
      </w:pPr>
      <w:r>
        <w:rPr>
          <w:rFonts w:ascii="Times New Roman" w:hAnsi="Times New Roman"/>
          <w:sz w:val="20"/>
        </w:rPr>
        <w:t>1.2 Evolution of Resume Screening Technologies</w:t>
      </w:r>
      <w:r>
        <w:rPr>
          <w:rFonts w:ascii="Times New Roman" w:hAnsi="Times New Roman"/>
          <w:sz w:val="20"/>
        </w:rPr>
        <w:tab/>
        <w:t>11</w:t>
      </w:r>
    </w:p>
    <w:p>
      <w:pPr>
        <w:tabs>
          <w:tab w:pos="9000" w:val="right" w:leader="dot"/>
        </w:tabs>
        <w:spacing w:line="300" w:lineRule="auto" w:after="40"/>
        <w:ind w:left="432"/>
      </w:pPr>
      <w:r>
        <w:rPr>
          <w:rFonts w:ascii="Times New Roman" w:hAnsi="Times New Roman"/>
          <w:sz w:val="20"/>
        </w:rPr>
        <w:t>1.3 The Black-Box Dilemma and Problem Statement</w:t>
      </w:r>
      <w:r>
        <w:rPr>
          <w:rFonts w:ascii="Times New Roman" w:hAnsi="Times New Roman"/>
          <w:sz w:val="20"/>
        </w:rPr>
        <w:tab/>
        <w:t>12</w:t>
      </w:r>
    </w:p>
    <w:p>
      <w:pPr>
        <w:tabs>
          <w:tab w:pos="9000" w:val="right" w:leader="dot"/>
        </w:tabs>
        <w:spacing w:line="300" w:lineRule="auto" w:after="40"/>
        <w:ind w:left="432"/>
      </w:pPr>
      <w:r>
        <w:rPr>
          <w:rFonts w:ascii="Times New Roman" w:hAnsi="Times New Roman"/>
          <w:sz w:val="20"/>
        </w:rPr>
        <w:t>1.4 Research and Engineering Objectives</w:t>
      </w:r>
      <w:r>
        <w:rPr>
          <w:rFonts w:ascii="Times New Roman" w:hAnsi="Times New Roman"/>
          <w:sz w:val="20"/>
        </w:rPr>
        <w:tab/>
        <w:t>12</w:t>
      </w:r>
    </w:p>
    <w:p>
      <w:pPr>
        <w:tabs>
          <w:tab w:pos="9000" w:val="right" w:leader="dot"/>
        </w:tabs>
        <w:spacing w:line="300" w:lineRule="auto" w:after="40"/>
        <w:ind w:left="432"/>
      </w:pPr>
      <w:r>
        <w:rPr>
          <w:rFonts w:ascii="Times New Roman" w:hAnsi="Times New Roman"/>
          <w:sz w:val="20"/>
        </w:rPr>
        <w:t>1.5 Industrial and Academic Significance</w:t>
      </w:r>
      <w:r>
        <w:rPr>
          <w:rFonts w:ascii="Times New Roman" w:hAnsi="Times New Roman"/>
          <w:sz w:val="20"/>
        </w:rPr>
        <w:tab/>
        <w:t>13</w:t>
      </w:r>
    </w:p>
    <w:p>
      <w:pPr>
        <w:tabs>
          <w:tab w:pos="9000" w:val="right" w:leader="dot"/>
        </w:tabs>
        <w:spacing w:line="300" w:lineRule="auto" w:after="40"/>
        <w:ind w:left="432"/>
      </w:pPr>
      <w:r>
        <w:rPr>
          <w:rFonts w:ascii="Times New Roman" w:hAnsi="Times New Roman"/>
          <w:sz w:val="20"/>
        </w:rPr>
        <w:t>1.6 Scope and Delimitations of the System</w:t>
      </w:r>
      <w:r>
        <w:rPr>
          <w:rFonts w:ascii="Times New Roman" w:hAnsi="Times New Roman"/>
          <w:sz w:val="20"/>
        </w:rPr>
        <w:tab/>
        <w:t>13</w:t>
      </w:r>
    </w:p>
    <w:p>
      <w:pPr>
        <w:tabs>
          <w:tab w:pos="9000" w:val="right" w:leader="dot"/>
        </w:tabs>
        <w:spacing w:line="300" w:lineRule="auto" w:after="40"/>
        <w:ind w:left="432"/>
      </w:pPr>
      <w:r>
        <w:rPr>
          <w:rFonts w:ascii="Times New Roman" w:hAnsi="Times New Roman"/>
          <w:sz w:val="20"/>
        </w:rPr>
        <w:t>1.7 Organization of the Report</w:t>
      </w:r>
      <w:r>
        <w:rPr>
          <w:rFonts w:ascii="Times New Roman" w:hAnsi="Times New Roman"/>
          <w:sz w:val="20"/>
        </w:rPr>
        <w:tab/>
        <w:t>14</w:t>
      </w:r>
    </w:p>
    <w:p>
      <w:pPr>
        <w:tabs>
          <w:tab w:pos="9000" w:val="right" w:leader="dot"/>
        </w:tabs>
        <w:spacing w:line="300" w:lineRule="auto" w:after="40"/>
      </w:pPr>
      <w:r>
        <w:rPr>
          <w:rFonts w:ascii="Times New Roman" w:hAnsi="Times New Roman"/>
          <w:b/>
          <w:color w:val="1E406B"/>
          <w:sz w:val="22"/>
        </w:rPr>
        <w:t>Chapter 2: Literature Review</w:t>
      </w:r>
      <w:r>
        <w:rPr>
          <w:rFonts w:ascii="Times New Roman" w:hAnsi="Times New Roman"/>
          <w:sz w:val="22"/>
        </w:rPr>
        <w:tab/>
        <w:t>15</w:t>
      </w:r>
    </w:p>
    <w:p>
      <w:pPr>
        <w:tabs>
          <w:tab w:pos="9000" w:val="right" w:leader="dot"/>
        </w:tabs>
        <w:spacing w:line="300" w:lineRule="auto" w:after="40"/>
        <w:ind w:left="432"/>
      </w:pPr>
      <w:r>
        <w:rPr>
          <w:rFonts w:ascii="Times New Roman" w:hAnsi="Times New Roman"/>
          <w:sz w:val="20"/>
        </w:rPr>
        <w:t>2.1 Historical Foundations of Algorithmic Candidate Screening</w:t>
      </w:r>
      <w:r>
        <w:rPr>
          <w:rFonts w:ascii="Times New Roman" w:hAnsi="Times New Roman"/>
          <w:sz w:val="20"/>
        </w:rPr>
        <w:tab/>
        <w:t>15</w:t>
      </w:r>
    </w:p>
    <w:p>
      <w:pPr>
        <w:tabs>
          <w:tab w:pos="9000" w:val="right" w:leader="dot"/>
        </w:tabs>
        <w:spacing w:line="300" w:lineRule="auto" w:after="40"/>
        <w:ind w:left="432"/>
      </w:pPr>
      <w:r>
        <w:rPr>
          <w:rFonts w:ascii="Times New Roman" w:hAnsi="Times New Roman"/>
          <w:sz w:val="20"/>
        </w:rPr>
        <w:t>2.2 Contemporary Neural Natural Language Processing in Recruitment</w:t>
      </w:r>
      <w:r>
        <w:rPr>
          <w:rFonts w:ascii="Times New Roman" w:hAnsi="Times New Roman"/>
          <w:sz w:val="20"/>
        </w:rPr>
        <w:tab/>
        <w:t>15</w:t>
      </w:r>
    </w:p>
    <w:p>
      <w:pPr>
        <w:tabs>
          <w:tab w:pos="9000" w:val="right" w:leader="dot"/>
        </w:tabs>
        <w:spacing w:line="300" w:lineRule="auto" w:after="40"/>
        <w:ind w:left="432"/>
      </w:pPr>
      <w:r>
        <w:rPr>
          <w:rFonts w:ascii="Times New Roman" w:hAnsi="Times New Roman"/>
          <w:sz w:val="20"/>
        </w:rPr>
        <w:t>2.3 In-Depth Analysis of Foundational Research Papers</w:t>
      </w:r>
      <w:r>
        <w:rPr>
          <w:rFonts w:ascii="Times New Roman" w:hAnsi="Times New Roman"/>
          <w:sz w:val="20"/>
        </w:rPr>
        <w:tab/>
        <w:t>15</w:t>
      </w:r>
    </w:p>
    <w:p>
      <w:pPr>
        <w:tabs>
          <w:tab w:pos="9000" w:val="right" w:leader="dot"/>
        </w:tabs>
        <w:spacing w:line="300" w:lineRule="auto" w:after="40"/>
        <w:ind w:left="432"/>
      </w:pPr>
      <w:r>
        <w:rPr>
          <w:rFonts w:ascii="Times New Roman" w:hAnsi="Times New Roman"/>
          <w:sz w:val="20"/>
        </w:rPr>
        <w:t>2.4 Comparative Analysis of State-of-the-Art Approaches</w:t>
      </w:r>
      <w:r>
        <w:rPr>
          <w:rFonts w:ascii="Times New Roman" w:hAnsi="Times New Roman"/>
          <w:sz w:val="20"/>
        </w:rPr>
        <w:tab/>
        <w:t>17</w:t>
      </w:r>
    </w:p>
    <w:p>
      <w:pPr>
        <w:tabs>
          <w:tab w:pos="9000" w:val="right" w:leader="dot"/>
        </w:tabs>
        <w:spacing w:line="300" w:lineRule="auto" w:after="40"/>
        <w:ind w:left="432"/>
      </w:pPr>
      <w:r>
        <w:rPr>
          <w:rFonts w:ascii="Times New Roman" w:hAnsi="Times New Roman"/>
          <w:sz w:val="20"/>
        </w:rPr>
        <w:t>2.5 Research Gap Identification and Justification of the Hybrid Paradigm</w:t>
      </w:r>
      <w:r>
        <w:rPr>
          <w:rFonts w:ascii="Times New Roman" w:hAnsi="Times New Roman"/>
          <w:sz w:val="20"/>
        </w:rPr>
        <w:tab/>
        <w:t>18</w:t>
      </w:r>
    </w:p>
    <w:p>
      <w:pPr>
        <w:tabs>
          <w:tab w:pos="9000" w:val="right" w:leader="dot"/>
        </w:tabs>
        <w:spacing w:line="300" w:lineRule="auto" w:after="40"/>
      </w:pPr>
      <w:r>
        <w:rPr>
          <w:rFonts w:ascii="Times New Roman" w:hAnsi="Times New Roman"/>
          <w:b/>
          <w:color w:val="1E406B"/>
          <w:sz w:val="22"/>
        </w:rPr>
        <w:t>Chapter 3: System Analysis</w:t>
      </w:r>
      <w:r>
        <w:rPr>
          <w:rFonts w:ascii="Times New Roman" w:hAnsi="Times New Roman"/>
          <w:sz w:val="22"/>
        </w:rPr>
        <w:tab/>
        <w:t>19</w:t>
      </w:r>
    </w:p>
    <w:p>
      <w:pPr>
        <w:tabs>
          <w:tab w:pos="9000" w:val="right" w:leader="dot"/>
        </w:tabs>
        <w:spacing w:line="300" w:lineRule="auto" w:after="40"/>
        <w:ind w:left="432"/>
      </w:pPr>
      <w:r>
        <w:rPr>
          <w:rFonts w:ascii="Times New Roman" w:hAnsi="Times New Roman"/>
          <w:sz w:val="20"/>
        </w:rPr>
        <w:t>3.1 Analysis of Contemporary Commercial ATS Platforms</w:t>
      </w:r>
      <w:r>
        <w:rPr>
          <w:rFonts w:ascii="Times New Roman" w:hAnsi="Times New Roman"/>
          <w:sz w:val="20"/>
        </w:rPr>
        <w:tab/>
        <w:t>19</w:t>
      </w:r>
    </w:p>
    <w:p>
      <w:pPr>
        <w:tabs>
          <w:tab w:pos="9000" w:val="right" w:leader="dot"/>
        </w:tabs>
        <w:spacing w:line="300" w:lineRule="auto" w:after="40"/>
        <w:ind w:left="432"/>
      </w:pPr>
      <w:r>
        <w:rPr>
          <w:rFonts w:ascii="Times New Roman" w:hAnsi="Times New Roman"/>
          <w:sz w:val="20"/>
        </w:rPr>
        <w:t>3.2 Deep Architectural Limitations of Existing Systems</w:t>
      </w:r>
      <w:r>
        <w:rPr>
          <w:rFonts w:ascii="Times New Roman" w:hAnsi="Times New Roman"/>
          <w:sz w:val="20"/>
        </w:rPr>
        <w:tab/>
        <w:t>19</w:t>
      </w:r>
    </w:p>
    <w:p>
      <w:pPr>
        <w:tabs>
          <w:tab w:pos="9000" w:val="right" w:leader="dot"/>
        </w:tabs>
        <w:spacing w:line="300" w:lineRule="auto" w:after="40"/>
        <w:ind w:left="432"/>
      </w:pPr>
      <w:r>
        <w:rPr>
          <w:rFonts w:ascii="Times New Roman" w:hAnsi="Times New Roman"/>
          <w:sz w:val="20"/>
        </w:rPr>
        <w:t>3.3 Proposed System Architecture: The Noetrix Solution</w:t>
      </w:r>
      <w:r>
        <w:rPr>
          <w:rFonts w:ascii="Times New Roman" w:hAnsi="Times New Roman"/>
          <w:sz w:val="20"/>
        </w:rPr>
        <w:tab/>
        <w:t>20</w:t>
      </w:r>
    </w:p>
    <w:p>
      <w:pPr>
        <w:tabs>
          <w:tab w:pos="9000" w:val="right" w:leader="dot"/>
        </w:tabs>
        <w:spacing w:line="300" w:lineRule="auto" w:after="40"/>
        <w:ind w:left="432"/>
      </w:pPr>
      <w:r>
        <w:rPr>
          <w:rFonts w:ascii="Times New Roman" w:hAnsi="Times New Roman"/>
          <w:sz w:val="20"/>
        </w:rPr>
        <w:t>3.4 Multidimensional Feasibility Study</w:t>
      </w:r>
      <w:r>
        <w:rPr>
          <w:rFonts w:ascii="Times New Roman" w:hAnsi="Times New Roman"/>
          <w:sz w:val="20"/>
        </w:rPr>
        <w:tab/>
        <w:t>21</w:t>
      </w:r>
    </w:p>
    <w:p>
      <w:pPr>
        <w:tabs>
          <w:tab w:pos="9000" w:val="right" w:leader="dot"/>
        </w:tabs>
        <w:spacing w:line="300" w:lineRule="auto" w:after="40"/>
        <w:ind w:left="432"/>
      </w:pPr>
      <w:r>
        <w:rPr>
          <w:rFonts w:ascii="Times New Roman" w:hAnsi="Times New Roman"/>
          <w:sz w:val="20"/>
        </w:rPr>
        <w:t>3.5 Architectural Feasibility and Regulatory Compliance Matrix</w:t>
      </w:r>
      <w:r>
        <w:rPr>
          <w:rFonts w:ascii="Times New Roman" w:hAnsi="Times New Roman"/>
          <w:sz w:val="20"/>
        </w:rPr>
        <w:tab/>
        <w:t>21</w:t>
      </w:r>
    </w:p>
    <w:p>
      <w:pPr>
        <w:tabs>
          <w:tab w:pos="9000" w:val="right" w:leader="dot"/>
        </w:tabs>
        <w:spacing w:line="300" w:lineRule="auto" w:after="40"/>
      </w:pPr>
      <w:r>
        <w:rPr>
          <w:rFonts w:ascii="Times New Roman" w:hAnsi="Times New Roman"/>
          <w:b/>
          <w:color w:val="1E406B"/>
          <w:sz w:val="22"/>
        </w:rPr>
        <w:t>Chapter 4: System Design</w:t>
      </w:r>
      <w:r>
        <w:rPr>
          <w:rFonts w:ascii="Times New Roman" w:hAnsi="Times New Roman"/>
          <w:sz w:val="22"/>
        </w:rPr>
        <w:tab/>
        <w:t>22</w:t>
      </w:r>
    </w:p>
    <w:p>
      <w:pPr>
        <w:tabs>
          <w:tab w:pos="9000" w:val="right" w:leader="dot"/>
        </w:tabs>
        <w:spacing w:line="300" w:lineRule="auto" w:after="40"/>
        <w:ind w:left="432"/>
      </w:pPr>
      <w:r>
        <w:rPr>
          <w:rFonts w:ascii="Times New Roman" w:hAnsi="Times New Roman"/>
          <w:sz w:val="20"/>
        </w:rPr>
        <w:t>4.1 High-Level Architectural Overview</w:t>
      </w:r>
      <w:r>
        <w:rPr>
          <w:rFonts w:ascii="Times New Roman" w:hAnsi="Times New Roman"/>
          <w:sz w:val="20"/>
        </w:rPr>
        <w:tab/>
        <w:t>22</w:t>
      </w:r>
    </w:p>
    <w:p>
      <w:pPr>
        <w:tabs>
          <w:tab w:pos="9000" w:val="right" w:leader="dot"/>
        </w:tabs>
        <w:spacing w:line="300" w:lineRule="auto" w:after="40"/>
        <w:ind w:left="432"/>
      </w:pPr>
      <w:r>
        <w:rPr>
          <w:rFonts w:ascii="Times New Roman" w:hAnsi="Times New Roman"/>
          <w:sz w:val="20"/>
        </w:rPr>
        <w:t>4.2 C4 Architectural Model</w:t>
      </w:r>
      <w:r>
        <w:rPr>
          <w:rFonts w:ascii="Times New Roman" w:hAnsi="Times New Roman"/>
          <w:sz w:val="20"/>
        </w:rPr>
        <w:tab/>
        <w:t>23</w:t>
      </w:r>
    </w:p>
    <w:p>
      <w:pPr>
        <w:tabs>
          <w:tab w:pos="9000" w:val="right" w:leader="dot"/>
        </w:tabs>
        <w:spacing w:line="300" w:lineRule="auto" w:after="40"/>
        <w:ind w:left="432"/>
      </w:pPr>
      <w:r>
        <w:rPr>
          <w:rFonts w:ascii="Times New Roman" w:hAnsi="Times New Roman"/>
          <w:sz w:val="20"/>
        </w:rPr>
        <w:t>4.3 Data Flow Modeling (DFD Levels 0, 1, and 2)</w:t>
      </w:r>
      <w:r>
        <w:rPr>
          <w:rFonts w:ascii="Times New Roman" w:hAnsi="Times New Roman"/>
          <w:sz w:val="20"/>
        </w:rPr>
        <w:tab/>
        <w:t>24</w:t>
      </w:r>
    </w:p>
    <w:p>
      <w:pPr>
        <w:tabs>
          <w:tab w:pos="9000" w:val="right" w:leader="dot"/>
        </w:tabs>
        <w:spacing w:line="300" w:lineRule="auto" w:after="40"/>
        <w:ind w:left="432"/>
      </w:pPr>
      <w:r>
        <w:rPr>
          <w:rFonts w:ascii="Times New Roman" w:hAnsi="Times New Roman"/>
          <w:sz w:val="20"/>
        </w:rPr>
        <w:t>4.3.2 DFD Level 1 (Functional Decomposition Modeling)</w:t>
      </w:r>
      <w:r>
        <w:rPr>
          <w:rFonts w:ascii="Times New Roman" w:hAnsi="Times New Roman"/>
          <w:sz w:val="20"/>
        </w:rPr>
        <w:tab/>
        <w:t>25</w:t>
      </w:r>
    </w:p>
    <w:p>
      <w:pPr>
        <w:tabs>
          <w:tab w:pos="9000" w:val="right" w:leader="dot"/>
        </w:tabs>
        <w:spacing w:line="300" w:lineRule="auto" w:after="40"/>
        <w:ind w:left="432"/>
      </w:pPr>
      <w:r>
        <w:rPr>
          <w:rFonts w:ascii="Times New Roman" w:hAnsi="Times New Roman"/>
          <w:sz w:val="20"/>
        </w:rPr>
        <w:t>4.3.3 DFD Level 2 (GenAI Privacy &amp; Zero-Fabrication Pipeline)</w:t>
      </w:r>
      <w:r>
        <w:rPr>
          <w:rFonts w:ascii="Times New Roman" w:hAnsi="Times New Roman"/>
          <w:sz w:val="20"/>
        </w:rPr>
        <w:tab/>
        <w:t>26</w:t>
      </w:r>
    </w:p>
    <w:p>
      <w:pPr>
        <w:tabs>
          <w:tab w:pos="9000" w:val="right" w:leader="dot"/>
        </w:tabs>
        <w:spacing w:line="300" w:lineRule="auto" w:after="40"/>
        <w:ind w:left="432"/>
      </w:pPr>
      <w:r>
        <w:rPr>
          <w:rFonts w:ascii="Times New Roman" w:hAnsi="Times New Roman"/>
          <w:sz w:val="20"/>
        </w:rPr>
        <w:t>4.4 System Behavioral Modeling and Flowcharts</w:t>
      </w:r>
      <w:r>
        <w:rPr>
          <w:rFonts w:ascii="Times New Roman" w:hAnsi="Times New Roman"/>
          <w:sz w:val="20"/>
        </w:rPr>
        <w:tab/>
        <w:t>27</w:t>
      </w:r>
    </w:p>
    <w:p>
      <w:pPr>
        <w:tabs>
          <w:tab w:pos="9000" w:val="right" w:leader="dot"/>
        </w:tabs>
        <w:spacing w:line="300" w:lineRule="auto" w:after="40"/>
        <w:ind w:left="432"/>
      </w:pPr>
      <w:r>
        <w:rPr>
          <w:rFonts w:ascii="Times New Roman" w:hAnsi="Times New Roman"/>
          <w:sz w:val="20"/>
        </w:rPr>
        <w:t>4.4.2 Recruiter Batch Screening and Audit Workflow Flowchart</w:t>
      </w:r>
      <w:r>
        <w:rPr>
          <w:rFonts w:ascii="Times New Roman" w:hAnsi="Times New Roman"/>
          <w:sz w:val="20"/>
        </w:rPr>
        <w:tab/>
        <w:t>28</w:t>
      </w:r>
    </w:p>
    <w:p>
      <w:pPr>
        <w:tabs>
          <w:tab w:pos="9000" w:val="right" w:leader="dot"/>
        </w:tabs>
        <w:spacing w:line="300" w:lineRule="auto" w:after="40"/>
        <w:ind w:left="432"/>
      </w:pPr>
      <w:r>
        <w:rPr>
          <w:rFonts w:ascii="Times New Roman" w:hAnsi="Times New Roman"/>
          <w:sz w:val="20"/>
        </w:rPr>
        <w:t>4.5 Subsystem Decomposition and Module Architecture</w:t>
      </w:r>
      <w:r>
        <w:rPr>
          <w:rFonts w:ascii="Times New Roman" w:hAnsi="Times New Roman"/>
          <w:sz w:val="20"/>
        </w:rPr>
        <w:tab/>
        <w:t>29</w:t>
      </w:r>
    </w:p>
    <w:p>
      <w:pPr>
        <w:tabs>
          <w:tab w:pos="9000" w:val="right" w:leader="dot"/>
        </w:tabs>
        <w:spacing w:line="300" w:lineRule="auto" w:after="40"/>
        <w:ind w:left="432"/>
      </w:pPr>
      <w:r>
        <w:rPr>
          <w:rFonts w:ascii="Times New Roman" w:hAnsi="Times New Roman"/>
          <w:sz w:val="20"/>
        </w:rPr>
        <w:t>4.6 Ephemeral Stateless Session Architecture and Zero-Retention Lifecycle</w:t>
      </w:r>
      <w:r>
        <w:rPr>
          <w:rFonts w:ascii="Times New Roman" w:hAnsi="Times New Roman"/>
          <w:sz w:val="20"/>
        </w:rPr>
        <w:tab/>
        <w:t>30</w:t>
      </w:r>
    </w:p>
    <w:p>
      <w:pPr>
        <w:tabs>
          <w:tab w:pos="9000" w:val="right" w:leader="dot"/>
        </w:tabs>
        <w:spacing w:line="300" w:lineRule="auto" w:after="40"/>
      </w:pPr>
      <w:r>
        <w:rPr>
          <w:rFonts w:ascii="Times New Roman" w:hAnsi="Times New Roman"/>
          <w:b/>
          <w:color w:val="1E406B"/>
          <w:sz w:val="22"/>
        </w:rPr>
        <w:t>Chapter 5: Methodology And Mathematical Modeling</w:t>
      </w:r>
      <w:r>
        <w:rPr>
          <w:rFonts w:ascii="Times New Roman" w:hAnsi="Times New Roman"/>
          <w:sz w:val="22"/>
        </w:rPr>
        <w:tab/>
        <w:t>31</w:t>
      </w:r>
    </w:p>
    <w:p>
      <w:pPr>
        <w:tabs>
          <w:tab w:pos="9000" w:val="right" w:leader="dot"/>
        </w:tabs>
        <w:spacing w:line="300" w:lineRule="auto" w:after="40"/>
        <w:ind w:left="432"/>
      </w:pPr>
      <w:r>
        <w:rPr>
          <w:rFonts w:ascii="Times New Roman" w:hAnsi="Times New Roman"/>
          <w:sz w:val="20"/>
        </w:rPr>
        <w:t>5.1 End-to-End Hybrid Processing Pipeline</w:t>
      </w:r>
      <w:r>
        <w:rPr>
          <w:rFonts w:ascii="Times New Roman" w:hAnsi="Times New Roman"/>
          <w:sz w:val="20"/>
        </w:rPr>
        <w:tab/>
        <w:t>31</w:t>
      </w:r>
    </w:p>
    <w:p>
      <w:pPr>
        <w:tabs>
          <w:tab w:pos="9000" w:val="right" w:leader="dot"/>
        </w:tabs>
        <w:spacing w:line="300" w:lineRule="auto" w:after="40"/>
        <w:ind w:left="432"/>
      </w:pPr>
      <w:r>
        <w:rPr>
          <w:rFonts w:ascii="Times New Roman" w:hAnsi="Times New Roman"/>
          <w:sz w:val="20"/>
        </w:rPr>
        <w:t>5.2 Mathematical Formulation of the Six Scoring Dimensions</w:t>
      </w:r>
      <w:r>
        <w:rPr>
          <w:rFonts w:ascii="Times New Roman" w:hAnsi="Times New Roman"/>
          <w:sz w:val="20"/>
        </w:rPr>
        <w:tab/>
        <w:t>31</w:t>
      </w:r>
    </w:p>
    <w:p>
      <w:pPr>
        <w:tabs>
          <w:tab w:pos="9000" w:val="right" w:leader="dot"/>
        </w:tabs>
        <w:spacing w:line="300" w:lineRule="auto" w:after="40"/>
        <w:ind w:left="432"/>
      </w:pPr>
      <w:r>
        <w:rPr>
          <w:rFonts w:ascii="Times New Roman" w:hAnsi="Times New Roman"/>
          <w:sz w:val="20"/>
        </w:rPr>
        <w:t>5.3 Composite Scoring and the 50% Soft Knockout Ceiling</w:t>
      </w:r>
      <w:r>
        <w:rPr>
          <w:rFonts w:ascii="Times New Roman" w:hAnsi="Times New Roman"/>
          <w:sz w:val="20"/>
        </w:rPr>
        <w:tab/>
        <w:t>34</w:t>
      </w:r>
    </w:p>
    <w:p>
      <w:pPr>
        <w:tabs>
          <w:tab w:pos="9000" w:val="right" w:leader="dot"/>
        </w:tabs>
        <w:spacing w:line="300" w:lineRule="auto" w:after="40"/>
        <w:ind w:left="432"/>
      </w:pPr>
      <w:r>
        <w:rPr>
          <w:rFonts w:ascii="Times New Roman" w:hAnsi="Times New Roman"/>
          <w:sz w:val="20"/>
        </w:rPr>
        <w:t>5.4 Multi-Tier Deterministic Tie-Breaking Algorithm</w:t>
      </w:r>
      <w:r>
        <w:rPr>
          <w:rFonts w:ascii="Times New Roman" w:hAnsi="Times New Roman"/>
          <w:sz w:val="20"/>
        </w:rPr>
        <w:tab/>
        <w:t>36</w:t>
      </w:r>
    </w:p>
    <w:p>
      <w:pPr>
        <w:tabs>
          <w:tab w:pos="9000" w:val="right" w:leader="dot"/>
        </w:tabs>
        <w:spacing w:line="300" w:lineRule="auto" w:after="40"/>
        <w:ind w:left="432"/>
      </w:pPr>
      <w:r>
        <w:rPr>
          <w:rFonts w:ascii="Times New Roman" w:hAnsi="Times New Roman"/>
          <w:sz w:val="20"/>
        </w:rPr>
        <w:t>5.5 Guardrailed Generative AI and Zero-Fabrication Validator</w:t>
      </w:r>
      <w:r>
        <w:rPr>
          <w:rFonts w:ascii="Times New Roman" w:hAnsi="Times New Roman"/>
          <w:sz w:val="20"/>
        </w:rPr>
        <w:tab/>
        <w:t>36</w:t>
      </w:r>
    </w:p>
    <w:p>
      <w:pPr>
        <w:tabs>
          <w:tab w:pos="9000" w:val="right" w:leader="dot"/>
        </w:tabs>
        <w:spacing w:line="300" w:lineRule="auto" w:after="40"/>
        <w:ind w:left="432"/>
      </w:pPr>
      <w:r>
        <w:rPr>
          <w:rFonts w:ascii="Times New Roman" w:hAnsi="Times New Roman"/>
          <w:sz w:val="20"/>
        </w:rPr>
        <w:t>5.6 Algorithmic Complexity, Latency Profiling, and Invariance Guarantees</w:t>
      </w:r>
      <w:r>
        <w:rPr>
          <w:rFonts w:ascii="Times New Roman" w:hAnsi="Times New Roman"/>
          <w:sz w:val="20"/>
        </w:rPr>
        <w:tab/>
        <w:t>37</w:t>
      </w:r>
    </w:p>
    <w:p>
      <w:pPr>
        <w:tabs>
          <w:tab w:pos="9000" w:val="right" w:leader="dot"/>
        </w:tabs>
        <w:spacing w:line="300" w:lineRule="auto" w:after="40"/>
      </w:pPr>
      <w:r>
        <w:rPr>
          <w:rFonts w:ascii="Times New Roman" w:hAnsi="Times New Roman"/>
          <w:b/>
          <w:color w:val="1E406B"/>
          <w:sz w:val="22"/>
        </w:rPr>
        <w:t>Chapter 6: Implementation And Visual Showcase</w:t>
      </w:r>
      <w:r>
        <w:rPr>
          <w:rFonts w:ascii="Times New Roman" w:hAnsi="Times New Roman"/>
          <w:sz w:val="22"/>
        </w:rPr>
        <w:tab/>
        <w:t>38</w:t>
      </w:r>
    </w:p>
    <w:p>
      <w:pPr>
        <w:tabs>
          <w:tab w:pos="9000" w:val="right" w:leader="dot"/>
        </w:tabs>
        <w:spacing w:line="300" w:lineRule="auto" w:after="40"/>
        <w:ind w:left="432"/>
      </w:pPr>
      <w:r>
        <w:rPr>
          <w:rFonts w:ascii="Times New Roman" w:hAnsi="Times New Roman"/>
          <w:sz w:val="20"/>
        </w:rPr>
        <w:t>6.1 Hardware and Software Environment Specifications</w:t>
      </w:r>
      <w:r>
        <w:rPr>
          <w:rFonts w:ascii="Times New Roman" w:hAnsi="Times New Roman"/>
          <w:sz w:val="20"/>
        </w:rPr>
        <w:tab/>
        <w:t>38</w:t>
      </w:r>
    </w:p>
    <w:p>
      <w:pPr>
        <w:tabs>
          <w:tab w:pos="9000" w:val="right" w:leader="dot"/>
        </w:tabs>
        <w:spacing w:line="300" w:lineRule="auto" w:after="40"/>
        <w:ind w:left="432"/>
      </w:pPr>
      <w:r>
        <w:rPr>
          <w:rFonts w:ascii="Times New Roman" w:hAnsi="Times New Roman"/>
          <w:sz w:val="20"/>
        </w:rPr>
        <w:t>6.2 Exhaustive Technology Stack Breakdown</w:t>
      </w:r>
      <w:r>
        <w:rPr>
          <w:rFonts w:ascii="Times New Roman" w:hAnsi="Times New Roman"/>
          <w:sz w:val="20"/>
        </w:rPr>
        <w:tab/>
        <w:t>38</w:t>
      </w:r>
    </w:p>
    <w:p>
      <w:pPr>
        <w:tabs>
          <w:tab w:pos="9000" w:val="right" w:leader="dot"/>
        </w:tabs>
        <w:spacing w:line="300" w:lineRule="auto" w:after="40"/>
        <w:ind w:left="432"/>
      </w:pPr>
      <w:r>
        <w:rPr>
          <w:rFonts w:ascii="Times New Roman" w:hAnsi="Times New Roman"/>
          <w:sz w:val="20"/>
        </w:rPr>
        <w:t>6.3 Core Code Architecture and Module Walkthrough</w:t>
      </w:r>
      <w:r>
        <w:rPr>
          <w:rFonts w:ascii="Times New Roman" w:hAnsi="Times New Roman"/>
          <w:sz w:val="20"/>
        </w:rPr>
        <w:tab/>
        <w:t>39</w:t>
      </w:r>
    </w:p>
    <w:p>
      <w:pPr>
        <w:tabs>
          <w:tab w:pos="9000" w:val="right" w:leader="dot"/>
        </w:tabs>
        <w:spacing w:line="300" w:lineRule="auto" w:after="40"/>
        <w:ind w:left="432"/>
      </w:pPr>
      <w:r>
        <w:rPr>
          <w:rFonts w:ascii="Times New Roman" w:hAnsi="Times New Roman"/>
          <w:sz w:val="20"/>
        </w:rPr>
        <w:t>6.4 Visual Implementation Showcase (Complete Walkthrough of System Screenshots)</w:t>
      </w:r>
      <w:r>
        <w:rPr>
          <w:rFonts w:ascii="Times New Roman" w:hAnsi="Times New Roman"/>
          <w:sz w:val="20"/>
        </w:rPr>
        <w:tab/>
        <w:t>40</w:t>
      </w:r>
    </w:p>
    <w:p>
      <w:pPr>
        <w:tabs>
          <w:tab w:pos="9000" w:val="right" w:leader="dot"/>
        </w:tabs>
        <w:spacing w:line="300" w:lineRule="auto" w:after="40"/>
      </w:pPr>
      <w:r>
        <w:rPr>
          <w:rFonts w:ascii="Times New Roman" w:hAnsi="Times New Roman"/>
          <w:b/>
          <w:color w:val="1E406B"/>
          <w:sz w:val="22"/>
        </w:rPr>
        <w:t>Chapter 7: Results And Discussion</w:t>
      </w:r>
      <w:r>
        <w:rPr>
          <w:rFonts w:ascii="Times New Roman" w:hAnsi="Times New Roman"/>
          <w:sz w:val="22"/>
        </w:rPr>
        <w:tab/>
        <w:t>48</w:t>
      </w:r>
    </w:p>
    <w:p>
      <w:pPr>
        <w:tabs>
          <w:tab w:pos="9000" w:val="right" w:leader="dot"/>
        </w:tabs>
        <w:spacing w:line="300" w:lineRule="auto" w:after="40"/>
        <w:ind w:left="432"/>
      </w:pPr>
      <w:r>
        <w:rPr>
          <w:rFonts w:ascii="Times New Roman" w:hAnsi="Times New Roman"/>
          <w:sz w:val="20"/>
        </w:rPr>
        <w:t>7.1 Experimental Evaluation Methodology and Benchmark Corpus</w:t>
      </w:r>
      <w:r>
        <w:rPr>
          <w:rFonts w:ascii="Times New Roman" w:hAnsi="Times New Roman"/>
          <w:sz w:val="20"/>
        </w:rPr>
        <w:tab/>
        <w:t>48</w:t>
      </w:r>
    </w:p>
    <w:p>
      <w:pPr>
        <w:tabs>
          <w:tab w:pos="9000" w:val="right" w:leader="dot"/>
        </w:tabs>
        <w:spacing w:line="300" w:lineRule="auto" w:after="40"/>
        <w:ind w:left="432"/>
      </w:pPr>
      <w:r>
        <w:rPr>
          <w:rFonts w:ascii="Times New Roman" w:hAnsi="Times New Roman"/>
          <w:sz w:val="20"/>
        </w:rPr>
        <w:t>7.2 Deterministic Consistency and Reproducibility Verification</w:t>
      </w:r>
      <w:r>
        <w:rPr>
          <w:rFonts w:ascii="Times New Roman" w:hAnsi="Times New Roman"/>
          <w:sz w:val="20"/>
        </w:rPr>
        <w:tab/>
        <w:t>48</w:t>
      </w:r>
    </w:p>
    <w:p>
      <w:pPr>
        <w:tabs>
          <w:tab w:pos="9000" w:val="right" w:leader="dot"/>
        </w:tabs>
        <w:spacing w:line="300" w:lineRule="auto" w:after="40"/>
        <w:ind w:left="432"/>
      </w:pPr>
      <w:r>
        <w:rPr>
          <w:rFonts w:ascii="Times New Roman" w:hAnsi="Times New Roman"/>
          <w:sz w:val="20"/>
        </w:rPr>
        <w:t>7.3 Latency and Computational Throughput Telemetry</w:t>
      </w:r>
      <w:r>
        <w:rPr>
          <w:rFonts w:ascii="Times New Roman" w:hAnsi="Times New Roman"/>
          <w:sz w:val="20"/>
        </w:rPr>
        <w:tab/>
        <w:t>48</w:t>
      </w:r>
    </w:p>
    <w:p>
      <w:pPr>
        <w:tabs>
          <w:tab w:pos="9000" w:val="right" w:leader="dot"/>
        </w:tabs>
        <w:spacing w:line="300" w:lineRule="auto" w:after="40"/>
        <w:ind w:left="432"/>
      </w:pPr>
      <w:r>
        <w:rPr>
          <w:rFonts w:ascii="Times New Roman" w:hAnsi="Times New Roman"/>
          <w:sz w:val="20"/>
        </w:rPr>
        <w:t>7.4 Comparative Accuracy and Anti-Gaming Robustness</w:t>
      </w:r>
      <w:r>
        <w:rPr>
          <w:rFonts w:ascii="Times New Roman" w:hAnsi="Times New Roman"/>
          <w:sz w:val="20"/>
        </w:rPr>
        <w:tab/>
        <w:t>49</w:t>
      </w:r>
    </w:p>
    <w:p>
      <w:pPr>
        <w:tabs>
          <w:tab w:pos="9000" w:val="right" w:leader="dot"/>
        </w:tabs>
        <w:spacing w:line="300" w:lineRule="auto" w:after="40"/>
        <w:ind w:left="432"/>
      </w:pPr>
      <w:r>
        <w:rPr>
          <w:rFonts w:ascii="Times New Roman" w:hAnsi="Times New Roman"/>
          <w:sz w:val="20"/>
        </w:rPr>
        <w:t>7.5 Comprehensive Verification and Test Execution Matrix</w:t>
      </w:r>
      <w:r>
        <w:rPr>
          <w:rFonts w:ascii="Times New Roman" w:hAnsi="Times New Roman"/>
          <w:sz w:val="20"/>
        </w:rPr>
        <w:tab/>
        <w:t>49</w:t>
      </w:r>
    </w:p>
    <w:p>
      <w:pPr>
        <w:tabs>
          <w:tab w:pos="9000" w:val="right" w:leader="dot"/>
        </w:tabs>
        <w:spacing w:line="300" w:lineRule="auto" w:after="40"/>
        <w:ind w:left="432"/>
      </w:pPr>
      <w:r>
        <w:rPr>
          <w:rFonts w:ascii="Times New Roman" w:hAnsi="Times New Roman"/>
          <w:sz w:val="20"/>
        </w:rPr>
        <w:t>7.6 Critical Analysis and Discussion of Findings</w:t>
      </w:r>
      <w:r>
        <w:rPr>
          <w:rFonts w:ascii="Times New Roman" w:hAnsi="Times New Roman"/>
          <w:sz w:val="20"/>
        </w:rPr>
        <w:tab/>
        <w:t>51</w:t>
      </w:r>
    </w:p>
    <w:p>
      <w:pPr>
        <w:tabs>
          <w:tab w:pos="9000" w:val="right" w:leader="dot"/>
        </w:tabs>
        <w:spacing w:line="300" w:lineRule="auto" w:after="40"/>
      </w:pPr>
      <w:r>
        <w:rPr>
          <w:rFonts w:ascii="Times New Roman" w:hAnsi="Times New Roman"/>
          <w:b/>
          <w:color w:val="1E406B"/>
          <w:sz w:val="22"/>
        </w:rPr>
        <w:t>Chapter 8: Advantages And Limitations</w:t>
      </w:r>
      <w:r>
        <w:rPr>
          <w:rFonts w:ascii="Times New Roman" w:hAnsi="Times New Roman"/>
          <w:sz w:val="22"/>
        </w:rPr>
        <w:tab/>
        <w:t>52</w:t>
      </w:r>
    </w:p>
    <w:p>
      <w:pPr>
        <w:tabs>
          <w:tab w:pos="9000" w:val="right" w:leader="dot"/>
        </w:tabs>
        <w:spacing w:line="300" w:lineRule="auto" w:after="40"/>
        <w:ind w:left="432"/>
      </w:pPr>
      <w:r>
        <w:rPr>
          <w:rFonts w:ascii="Times New Roman" w:hAnsi="Times New Roman"/>
          <w:sz w:val="20"/>
        </w:rPr>
        <w:t>8.1 Key Advantages of the Noetrix System</w:t>
      </w:r>
      <w:r>
        <w:rPr>
          <w:rFonts w:ascii="Times New Roman" w:hAnsi="Times New Roman"/>
          <w:sz w:val="20"/>
        </w:rPr>
        <w:tab/>
        <w:t>52</w:t>
      </w:r>
    </w:p>
    <w:p>
      <w:pPr>
        <w:tabs>
          <w:tab w:pos="9000" w:val="right" w:leader="dot"/>
        </w:tabs>
        <w:spacing w:line="300" w:lineRule="auto" w:after="40"/>
        <w:ind w:left="432"/>
      </w:pPr>
      <w:r>
        <w:rPr>
          <w:rFonts w:ascii="Times New Roman" w:hAnsi="Times New Roman"/>
          <w:sz w:val="20"/>
        </w:rPr>
        <w:t>8.2 System Limitations and Boundary Conditions</w:t>
      </w:r>
      <w:r>
        <w:rPr>
          <w:rFonts w:ascii="Times New Roman" w:hAnsi="Times New Roman"/>
          <w:sz w:val="20"/>
        </w:rPr>
        <w:tab/>
        <w:t>52</w:t>
      </w:r>
    </w:p>
    <w:p>
      <w:pPr>
        <w:tabs>
          <w:tab w:pos="9000" w:val="right" w:leader="dot"/>
        </w:tabs>
        <w:spacing w:line="300" w:lineRule="auto" w:after="40"/>
        <w:ind w:left="432"/>
      </w:pPr>
      <w:r>
        <w:rPr>
          <w:rFonts w:ascii="Times New Roman" w:hAnsi="Times New Roman"/>
          <w:sz w:val="20"/>
        </w:rPr>
        <w:t>8.3 Security, Privacy, and Ethical AI Alignment</w:t>
      </w:r>
      <w:r>
        <w:rPr>
          <w:rFonts w:ascii="Times New Roman" w:hAnsi="Times New Roman"/>
          <w:sz w:val="20"/>
        </w:rPr>
        <w:tab/>
        <w:t>53</w:t>
      </w:r>
    </w:p>
    <w:p>
      <w:pPr>
        <w:tabs>
          <w:tab w:pos="9000" w:val="right" w:leader="dot"/>
        </w:tabs>
        <w:spacing w:line="300" w:lineRule="auto" w:after="40"/>
      </w:pPr>
      <w:r>
        <w:rPr>
          <w:rFonts w:ascii="Times New Roman" w:hAnsi="Times New Roman"/>
          <w:b/>
          <w:color w:val="1E406B"/>
          <w:sz w:val="22"/>
        </w:rPr>
        <w:t>Chapter 9: Conclusion</w:t>
      </w:r>
      <w:r>
        <w:rPr>
          <w:rFonts w:ascii="Times New Roman" w:hAnsi="Times New Roman"/>
          <w:sz w:val="22"/>
        </w:rPr>
        <w:tab/>
        <w:t>54</w:t>
      </w:r>
    </w:p>
    <w:p>
      <w:pPr>
        <w:tabs>
          <w:tab w:pos="9000" w:val="right" w:leader="dot"/>
        </w:tabs>
        <w:spacing w:line="300" w:lineRule="auto" w:after="40"/>
        <w:ind w:left="432"/>
      </w:pPr>
      <w:r>
        <w:rPr>
          <w:rFonts w:ascii="Times New Roman" w:hAnsi="Times New Roman"/>
          <w:sz w:val="20"/>
        </w:rPr>
        <w:t>9.1 Synthesis of Completed Work</w:t>
      </w:r>
      <w:r>
        <w:rPr>
          <w:rFonts w:ascii="Times New Roman" w:hAnsi="Times New Roman"/>
          <w:sz w:val="20"/>
        </w:rPr>
        <w:tab/>
        <w:t>54</w:t>
      </w:r>
    </w:p>
    <w:p>
      <w:pPr>
        <w:tabs>
          <w:tab w:pos="9000" w:val="right" w:leader="dot"/>
        </w:tabs>
        <w:spacing w:line="300" w:lineRule="auto" w:after="40"/>
        <w:ind w:left="432"/>
      </w:pPr>
      <w:r>
        <w:rPr>
          <w:rFonts w:ascii="Times New Roman" w:hAnsi="Times New Roman"/>
          <w:sz w:val="20"/>
        </w:rPr>
        <w:t>9.2 Fulfillment of Capstone Objectives</w:t>
      </w:r>
      <w:r>
        <w:rPr>
          <w:rFonts w:ascii="Times New Roman" w:hAnsi="Times New Roman"/>
          <w:sz w:val="20"/>
        </w:rPr>
        <w:tab/>
        <w:t>54</w:t>
      </w:r>
    </w:p>
    <w:p>
      <w:pPr>
        <w:tabs>
          <w:tab w:pos="9000" w:val="right" w:leader="dot"/>
        </w:tabs>
        <w:spacing w:line="300" w:lineRule="auto" w:after="40"/>
        <w:ind w:left="432"/>
      </w:pPr>
      <w:r>
        <w:rPr>
          <w:rFonts w:ascii="Times New Roman" w:hAnsi="Times New Roman"/>
          <w:sz w:val="20"/>
        </w:rPr>
        <w:t>9.3 Practical Impact and Concluding Remarks</w:t>
      </w:r>
      <w:r>
        <w:rPr>
          <w:rFonts w:ascii="Times New Roman" w:hAnsi="Times New Roman"/>
          <w:sz w:val="20"/>
        </w:rPr>
        <w:tab/>
        <w:t>54</w:t>
      </w:r>
    </w:p>
    <w:p>
      <w:pPr>
        <w:tabs>
          <w:tab w:pos="9000" w:val="right" w:leader="dot"/>
        </w:tabs>
        <w:spacing w:line="300" w:lineRule="auto" w:after="40"/>
      </w:pPr>
      <w:r>
        <w:rPr>
          <w:rFonts w:ascii="Times New Roman" w:hAnsi="Times New Roman"/>
          <w:b/>
          <w:color w:val="1E406B"/>
          <w:sz w:val="22"/>
        </w:rPr>
        <w:t>Chapter 10: Future Scope And Roadmap</w:t>
      </w:r>
      <w:r>
        <w:rPr>
          <w:rFonts w:ascii="Times New Roman" w:hAnsi="Times New Roman"/>
          <w:sz w:val="22"/>
        </w:rPr>
        <w:tab/>
        <w:t>55</w:t>
      </w:r>
    </w:p>
    <w:p>
      <w:pPr>
        <w:tabs>
          <w:tab w:pos="9000" w:val="right" w:leader="dot"/>
        </w:tabs>
        <w:spacing w:line="300" w:lineRule="auto" w:after="40"/>
        <w:ind w:left="432"/>
      </w:pPr>
      <w:r>
        <w:rPr>
          <w:rFonts w:ascii="Times New Roman" w:hAnsi="Times New Roman"/>
          <w:sz w:val="20"/>
        </w:rPr>
        <w:t>10.1 Multi-Lingual and Cross-Cultural Natural Language Processing</w:t>
      </w:r>
      <w:r>
        <w:rPr>
          <w:rFonts w:ascii="Times New Roman" w:hAnsi="Times New Roman"/>
          <w:sz w:val="20"/>
        </w:rPr>
        <w:tab/>
        <w:t>55</w:t>
      </w:r>
    </w:p>
    <w:p>
      <w:pPr>
        <w:tabs>
          <w:tab w:pos="9000" w:val="right" w:leader="dot"/>
        </w:tabs>
        <w:spacing w:line="300" w:lineRule="auto" w:after="40"/>
        <w:ind w:left="432"/>
      </w:pPr>
      <w:r>
        <w:rPr>
          <w:rFonts w:ascii="Times New Roman" w:hAnsi="Times New Roman"/>
          <w:sz w:val="20"/>
        </w:rPr>
        <w:t>10.2 Audio and Video Interview Screening Integration</w:t>
      </w:r>
      <w:r>
        <w:rPr>
          <w:rFonts w:ascii="Times New Roman" w:hAnsi="Times New Roman"/>
          <w:sz w:val="20"/>
        </w:rPr>
        <w:tab/>
        <w:t>55</w:t>
      </w:r>
    </w:p>
    <w:p>
      <w:pPr>
        <w:tabs>
          <w:tab w:pos="9000" w:val="right" w:leader="dot"/>
        </w:tabs>
        <w:spacing w:line="300" w:lineRule="auto" w:after="40"/>
        <w:ind w:left="432"/>
      </w:pPr>
      <w:r>
        <w:rPr>
          <w:rFonts w:ascii="Times New Roman" w:hAnsi="Times New Roman"/>
          <w:sz w:val="20"/>
        </w:rPr>
        <w:t>10.3 Enterprise RBAC and HRIS Integration Ecosystem</w:t>
      </w:r>
      <w:r>
        <w:rPr>
          <w:rFonts w:ascii="Times New Roman" w:hAnsi="Times New Roman"/>
          <w:sz w:val="20"/>
        </w:rPr>
        <w:tab/>
        <w:t>55</w:t>
      </w:r>
    </w:p>
    <w:p>
      <w:pPr>
        <w:tabs>
          <w:tab w:pos="9000" w:val="right" w:leader="dot"/>
        </w:tabs>
        <w:spacing w:line="300" w:lineRule="auto" w:after="40"/>
        <w:ind w:left="432"/>
      </w:pPr>
      <w:r>
        <w:rPr>
          <w:rFonts w:ascii="Times New Roman" w:hAnsi="Times New Roman"/>
          <w:sz w:val="20"/>
        </w:rPr>
        <w:t>10.4 Continuous Autonomous Bias Auditing and Calibration</w:t>
      </w:r>
      <w:r>
        <w:rPr>
          <w:rFonts w:ascii="Times New Roman" w:hAnsi="Times New Roman"/>
          <w:sz w:val="20"/>
        </w:rPr>
        <w:tab/>
        <w:t>55</w:t>
      </w:r>
    </w:p>
    <w:p>
      <w:pPr>
        <w:tabs>
          <w:tab w:pos="9000" w:val="right" w:leader="dot"/>
        </w:tabs>
        <w:spacing w:line="300" w:lineRule="auto" w:after="40"/>
        <w:ind w:left="432"/>
      </w:pPr>
      <w:r>
        <w:rPr>
          <w:rFonts w:ascii="Times New Roman" w:hAnsi="Times New Roman"/>
          <w:sz w:val="20"/>
        </w:rPr>
        <w:t>10.5 Long-Term Research Vision and Standards Contribution</w:t>
      </w:r>
      <w:r>
        <w:rPr>
          <w:rFonts w:ascii="Times New Roman" w:hAnsi="Times New Roman"/>
          <w:sz w:val="20"/>
        </w:rPr>
        <w:tab/>
        <w:t>55</w:t>
      </w:r>
    </w:p>
    <w:p>
      <w:pPr>
        <w:tabs>
          <w:tab w:pos="9000" w:val="right" w:leader="dot"/>
        </w:tabs>
        <w:spacing w:line="300" w:lineRule="auto" w:after="40"/>
      </w:pPr>
      <w:r>
        <w:rPr>
          <w:rFonts w:ascii="Times New Roman" w:hAnsi="Times New Roman"/>
          <w:b/>
          <w:color w:val="1E406B"/>
          <w:sz w:val="22"/>
        </w:rPr>
        <w:t>References</w:t>
      </w:r>
      <w:r>
        <w:rPr>
          <w:rFonts w:ascii="Times New Roman" w:hAnsi="Times New Roman"/>
          <w:sz w:val="22"/>
        </w:rPr>
        <w:tab/>
        <w:t>56</w:t>
      </w:r>
    </w:p>
    <w:p>
      <w:pPr>
        <w:tabs>
          <w:tab w:pos="9000" w:val="right" w:leader="dot"/>
        </w:tabs>
        <w:spacing w:line="300" w:lineRule="auto" w:after="40"/>
      </w:pPr>
      <w:r>
        <w:rPr>
          <w:rFonts w:ascii="Times New Roman" w:hAnsi="Times New Roman"/>
          <w:b/>
          <w:color w:val="1E406B"/>
          <w:sz w:val="22"/>
        </w:rPr>
        <w:t>Appendix A: Core Scoring Engine Source Code (engine.py)</w:t>
      </w:r>
      <w:r>
        <w:rPr>
          <w:rFonts w:ascii="Times New Roman" w:hAnsi="Times New Roman"/>
          <w:sz w:val="22"/>
        </w:rPr>
        <w:tab/>
        <w:t>57</w:t>
      </w:r>
    </w:p>
    <w:p>
      <w:pPr>
        <w:tabs>
          <w:tab w:pos="9000" w:val="right" w:leader="dot"/>
        </w:tabs>
        <w:spacing w:line="300" w:lineRule="auto" w:after="40"/>
      </w:pPr>
      <w:r>
        <w:rPr>
          <w:rFonts w:ascii="Times New Roman" w:hAnsi="Times New Roman"/>
          <w:b/>
          <w:color w:val="1E406B"/>
          <w:sz w:val="22"/>
        </w:rPr>
        <w:t>Appendix B: Zero-Fabrication Validator Source Code (improver.py)</w:t>
      </w:r>
      <w:r>
        <w:rPr>
          <w:rFonts w:ascii="Times New Roman" w:hAnsi="Times New Roman"/>
          <w:sz w:val="22"/>
        </w:rPr>
        <w:tab/>
        <w:t>58</w:t>
      </w:r>
    </w:p>
    <w:p>
      <w:pPr>
        <w:tabs>
          <w:tab w:pos="9000" w:val="right" w:leader="dot"/>
        </w:tabs>
        <w:spacing w:line="300" w:lineRule="auto" w:after="40"/>
      </w:pPr>
      <w:r>
        <w:rPr>
          <w:rFonts w:ascii="Times New Roman" w:hAnsi="Times New Roman"/>
          <w:b/>
          <w:color w:val="1E406B"/>
          <w:sz w:val="22"/>
        </w:rPr>
        <w:t>Appendix C: Central Pydantic Data Contracts (scoring.py &amp; resume.py)</w:t>
      </w:r>
      <w:r>
        <w:rPr>
          <w:rFonts w:ascii="Times New Roman" w:hAnsi="Times New Roman"/>
          <w:sz w:val="22"/>
        </w:rPr>
        <w:tab/>
        <w:t>59</w:t>
      </w:r>
    </w:p>
    <w:p>
      <w:pPr>
        <w:tabs>
          <w:tab w:pos="9000" w:val="right" w:leader="dot"/>
        </w:tabs>
        <w:spacing w:line="300" w:lineRule="auto" w:after="40"/>
      </w:pPr>
      <w:r>
        <w:rPr>
          <w:rFonts w:ascii="Times New Roman" w:hAnsi="Times New Roman"/>
          <w:b/>
          <w:color w:val="1E406B"/>
          <w:sz w:val="22"/>
        </w:rPr>
        <w:t>Appendix D: Automated Test Suite Telemetry Logs</w:t>
      </w:r>
      <w:r>
        <w:rPr>
          <w:rFonts w:ascii="Times New Roman" w:hAnsi="Times New Roman"/>
          <w:sz w:val="22"/>
        </w:rPr>
        <w:tab/>
        <w:t>60</w:t>
      </w:r>
    </w:p>
    <w:p>
      <w:pPr>
        <w:tabs>
          <w:tab w:pos="9000" w:val="right" w:leader="dot"/>
        </w:tabs>
        <w:spacing w:line="300" w:lineRule="auto" w:after="40"/>
      </w:pPr>
      <w:r>
        <w:rPr>
          <w:rFonts w:ascii="Times New Roman" w:hAnsi="Times New Roman"/>
          <w:b/>
          <w:color w:val="1E406B"/>
          <w:sz w:val="22"/>
        </w:rPr>
        <w:t>Appendix E: Declarative Mermaid Software Engineering Specifications</w:t>
      </w:r>
      <w:r>
        <w:rPr>
          <w:rFonts w:ascii="Times New Roman" w:hAnsi="Times New Roman"/>
          <w:sz w:val="22"/>
        </w:rPr>
        <w:tab/>
        <w:t>61</w:t>
      </w:r>
    </w:p>
    <w:p>
      <w:r>
        <w:br w:type="page"/>
      </w:r>
    </w:p>
    <w:p>
      <w:pPr>
        <w:spacing w:before="0" w:after="80"/>
      </w:pPr>
    </w:p>
    <w:p>
      <w:pPr>
        <w:spacing w:before="120" w:after="40"/>
        <w:jc w:val="center"/>
        <w:shd w:val="clear" w:color="auto" w:fill="0B1C2D"/>
        <w:pBdr>
          <w:bottom w:val="single" w:sz="8" w:space="1" w:color="C8A02A"/>
        </w:pBdr>
      </w:pPr>
      <w:r>
        <w:rPr>
          <w:rFonts w:ascii="Times New Roman" w:hAnsi="Times New Roman"/>
          <w:b/>
          <w:color w:val="FFFFFF"/>
          <w:sz w:val="30"/>
        </w:rPr>
        <w:t xml:space="preserve">  LIST OF FIGURES  </w:t>
      </w:r>
    </w:p>
    <w:p>
      <w:pPr>
        <w:spacing w:before="0" w:after="160"/>
      </w:pPr>
    </w:p>
    <w:p>
      <w:pPr>
        <w:tabs>
          <w:tab w:pos="9000" w:val="right" w:leader="dot"/>
        </w:tabs>
        <w:spacing w:line="300" w:lineRule="auto" w:after="60"/>
      </w:pPr>
      <w:r>
        <w:rPr>
          <w:rFonts w:ascii="Times New Roman" w:hAnsi="Times New Roman"/>
          <w:b/>
          <w:color w:val="1E406B"/>
          <w:sz w:val="20"/>
        </w:rPr>
        <w:t xml:space="preserve">Figure 4.1: </w:t>
      </w:r>
      <w:r>
        <w:rPr>
          <w:rFonts w:ascii="Times New Roman" w:hAnsi="Times New Roman"/>
          <w:sz w:val="20"/>
        </w:rPr>
        <w:t>Noetrix High-Level Layered Architecture</w:t>
      </w:r>
      <w:r>
        <w:rPr>
          <w:rFonts w:ascii="Times New Roman" w:hAnsi="Times New Roman"/>
          <w:sz w:val="20"/>
        </w:rPr>
        <w:tab/>
        <w:t>22</w:t>
      </w:r>
    </w:p>
    <w:p>
      <w:pPr>
        <w:tabs>
          <w:tab w:pos="9000" w:val="right" w:leader="dot"/>
        </w:tabs>
        <w:spacing w:line="300" w:lineRule="auto" w:after="60"/>
      </w:pPr>
      <w:r>
        <w:rPr>
          <w:rFonts w:ascii="Times New Roman" w:hAnsi="Times New Roman"/>
          <w:b/>
          <w:color w:val="1E406B"/>
          <w:sz w:val="20"/>
        </w:rPr>
        <w:t xml:space="preserve">Figure 4.2: </w:t>
      </w:r>
      <w:r>
        <w:rPr>
          <w:rFonts w:ascii="Times New Roman" w:hAnsi="Times New Roman"/>
          <w:sz w:val="20"/>
        </w:rPr>
        <w:t>C4 Container Topology Blueprint</w:t>
      </w:r>
      <w:r>
        <w:rPr>
          <w:rFonts w:ascii="Times New Roman" w:hAnsi="Times New Roman"/>
          <w:sz w:val="20"/>
        </w:rPr>
        <w:tab/>
        <w:t>23</w:t>
      </w:r>
    </w:p>
    <w:p>
      <w:pPr>
        <w:tabs>
          <w:tab w:pos="9000" w:val="right" w:leader="dot"/>
        </w:tabs>
        <w:spacing w:line="300" w:lineRule="auto" w:after="60"/>
      </w:pPr>
      <w:r>
        <w:rPr>
          <w:rFonts w:ascii="Times New Roman" w:hAnsi="Times New Roman"/>
          <w:b/>
          <w:color w:val="1E406B"/>
          <w:sz w:val="20"/>
        </w:rPr>
        <w:t xml:space="preserve">Figure 4.3: </w:t>
      </w:r>
      <w:r>
        <w:rPr>
          <w:rFonts w:ascii="Times New Roman" w:hAnsi="Times New Roman"/>
          <w:sz w:val="20"/>
        </w:rPr>
        <w:t>Data Flow Diagram (DFD Level 0 — Context Level)</w:t>
      </w:r>
      <w:r>
        <w:rPr>
          <w:rFonts w:ascii="Times New Roman" w:hAnsi="Times New Roman"/>
          <w:sz w:val="20"/>
        </w:rPr>
        <w:tab/>
        <w:t>24</w:t>
      </w:r>
    </w:p>
    <w:p>
      <w:pPr>
        <w:tabs>
          <w:tab w:pos="9000" w:val="right" w:leader="dot"/>
        </w:tabs>
        <w:spacing w:line="300" w:lineRule="auto" w:after="60"/>
      </w:pPr>
      <w:r>
        <w:rPr>
          <w:rFonts w:ascii="Times New Roman" w:hAnsi="Times New Roman"/>
          <w:b/>
          <w:color w:val="1E406B"/>
          <w:sz w:val="20"/>
        </w:rPr>
        <w:t xml:space="preserve">Figure 4.4: </w:t>
      </w:r>
      <w:r>
        <w:rPr>
          <w:rFonts w:ascii="Times New Roman" w:hAnsi="Times New Roman"/>
          <w:sz w:val="20"/>
        </w:rPr>
        <w:t>Data Flow Diagram (DFD Level 1 — Functional Decomposition)</w:t>
      </w:r>
      <w:r>
        <w:rPr>
          <w:rFonts w:ascii="Times New Roman" w:hAnsi="Times New Roman"/>
          <w:sz w:val="20"/>
        </w:rPr>
        <w:tab/>
        <w:t>25</w:t>
      </w:r>
    </w:p>
    <w:p>
      <w:pPr>
        <w:tabs>
          <w:tab w:pos="9000" w:val="right" w:leader="dot"/>
        </w:tabs>
        <w:spacing w:line="300" w:lineRule="auto" w:after="60"/>
      </w:pPr>
      <w:r>
        <w:rPr>
          <w:rFonts w:ascii="Times New Roman" w:hAnsi="Times New Roman"/>
          <w:b/>
          <w:color w:val="1E406B"/>
          <w:sz w:val="20"/>
        </w:rPr>
        <w:t xml:space="preserve">Figure 4.5: </w:t>
      </w:r>
      <w:r>
        <w:rPr>
          <w:rFonts w:ascii="Times New Roman" w:hAnsi="Times New Roman"/>
          <w:sz w:val="20"/>
        </w:rPr>
        <w:t>Data Flow Diagram (DFD Level 2 — GenAI Privacy &amp; Zero-Fabrication Pipeline)</w:t>
      </w:r>
      <w:r>
        <w:rPr>
          <w:rFonts w:ascii="Times New Roman" w:hAnsi="Times New Roman"/>
          <w:sz w:val="20"/>
        </w:rPr>
        <w:tab/>
        <w:t>26</w:t>
      </w:r>
    </w:p>
    <w:p>
      <w:pPr>
        <w:tabs>
          <w:tab w:pos="9000" w:val="right" w:leader="dot"/>
        </w:tabs>
        <w:spacing w:line="300" w:lineRule="auto" w:after="60"/>
      </w:pPr>
      <w:r>
        <w:rPr>
          <w:rFonts w:ascii="Times New Roman" w:hAnsi="Times New Roman"/>
          <w:b/>
          <w:color w:val="1E406B"/>
          <w:sz w:val="20"/>
        </w:rPr>
        <w:t xml:space="preserve">Figure 4.6: </w:t>
      </w:r>
      <w:r>
        <w:rPr>
          <w:rFonts w:ascii="Times New Roman" w:hAnsi="Times New Roman"/>
          <w:sz w:val="20"/>
        </w:rPr>
        <w:t>Candidate Live Audit &amp; Optimization Workflow Flowchart</w:t>
      </w:r>
      <w:r>
        <w:rPr>
          <w:rFonts w:ascii="Times New Roman" w:hAnsi="Times New Roman"/>
          <w:sz w:val="20"/>
        </w:rPr>
        <w:tab/>
        <w:t>27</w:t>
      </w:r>
    </w:p>
    <w:p>
      <w:pPr>
        <w:tabs>
          <w:tab w:pos="9000" w:val="right" w:leader="dot"/>
        </w:tabs>
        <w:spacing w:line="300" w:lineRule="auto" w:after="60"/>
      </w:pPr>
      <w:r>
        <w:rPr>
          <w:rFonts w:ascii="Times New Roman" w:hAnsi="Times New Roman"/>
          <w:b/>
          <w:color w:val="1E406B"/>
          <w:sz w:val="20"/>
        </w:rPr>
        <w:t xml:space="preserve">Figure 4.7: </w:t>
      </w:r>
      <w:r>
        <w:rPr>
          <w:rFonts w:ascii="Times New Roman" w:hAnsi="Times New Roman"/>
          <w:sz w:val="20"/>
        </w:rPr>
        <w:t>Recruiter Batch Screening &amp; Shortlisting Workflow Flowchart</w:t>
      </w:r>
      <w:r>
        <w:rPr>
          <w:rFonts w:ascii="Times New Roman" w:hAnsi="Times New Roman"/>
          <w:sz w:val="20"/>
        </w:rPr>
        <w:tab/>
        <w:t>28</w:t>
      </w:r>
    </w:p>
    <w:p>
      <w:pPr>
        <w:tabs>
          <w:tab w:pos="9000" w:val="right" w:leader="dot"/>
        </w:tabs>
        <w:spacing w:line="300" w:lineRule="auto" w:after="60"/>
      </w:pPr>
      <w:r>
        <w:rPr>
          <w:rFonts w:ascii="Times New Roman" w:hAnsi="Times New Roman"/>
          <w:b/>
          <w:color w:val="1E406B"/>
          <w:sz w:val="20"/>
        </w:rPr>
        <w:t xml:space="preserve">Figure 5.1: </w:t>
      </w:r>
      <w:r>
        <w:rPr>
          <w:rFonts w:ascii="Times New Roman" w:hAnsi="Times New Roman"/>
          <w:sz w:val="20"/>
        </w:rPr>
        <w:t>End-to-End Scoring Engine &amp; Soft Knockout Architecture</w:t>
      </w:r>
      <w:r>
        <w:rPr>
          <w:rFonts w:ascii="Times New Roman" w:hAnsi="Times New Roman"/>
          <w:sz w:val="20"/>
        </w:rPr>
        <w:tab/>
        <w:t>31</w:t>
      </w:r>
    </w:p>
    <w:p>
      <w:pPr>
        <w:tabs>
          <w:tab w:pos="9000" w:val="right" w:leader="dot"/>
        </w:tabs>
        <w:spacing w:line="300" w:lineRule="auto" w:after="60"/>
      </w:pPr>
      <w:r>
        <w:rPr>
          <w:rFonts w:ascii="Times New Roman" w:hAnsi="Times New Roman"/>
          <w:b/>
          <w:color w:val="1E406B"/>
          <w:sz w:val="20"/>
        </w:rPr>
        <w:t xml:space="preserve">Figure 6.1: </w:t>
      </w:r>
      <w:r>
        <w:rPr>
          <w:rFonts w:ascii="Times New Roman" w:hAnsi="Times New Roman"/>
          <w:sz w:val="20"/>
        </w:rPr>
        <w:t>Noetrix Landing Page Hero and Architectural Value Proposition</w:t>
      </w:r>
      <w:r>
        <w:rPr>
          <w:rFonts w:ascii="Times New Roman" w:hAnsi="Times New Roman"/>
          <w:sz w:val="20"/>
        </w:rPr>
        <w:tab/>
        <w:t>40</w:t>
      </w:r>
    </w:p>
    <w:p>
      <w:pPr>
        <w:tabs>
          <w:tab w:pos="9000" w:val="right" w:leader="dot"/>
        </w:tabs>
        <w:spacing w:line="300" w:lineRule="auto" w:after="60"/>
      </w:pPr>
      <w:r>
        <w:rPr>
          <w:rFonts w:ascii="Times New Roman" w:hAnsi="Times New Roman"/>
          <w:b/>
          <w:color w:val="1E406B"/>
          <w:sz w:val="20"/>
        </w:rPr>
        <w:t xml:space="preserve">Figure 6.2: </w:t>
      </w:r>
      <w:r>
        <w:rPr>
          <w:rFonts w:ascii="Times New Roman" w:hAnsi="Times New Roman"/>
          <w:sz w:val="20"/>
        </w:rPr>
        <w:t>How Scoring Works Architectural Breakdown and Metric Weights</w:t>
      </w:r>
      <w:r>
        <w:rPr>
          <w:rFonts w:ascii="Times New Roman" w:hAnsi="Times New Roman"/>
          <w:sz w:val="20"/>
        </w:rPr>
        <w:tab/>
        <w:t>40</w:t>
      </w:r>
    </w:p>
    <w:p>
      <w:pPr>
        <w:tabs>
          <w:tab w:pos="9000" w:val="right" w:leader="dot"/>
        </w:tabs>
        <w:spacing w:line="300" w:lineRule="auto" w:after="60"/>
      </w:pPr>
      <w:r>
        <w:rPr>
          <w:rFonts w:ascii="Times New Roman" w:hAnsi="Times New Roman"/>
          <w:b/>
          <w:color w:val="1E406B"/>
          <w:sz w:val="20"/>
        </w:rPr>
        <w:t xml:space="preserve">Figure 6.3: </w:t>
      </w:r>
      <w:r>
        <w:rPr>
          <w:rFonts w:ascii="Times New Roman" w:hAnsi="Times New Roman"/>
          <w:sz w:val="20"/>
        </w:rPr>
        <w:t>Candidate Door Portal Initial State and Upload Dropzone</w:t>
      </w:r>
      <w:r>
        <w:rPr>
          <w:rFonts w:ascii="Times New Roman" w:hAnsi="Times New Roman"/>
          <w:sz w:val="20"/>
        </w:rPr>
        <w:tab/>
        <w:t>41</w:t>
      </w:r>
    </w:p>
    <w:p>
      <w:pPr>
        <w:tabs>
          <w:tab w:pos="9000" w:val="right" w:leader="dot"/>
        </w:tabs>
        <w:spacing w:line="300" w:lineRule="auto" w:after="60"/>
      </w:pPr>
      <w:r>
        <w:rPr>
          <w:rFonts w:ascii="Times New Roman" w:hAnsi="Times New Roman"/>
          <w:b/>
          <w:color w:val="1E406B"/>
          <w:sz w:val="20"/>
        </w:rPr>
        <w:t xml:space="preserve">Figure 6.4: </w:t>
      </w:r>
      <w:r>
        <w:rPr>
          <w:rFonts w:ascii="Times New Roman" w:hAnsi="Times New Roman"/>
          <w:sz w:val="20"/>
        </w:rPr>
        <w:t>Candidate Portal Requisition Input and Resume Upload</w:t>
      </w:r>
      <w:r>
        <w:rPr>
          <w:rFonts w:ascii="Times New Roman" w:hAnsi="Times New Roman"/>
          <w:sz w:val="20"/>
        </w:rPr>
        <w:tab/>
        <w:t>41</w:t>
      </w:r>
    </w:p>
    <w:p>
      <w:pPr>
        <w:tabs>
          <w:tab w:pos="9000" w:val="right" w:leader="dot"/>
        </w:tabs>
        <w:spacing w:line="300" w:lineRule="auto" w:after="60"/>
      </w:pPr>
      <w:r>
        <w:rPr>
          <w:rFonts w:ascii="Times New Roman" w:hAnsi="Times New Roman"/>
          <w:b/>
          <w:color w:val="1E406B"/>
          <w:sz w:val="20"/>
        </w:rPr>
        <w:t xml:space="preserve">Figure 6.5: </w:t>
      </w:r>
      <w:r>
        <w:rPr>
          <w:rFonts w:ascii="Times New Roman" w:hAnsi="Times New Roman"/>
          <w:sz w:val="20"/>
        </w:rPr>
        <w:t>Live Candidate Score Overview Dashboard and Match Band</w:t>
      </w:r>
      <w:r>
        <w:rPr>
          <w:rFonts w:ascii="Times New Roman" w:hAnsi="Times New Roman"/>
          <w:sz w:val="20"/>
        </w:rPr>
        <w:tab/>
        <w:t>42</w:t>
      </w:r>
    </w:p>
    <w:p>
      <w:pPr>
        <w:tabs>
          <w:tab w:pos="9000" w:val="right" w:leader="dot"/>
        </w:tabs>
        <w:spacing w:line="300" w:lineRule="auto" w:after="60"/>
      </w:pPr>
      <w:r>
        <w:rPr>
          <w:rFonts w:ascii="Times New Roman" w:hAnsi="Times New Roman"/>
          <w:b/>
          <w:color w:val="1E406B"/>
          <w:sz w:val="20"/>
        </w:rPr>
        <w:t xml:space="preserve">Figure 6.6: </w:t>
      </w:r>
      <w:r>
        <w:rPr>
          <w:rFonts w:ascii="Times New Roman" w:hAnsi="Times New Roman"/>
          <w:sz w:val="20"/>
        </w:rPr>
        <w:t>What the ATS Sees OpenResume-Style Transparent Parse View</w:t>
      </w:r>
      <w:r>
        <w:rPr>
          <w:rFonts w:ascii="Times New Roman" w:hAnsi="Times New Roman"/>
          <w:sz w:val="20"/>
        </w:rPr>
        <w:tab/>
        <w:t>42</w:t>
      </w:r>
    </w:p>
    <w:p>
      <w:pPr>
        <w:tabs>
          <w:tab w:pos="9000" w:val="right" w:leader="dot"/>
        </w:tabs>
        <w:spacing w:line="300" w:lineRule="auto" w:after="60"/>
      </w:pPr>
      <w:r>
        <w:rPr>
          <w:rFonts w:ascii="Times New Roman" w:hAnsi="Times New Roman"/>
          <w:b/>
          <w:color w:val="1E406B"/>
          <w:sz w:val="20"/>
        </w:rPr>
        <w:t xml:space="preserve">Figure 6.7: </w:t>
      </w:r>
      <w:r>
        <w:rPr>
          <w:rFonts w:ascii="Times New Roman" w:hAnsi="Times New Roman"/>
          <w:sz w:val="20"/>
        </w:rPr>
        <w:t>Granular Skills Breakdown and Quantified Accomplishments</w:t>
      </w:r>
      <w:r>
        <w:rPr>
          <w:rFonts w:ascii="Times New Roman" w:hAnsi="Times New Roman"/>
          <w:sz w:val="20"/>
        </w:rPr>
        <w:tab/>
        <w:t>43</w:t>
      </w:r>
    </w:p>
    <w:p>
      <w:pPr>
        <w:tabs>
          <w:tab w:pos="9000" w:val="right" w:leader="dot"/>
        </w:tabs>
        <w:spacing w:line="300" w:lineRule="auto" w:after="60"/>
      </w:pPr>
      <w:r>
        <w:rPr>
          <w:rFonts w:ascii="Times New Roman" w:hAnsi="Times New Roman"/>
          <w:b/>
          <w:color w:val="1E406B"/>
          <w:sz w:val="20"/>
        </w:rPr>
        <w:t xml:space="preserve">Figure 6.8: </w:t>
      </w:r>
      <w:r>
        <w:rPr>
          <w:rFonts w:ascii="Times New Roman" w:hAnsi="Times New Roman"/>
          <w:sz w:val="20"/>
        </w:rPr>
        <w:t>Interactive Candidate Experience Editor Initial State</w:t>
      </w:r>
      <w:r>
        <w:rPr>
          <w:rFonts w:ascii="Times New Roman" w:hAnsi="Times New Roman"/>
          <w:sz w:val="20"/>
        </w:rPr>
        <w:tab/>
        <w:t>43</w:t>
      </w:r>
    </w:p>
    <w:p>
      <w:pPr>
        <w:tabs>
          <w:tab w:pos="9000" w:val="right" w:leader="dot"/>
        </w:tabs>
        <w:spacing w:line="300" w:lineRule="auto" w:after="60"/>
      </w:pPr>
      <w:r>
        <w:rPr>
          <w:rFonts w:ascii="Times New Roman" w:hAnsi="Times New Roman"/>
          <w:b/>
          <w:color w:val="1E406B"/>
          <w:sz w:val="20"/>
        </w:rPr>
        <w:t xml:space="preserve">Figure 6.9: </w:t>
      </w:r>
      <w:r>
        <w:rPr>
          <w:rFonts w:ascii="Times New Roman" w:hAnsi="Times New Roman"/>
          <w:sz w:val="20"/>
        </w:rPr>
        <w:t>Real-Time Bullet Point Enhancement and Action Verb Ingestion</w:t>
      </w:r>
      <w:r>
        <w:rPr>
          <w:rFonts w:ascii="Times New Roman" w:hAnsi="Times New Roman"/>
          <w:sz w:val="20"/>
        </w:rPr>
        <w:tab/>
        <w:t>44</w:t>
      </w:r>
    </w:p>
    <w:p>
      <w:pPr>
        <w:tabs>
          <w:tab w:pos="9000" w:val="right" w:leader="dot"/>
        </w:tabs>
        <w:spacing w:line="300" w:lineRule="auto" w:after="60"/>
      </w:pPr>
      <w:r>
        <w:rPr>
          <w:rFonts w:ascii="Times New Roman" w:hAnsi="Times New Roman"/>
          <w:b/>
          <w:color w:val="1E406B"/>
          <w:sz w:val="20"/>
        </w:rPr>
        <w:t xml:space="preserve">Figure 6.10: </w:t>
      </w:r>
      <w:r>
        <w:rPr>
          <w:rFonts w:ascii="Times New Roman" w:hAnsi="Times New Roman"/>
          <w:sz w:val="20"/>
        </w:rPr>
        <w:t>Zero-Fabrication Tailoring Diff Modal with Grounded Modifications</w:t>
      </w:r>
      <w:r>
        <w:rPr>
          <w:rFonts w:ascii="Times New Roman" w:hAnsi="Times New Roman"/>
          <w:sz w:val="20"/>
        </w:rPr>
        <w:tab/>
        <w:t>44</w:t>
      </w:r>
    </w:p>
    <w:p>
      <w:pPr>
        <w:tabs>
          <w:tab w:pos="9000" w:val="right" w:leader="dot"/>
        </w:tabs>
        <w:spacing w:line="300" w:lineRule="auto" w:after="60"/>
      </w:pPr>
      <w:r>
        <w:rPr>
          <w:rFonts w:ascii="Times New Roman" w:hAnsi="Times New Roman"/>
          <w:b/>
          <w:color w:val="1E406B"/>
          <w:sz w:val="20"/>
        </w:rPr>
        <w:t xml:space="preserve">Figure 6.11: </w:t>
      </w:r>
      <w:r>
        <w:rPr>
          <w:rFonts w:ascii="Times New Roman" w:hAnsi="Times New Roman"/>
          <w:sz w:val="20"/>
        </w:rPr>
        <w:t>Dynamic Real-Time Re-Scoring Post-Bullet Optimization</w:t>
      </w:r>
      <w:r>
        <w:rPr>
          <w:rFonts w:ascii="Times New Roman" w:hAnsi="Times New Roman"/>
          <w:sz w:val="20"/>
        </w:rPr>
        <w:tab/>
        <w:t>45</w:t>
      </w:r>
    </w:p>
    <w:p>
      <w:pPr>
        <w:tabs>
          <w:tab w:pos="9000" w:val="right" w:leader="dot"/>
        </w:tabs>
        <w:spacing w:line="300" w:lineRule="auto" w:after="60"/>
      </w:pPr>
      <w:r>
        <w:rPr>
          <w:rFonts w:ascii="Times New Roman" w:hAnsi="Times New Roman"/>
          <w:b/>
          <w:color w:val="1E406B"/>
          <w:sz w:val="20"/>
        </w:rPr>
        <w:t xml:space="preserve">Figure 6.12: </w:t>
      </w:r>
      <w:r>
        <w:rPr>
          <w:rFonts w:ascii="Times New Roman" w:hAnsi="Times New Roman"/>
          <w:sz w:val="20"/>
        </w:rPr>
        <w:t>Recruiter Door Initial State and Job Requisition Setup</w:t>
      </w:r>
      <w:r>
        <w:rPr>
          <w:rFonts w:ascii="Times New Roman" w:hAnsi="Times New Roman"/>
          <w:sz w:val="20"/>
        </w:rPr>
        <w:tab/>
        <w:t>45</w:t>
      </w:r>
    </w:p>
    <w:p>
      <w:pPr>
        <w:tabs>
          <w:tab w:pos="9000" w:val="right" w:leader="dot"/>
        </w:tabs>
        <w:spacing w:line="300" w:lineRule="auto" w:after="60"/>
      </w:pPr>
      <w:r>
        <w:rPr>
          <w:rFonts w:ascii="Times New Roman" w:hAnsi="Times New Roman"/>
          <w:b/>
          <w:color w:val="1E406B"/>
          <w:sz w:val="20"/>
        </w:rPr>
        <w:t xml:space="preserve">Figure 6.13: </w:t>
      </w:r>
      <w:r>
        <w:rPr>
          <w:rFonts w:ascii="Times New Roman" w:hAnsi="Times New Roman"/>
          <w:sz w:val="20"/>
        </w:rPr>
        <w:t>Recruiter Multi-Resume Batch Ingestion and Configuration</w:t>
      </w:r>
      <w:r>
        <w:rPr>
          <w:rFonts w:ascii="Times New Roman" w:hAnsi="Times New Roman"/>
          <w:sz w:val="20"/>
        </w:rPr>
        <w:tab/>
        <w:t>46</w:t>
      </w:r>
    </w:p>
    <w:p>
      <w:pPr>
        <w:tabs>
          <w:tab w:pos="9000" w:val="right" w:leader="dot"/>
        </w:tabs>
        <w:spacing w:line="300" w:lineRule="auto" w:after="60"/>
      </w:pPr>
      <w:r>
        <w:rPr>
          <w:rFonts w:ascii="Times New Roman" w:hAnsi="Times New Roman"/>
          <w:b/>
          <w:color w:val="1E406B"/>
          <w:sz w:val="20"/>
        </w:rPr>
        <w:t xml:space="preserve">Figure 6.14: </w:t>
      </w:r>
      <w:r>
        <w:rPr>
          <w:rFonts w:ascii="Times New Roman" w:hAnsi="Times New Roman"/>
          <w:sz w:val="20"/>
        </w:rPr>
        <w:t>Recruiter Batch Ranking Leaderboard with Tie-Breaking Telemetry</w:t>
      </w:r>
      <w:r>
        <w:rPr>
          <w:rFonts w:ascii="Times New Roman" w:hAnsi="Times New Roman"/>
          <w:sz w:val="20"/>
        </w:rPr>
        <w:tab/>
        <w:t>46</w:t>
      </w:r>
    </w:p>
    <w:p>
      <w:pPr>
        <w:tabs>
          <w:tab w:pos="9000" w:val="right" w:leader="dot"/>
        </w:tabs>
        <w:spacing w:line="300" w:lineRule="auto" w:after="60"/>
      </w:pPr>
      <w:r>
        <w:rPr>
          <w:rFonts w:ascii="Times New Roman" w:hAnsi="Times New Roman"/>
          <w:b/>
          <w:color w:val="1E406B"/>
          <w:sz w:val="20"/>
        </w:rPr>
        <w:t xml:space="preserve">Figure 6.15: </w:t>
      </w:r>
      <w:r>
        <w:rPr>
          <w:rFonts w:ascii="Times New Roman" w:hAnsi="Times New Roman"/>
          <w:sz w:val="20"/>
        </w:rPr>
        <w:t>Candidate Live Audit Dossier Slide-Over Drawer</w:t>
      </w:r>
      <w:r>
        <w:rPr>
          <w:rFonts w:ascii="Times New Roman" w:hAnsi="Times New Roman"/>
          <w:sz w:val="20"/>
        </w:rPr>
        <w:tab/>
        <w:t>47</w:t>
      </w:r>
    </w:p>
    <w:p>
      <w:r>
        <w:br w:type="page"/>
      </w:r>
    </w:p>
    <w:p>
      <w:pPr>
        <w:spacing w:before="0" w:after="80"/>
      </w:pPr>
    </w:p>
    <w:p>
      <w:pPr>
        <w:spacing w:before="120" w:after="40"/>
        <w:jc w:val="center"/>
        <w:shd w:val="clear" w:color="auto" w:fill="0B1C2D"/>
        <w:pBdr>
          <w:bottom w:val="single" w:sz="8" w:space="1" w:color="C8A02A"/>
        </w:pBdr>
      </w:pPr>
      <w:r>
        <w:rPr>
          <w:rFonts w:ascii="Times New Roman" w:hAnsi="Times New Roman"/>
          <w:b/>
          <w:color w:val="FFFFFF"/>
          <w:sz w:val="30"/>
        </w:rPr>
        <w:t xml:space="preserve">  LIST OF TABLES  </w:t>
      </w:r>
    </w:p>
    <w:p>
      <w:pPr>
        <w:spacing w:before="0" w:after="160"/>
      </w:pPr>
    </w:p>
    <w:p>
      <w:pPr>
        <w:tabs>
          <w:tab w:pos="9000" w:val="right" w:leader="dot"/>
        </w:tabs>
        <w:spacing w:line="300" w:lineRule="auto" w:after="60"/>
      </w:pPr>
      <w:r>
        <w:rPr>
          <w:rFonts w:ascii="Times New Roman" w:hAnsi="Times New Roman"/>
          <w:b/>
          <w:color w:val="1E406B"/>
          <w:sz w:val="20"/>
        </w:rPr>
        <w:t xml:space="preserve">Table 2.1: </w:t>
      </w:r>
      <w:r>
        <w:rPr>
          <w:rFonts w:ascii="Times New Roman" w:hAnsi="Times New Roman"/>
          <w:sz w:val="20"/>
        </w:rPr>
        <w:t>Comparative Analysis of Automated Resume Screening Approaches</w:t>
      </w:r>
      <w:r>
        <w:rPr>
          <w:rFonts w:ascii="Times New Roman" w:hAnsi="Times New Roman"/>
          <w:sz w:val="20"/>
        </w:rPr>
        <w:tab/>
        <w:t>17</w:t>
      </w:r>
    </w:p>
    <w:p>
      <w:pPr>
        <w:tabs>
          <w:tab w:pos="9000" w:val="right" w:leader="dot"/>
        </w:tabs>
        <w:spacing w:line="300" w:lineRule="auto" w:after="60"/>
      </w:pPr>
      <w:r>
        <w:rPr>
          <w:rFonts w:ascii="Times New Roman" w:hAnsi="Times New Roman"/>
          <w:b/>
          <w:color w:val="1E406B"/>
          <w:sz w:val="20"/>
        </w:rPr>
        <w:t xml:space="preserve">Table 5.1: </w:t>
      </w:r>
      <w:r>
        <w:rPr>
          <w:rFonts w:ascii="Times New Roman" w:hAnsi="Times New Roman"/>
          <w:sz w:val="20"/>
        </w:rPr>
        <w:t>Multi-Dimensional Scoring Dimensions, Weights, and Operational Formulations</w:t>
      </w:r>
      <w:r>
        <w:rPr>
          <w:rFonts w:ascii="Times New Roman" w:hAnsi="Times New Roman"/>
          <w:sz w:val="20"/>
        </w:rPr>
        <w:tab/>
        <w:t>35</w:t>
      </w:r>
    </w:p>
    <w:p>
      <w:pPr>
        <w:tabs>
          <w:tab w:pos="9000" w:val="right" w:leader="dot"/>
        </w:tabs>
        <w:spacing w:line="300" w:lineRule="auto" w:after="60"/>
      </w:pPr>
      <w:r>
        <w:rPr>
          <w:rFonts w:ascii="Times New Roman" w:hAnsi="Times New Roman"/>
          <w:b/>
          <w:color w:val="1E406B"/>
          <w:sz w:val="20"/>
        </w:rPr>
        <w:t xml:space="preserve">Table 6.1: </w:t>
      </w:r>
      <w:r>
        <w:rPr>
          <w:rFonts w:ascii="Times New Roman" w:hAnsi="Times New Roman"/>
          <w:sz w:val="20"/>
        </w:rPr>
        <w:t>Full-Stack Technology Stack and Deployment Ecosystem Specifications</w:t>
      </w:r>
      <w:r>
        <w:rPr>
          <w:rFonts w:ascii="Times New Roman" w:hAnsi="Times New Roman"/>
          <w:sz w:val="20"/>
        </w:rPr>
        <w:tab/>
        <w:t>39</w:t>
      </w:r>
    </w:p>
    <w:p>
      <w:pPr>
        <w:tabs>
          <w:tab w:pos="9000" w:val="right" w:leader="dot"/>
        </w:tabs>
        <w:spacing w:line="300" w:lineRule="auto" w:after="60"/>
      </w:pPr>
      <w:r>
        <w:rPr>
          <w:rFonts w:ascii="Times New Roman" w:hAnsi="Times New Roman"/>
          <w:b/>
          <w:color w:val="1E406B"/>
          <w:sz w:val="20"/>
        </w:rPr>
        <w:t xml:space="preserve">Table 7.1: </w:t>
      </w:r>
      <w:r>
        <w:rPr>
          <w:rFonts w:ascii="Times New Roman" w:hAnsi="Times New Roman"/>
          <w:sz w:val="20"/>
        </w:rPr>
        <w:t>Comparative System Performance and Anti-Gaming Robustness Evaluation</w:t>
      </w:r>
      <w:r>
        <w:rPr>
          <w:rFonts w:ascii="Times New Roman" w:hAnsi="Times New Roman"/>
          <w:sz w:val="20"/>
        </w:rPr>
        <w:tab/>
        <w:t>49</w:t>
      </w:r>
    </w:p>
    <w:p>
      <w:pPr>
        <w:tabs>
          <w:tab w:pos="9000" w:val="right" w:leader="dot"/>
        </w:tabs>
        <w:spacing w:line="300" w:lineRule="auto" w:after="60"/>
      </w:pPr>
      <w:r>
        <w:rPr>
          <w:rFonts w:ascii="Times New Roman" w:hAnsi="Times New Roman"/>
          <w:b/>
          <w:color w:val="1E406B"/>
          <w:sz w:val="20"/>
        </w:rPr>
        <w:t xml:space="preserve">Table 7.2: </w:t>
      </w:r>
      <w:r>
        <w:rPr>
          <w:rFonts w:ascii="Times New Roman" w:hAnsi="Times New Roman"/>
          <w:sz w:val="20"/>
        </w:rPr>
        <w:t>Noetrix System Verification and Automated Test Execution Matrix</w:t>
      </w:r>
      <w:r>
        <w:rPr>
          <w:rFonts w:ascii="Times New Roman" w:hAnsi="Times New Roman"/>
          <w:sz w:val="20"/>
        </w:rPr>
        <w:tab/>
        <w:t>50</w:t>
      </w:r>
    </w:p>
    <w:p>
      <w:r>
        <w:br w:type="page"/>
      </w:r>
    </w:p>
    <w:p>
      <w:pPr>
        <w:spacing w:before="0" w:after="80"/>
      </w:pPr>
    </w:p>
    <w:p>
      <w:pPr>
        <w:spacing w:before="120" w:after="40"/>
        <w:jc w:val="center"/>
        <w:shd w:val="clear" w:color="auto" w:fill="0B1C2D"/>
        <w:pBdr>
          <w:bottom w:val="single" w:sz="8" w:space="1" w:color="C8A02A"/>
        </w:pBdr>
      </w:pPr>
      <w:r>
        <w:rPr>
          <w:rFonts w:ascii="Times New Roman" w:hAnsi="Times New Roman"/>
          <w:b/>
          <w:color w:val="FFFFFF"/>
          <w:sz w:val="30"/>
        </w:rPr>
        <w:t xml:space="preserve">  CHAPTER 1: INTRODUCTION  </w:t>
      </w:r>
    </w:p>
    <w:p>
      <w:pPr>
        <w:spacing w:before="0" w:after="160"/>
      </w:pPr>
    </w:p>
    <w:p>
      <w:pPr>
        <w:spacing w:before="240" w:after="100"/>
        <w:pBdr>
          <w:left w:val="single" w:sz="18" w:space="4" w:color="1E406B"/>
        </w:pBdr>
      </w:pPr>
      <w:r>
        <w:rPr>
          <w:rFonts w:ascii="Times New Roman" w:hAnsi="Times New Roman"/>
          <w:b/>
          <w:color w:val="1E406B"/>
          <w:sz w:val="27"/>
        </w:rPr>
        <w:t xml:space="preserve">  1.1 Background and Problem Landscape</w:t>
      </w:r>
    </w:p>
    <w:p>
      <w:pPr>
        <w:spacing w:line="360" w:lineRule="auto" w:after="120" w:before="0"/>
        <w:jc w:val="both"/>
      </w:pPr>
      <w:r>
        <w:rPr>
          <w:rFonts w:ascii="Times New Roman" w:hAnsi="Times New Roman"/>
          <w:b w:val="0"/>
          <w:i w:val="0"/>
          <w:sz w:val="24"/>
        </w:rPr>
        <w:t>In the contemporary global knowledge economy, corporate recruitment has experienced a radical paradigm shift characterized by unprecedented application volumes. With the democratization of job discovery through digital job boards, LinkedIn easy-apply features, and automated application syndicates, enterprise organizations routinely receive between 250 and 1,000 resumes for a single open corporate requisition. In competitive high-technology domains—including software engineering, data science, and cloud architecture—corporate human resources (HR) departments find it humanly impossible to manually review each applicant's credentials with acceptable diligence and temporal efficiency.</w:t>
      </w:r>
    </w:p>
    <w:p>
      <w:pPr>
        <w:spacing w:line="360" w:lineRule="auto" w:after="120" w:before="0"/>
        <w:jc w:val="both"/>
      </w:pPr>
      <w:r>
        <w:rPr>
          <w:rFonts w:ascii="Times New Roman" w:hAnsi="Times New Roman"/>
          <w:b w:val="0"/>
          <w:i w:val="0"/>
          <w:sz w:val="24"/>
        </w:rPr>
        <w:t>To manage this operational tsunami, organizations across Fortune 500 enterprises and hyper-growth technology ventures have universally adopted Applicant Tracking Systems (ATS). Modern ATS platforms operate as the primary algorithmic gatekeepers of the employment lifecycle, ingesting raw applicant resumes, extracting structured entities, comparing candidate qualifications against recruiter-supplied Job Descriptions (JDs), and generating numerical suitability rankings.</w:t>
      </w:r>
    </w:p>
    <w:p>
      <w:pPr>
        <w:spacing w:line="360" w:lineRule="auto" w:after="120" w:before="0"/>
        <w:jc w:val="both"/>
      </w:pPr>
      <w:r>
        <w:rPr>
          <w:rFonts w:ascii="Times New Roman" w:hAnsi="Times New Roman"/>
          <w:b w:val="0"/>
          <w:i w:val="0"/>
          <w:sz w:val="24"/>
        </w:rPr>
        <w:t>Historically, the integration of computational automation within HR was celebrated as a milestone for corporate productivity. Early literature posited that algorithmic filtering would eliminate subjective human biases, accelerate time-to-hire metrics, and standardize candidate evaluation criteria across disparate enterprise divisions. However, an emerging body of interdisciplinary empirical research across computational linguistics, human-computer interaction, and organizational psychology reveals that contemporary ATS implementations have introduced severe systemic distortions into the talent acquisition ecosystem.</w:t>
      </w:r>
    </w:p>
    <w:p>
      <w:pPr>
        <w:spacing w:before="240" w:after="100"/>
        <w:pBdr>
          <w:left w:val="single" w:sz="18" w:space="4" w:color="1E406B"/>
        </w:pBdr>
      </w:pPr>
      <w:r>
        <w:rPr>
          <w:rFonts w:ascii="Times New Roman" w:hAnsi="Times New Roman"/>
          <w:b/>
          <w:color w:val="1E406B"/>
          <w:sz w:val="27"/>
        </w:rPr>
        <w:t xml:space="preserve">  1.2 Evolution of Resume Screening Technologies</w:t>
      </w:r>
    </w:p>
    <w:p>
      <w:pPr>
        <w:spacing w:line="360" w:lineRule="auto" w:after="120" w:before="0"/>
        <w:jc w:val="both"/>
      </w:pPr>
      <w:r>
        <w:rPr>
          <w:rFonts w:ascii="Times New Roman" w:hAnsi="Times New Roman"/>
          <w:b w:val="0"/>
          <w:i w:val="0"/>
          <w:sz w:val="24"/>
        </w:rPr>
        <w:t>The computational evolution of automated resume screening can be broadly segmented into three distinct generational epochs:</w:t>
      </w:r>
    </w:p>
    <w:p>
      <w:pPr>
        <w:spacing w:line="360" w:lineRule="auto" w:after="120" w:before="0"/>
        <w:jc w:val="both"/>
      </w:pPr>
      <w:r>
        <w:rPr>
          <w:rFonts w:ascii="Times New Roman" w:hAnsi="Times New Roman"/>
          <w:b w:val="0"/>
          <w:i w:val="0"/>
          <w:sz w:val="24"/>
        </w:rPr>
        <w:t>1. First-Generation Systems (Boolean Keyword Matchers - 1990s to 2000s): Early ATS solutions relied on rudimentary deterministic text matching, regular expressions, and Boolean SQL queries (e.g., 'Python AND AWS NOT Junior'). These systems treated resumes as unstructured bags of words. They lacked semantic comprehension, possessed zero tolerance for grammatical variants or synonyms, and were notoriously susceptible to trivial adversarial manipulation, such as candidates pasting invisible white-text keywords into document footers.</w:t>
      </w:r>
    </w:p>
    <w:p>
      <w:pPr>
        <w:spacing w:line="360" w:lineRule="auto" w:after="120" w:before="0"/>
        <w:jc w:val="both"/>
      </w:pPr>
      <w:r>
        <w:rPr>
          <w:rFonts w:ascii="Times New Roman" w:hAnsi="Times New Roman"/>
          <w:b w:val="0"/>
          <w:i w:val="0"/>
          <w:sz w:val="24"/>
        </w:rPr>
        <w:t>2. Second-Generation Systems (Statistical NLP &amp; Machine Learning - 2010s to 2020): Driven by advances in statistical natural language processing, second-generation platforms integrated Term Frequency-Inverse Document Frequency (TF-IDF), Latent Dirichlet Allocation (LDA) topic modeling, and supervised classifiers (e.g., Support Vector Machines, Random Forests). While these models accommodated vocabulary variance and basic semantic clusters, they introduced proprietary black-box scoring rubrics. Recruiters were presented with opaque percentage scores without explainable rationales, while candidates faced an uninformative feedback void.</w:t>
      </w:r>
    </w:p>
    <w:p>
      <w:pPr>
        <w:spacing w:line="360" w:lineRule="auto" w:after="120" w:before="0"/>
        <w:jc w:val="both"/>
      </w:pPr>
      <w:r>
        <w:rPr>
          <w:rFonts w:ascii="Times New Roman" w:hAnsi="Times New Roman"/>
          <w:b w:val="0"/>
          <w:i w:val="0"/>
          <w:sz w:val="24"/>
        </w:rPr>
        <w:t>3. Third-Generation Systems (Large Language Models &amp; Deep Embeddings - 2022 to Present): Recent years have seen the widespread deployment of foundation models and Large Language Models (LLMs) such as GPT-4, LLaMA, and dense Transformer embeddings (e.g., Sentence-BERT). While LLMs exhibit remarkable linguistic fluidity, deploying unconstrained generative models in high-stakes hiring introduces critical hazards: stochastic evaluation variance (non-deterministic scoring), high prompt injection vulnerability, hallucination of candidate qualifications, and systemic socio-demographic biases learned from historical recruitment corpora.</w:t>
      </w:r>
    </w:p>
    <w:p>
      <w:pPr>
        <w:spacing w:before="240" w:after="100"/>
        <w:pBdr>
          <w:left w:val="single" w:sz="18" w:space="4" w:color="1E406B"/>
        </w:pBdr>
      </w:pPr>
      <w:r>
        <w:rPr>
          <w:rFonts w:ascii="Times New Roman" w:hAnsi="Times New Roman"/>
          <w:b/>
          <w:color w:val="1E406B"/>
          <w:sz w:val="27"/>
        </w:rPr>
        <w:t xml:space="preserve">  1.3 The Black-Box Dilemma and Problem Statement</w:t>
      </w:r>
    </w:p>
    <w:p>
      <w:pPr>
        <w:spacing w:line="360" w:lineRule="auto" w:after="120" w:before="0"/>
        <w:jc w:val="both"/>
      </w:pPr>
      <w:r>
        <w:rPr>
          <w:rFonts w:ascii="Times New Roman" w:hAnsi="Times New Roman"/>
          <w:b w:val="0"/>
          <w:i w:val="0"/>
          <w:sz w:val="24"/>
        </w:rPr>
        <w:t>Despite the technological sophistication of third-generation AI systems, both job applicants and enterprise hiring managers currently suffer from what computational ethicists term the 'ATS Black-Box Dilemma'. This crisis is defined by four core structural dysfunctions:</w:t>
      </w:r>
    </w:p>
    <w:p>
      <w:pPr>
        <w:spacing w:line="360" w:lineRule="auto" w:after="120" w:before="0"/>
        <w:jc w:val="both"/>
      </w:pPr>
      <w:r>
        <w:rPr>
          <w:rFonts w:ascii="Times New Roman" w:hAnsi="Times New Roman"/>
          <w:b w:val="0"/>
          <w:i w:val="0"/>
          <w:sz w:val="24"/>
        </w:rPr>
        <w:t>1. Algorithmic Opacity and Feedback Vacuum: Over 98% of rejected applicants never receive substantive, actionable feedback indicating why their profile failed automated screening. Candidates are unable to distinguish whether their rejection was driven by genuine technical deficits, parsing errors caused by complex document formatting (such as multi-column layouts or table artifacts), or arbitrary keyword weighting.</w:t>
      </w:r>
    </w:p>
    <w:p>
      <w:pPr>
        <w:spacing w:line="360" w:lineRule="auto" w:after="120" w:before="0"/>
        <w:jc w:val="both"/>
      </w:pPr>
      <w:r>
        <w:rPr>
          <w:rFonts w:ascii="Times New Roman" w:hAnsi="Times New Roman"/>
          <w:b w:val="0"/>
          <w:i w:val="0"/>
          <w:sz w:val="24"/>
        </w:rPr>
        <w:t>2. Vulnerability to Adversarial Keyword Stuffing: Contemporary commercial ATS algorithms continue to assign uniform weight to keyword matches, regardless of where they appear. An applicant who simply dumps a raw list of thirty programming languages into a 'Skills' section frequently achieves a higher match score than an accomplished engineer who details three deeply mastered technologies through quantified impact statements in their work history.</w:t>
      </w:r>
    </w:p>
    <w:p>
      <w:pPr>
        <w:spacing w:line="360" w:lineRule="auto" w:after="120" w:before="0"/>
        <w:jc w:val="both"/>
      </w:pPr>
      <w:r>
        <w:rPr>
          <w:rFonts w:ascii="Times New Roman" w:hAnsi="Times New Roman"/>
          <w:b w:val="0"/>
          <w:i w:val="0"/>
          <w:sz w:val="24"/>
        </w:rPr>
        <w:t>3. Hallucination and Metric Fabrication in AI Optimization: Commercial 'AI resume rewriters' frequently encourage or autonomously inject ungrounded metrics and exaggerated achievements (e.g., inventing 'increased revenue by 35%' when the candidate never managed revenue), severely undermining recruitment integrity and creating severe reputational risk for job seekers.</w:t>
      </w:r>
    </w:p>
    <w:p>
      <w:pPr>
        <w:spacing w:line="360" w:lineRule="auto" w:after="120" w:before="0"/>
        <w:jc w:val="both"/>
      </w:pPr>
      <w:r>
        <w:rPr>
          <w:rFonts w:ascii="Times New Roman" w:hAnsi="Times New Roman"/>
          <w:b w:val="0"/>
          <w:i w:val="0"/>
          <w:sz w:val="24"/>
        </w:rPr>
        <w:t>4. Socio-Demographic and Institutional Prestige Bias: Machine learning models trained on historical hiring data systematically favor applicants from elite university brand names and pedigree institutions, while penalizing qualified self-taught or non-traditional candidates whose practical competence matches job requirements.</w:t>
      </w:r>
    </w:p>
    <w:p>
      <w:pPr>
        <w:spacing w:line="360" w:lineRule="auto" w:after="120" w:before="0"/>
        <w:jc w:val="both"/>
      </w:pPr>
      <w:r>
        <w:rPr>
          <w:rFonts w:ascii="Times New Roman" w:hAnsi="Times New Roman"/>
          <w:b w:val="0"/>
          <w:i w:val="0"/>
          <w:sz w:val="24"/>
        </w:rPr>
        <w:t>Problem Statement: There is an urgent, compelling need for a modern, transparent, and ethically guardrailed resume screening and tailoring system that delivers mathematically deterministic, explainable scoring for recruiters while empowering candidates with actionable, truth-grounded resume optimization that strictly prevents metric fabrication and algorithmic bias.</w:t>
      </w:r>
    </w:p>
    <w:p>
      <w:pPr>
        <w:spacing w:before="240" w:after="100"/>
        <w:pBdr>
          <w:left w:val="single" w:sz="18" w:space="4" w:color="1E406B"/>
        </w:pBdr>
      </w:pPr>
      <w:r>
        <w:rPr>
          <w:rFonts w:ascii="Times New Roman" w:hAnsi="Times New Roman"/>
          <w:b/>
          <w:color w:val="1E406B"/>
          <w:sz w:val="27"/>
        </w:rPr>
        <w:t xml:space="preserve">  1.4 Research and Engineering Objectives</w:t>
      </w:r>
    </w:p>
    <w:p>
      <w:pPr>
        <w:spacing w:line="360" w:lineRule="auto" w:after="120" w:before="0"/>
        <w:jc w:val="both"/>
      </w:pPr>
      <w:r>
        <w:rPr>
          <w:rFonts w:ascii="Times New Roman" w:hAnsi="Times New Roman"/>
          <w:b w:val="0"/>
          <w:i w:val="0"/>
          <w:sz w:val="24"/>
        </w:rPr>
        <w:t>The overarching goal of the Noetrix engineering project is to architect, implement, benchmark, and deploy an open, explainable, and production-grade resume screening and tailoring ecosystem. The project is guided by five primary objectives:</w:t>
      </w:r>
    </w:p>
    <w:p>
      <w:pPr>
        <w:spacing w:line="360" w:lineRule="auto" w:after="120" w:before="0"/>
        <w:jc w:val="both"/>
      </w:pPr>
      <w:r>
        <w:rPr>
          <w:rFonts w:ascii="Times New Roman" w:hAnsi="Times New Roman"/>
          <w:b w:val="0"/>
          <w:i w:val="0"/>
          <w:sz w:val="24"/>
        </w:rPr>
        <w:t>1. Design a Multi-Dimensional Deterministic Scoring Engine: Formulate an auditable scoring core across six orthogonal evaluation dimensions—Keyword Match (0.30), Semantic Alignment (0.20), Experience Tenure (0.20), Education Credentials (0.10), Quantified Impact (0.10), and Format Health (0.10)—achieving 100% mathematical reproducibility with zero scoring jitter across repeated runs.</w:t>
      </w:r>
    </w:p>
    <w:p>
      <w:pPr>
        <w:spacing w:line="360" w:lineRule="auto" w:after="120" w:before="0"/>
        <w:jc w:val="both"/>
      </w:pPr>
      <w:r>
        <w:rPr>
          <w:rFonts w:ascii="Times New Roman" w:hAnsi="Times New Roman"/>
          <w:b w:val="0"/>
          <w:i w:val="0"/>
          <w:sz w:val="24"/>
        </w:rPr>
        <w:t>2. Implement Context-Aware Anti-Gaming Mechanisms: Formulate and enforce a 50-point Soft Knockout Ceiling rule that mathematically caps composite scores whenever a candidate fails to demonstrate applied contextual proof for at least 50% of mandatory job requirements, effectively neutralizing keyword stuffing.</w:t>
      </w:r>
    </w:p>
    <w:p>
      <w:pPr>
        <w:spacing w:line="360" w:lineRule="auto" w:after="120" w:before="0"/>
        <w:jc w:val="both"/>
      </w:pPr>
      <w:r>
        <w:rPr>
          <w:rFonts w:ascii="Times New Roman" w:hAnsi="Times New Roman"/>
          <w:b w:val="0"/>
          <w:i w:val="0"/>
          <w:sz w:val="24"/>
        </w:rPr>
        <w:t>3. Engineer a Guardrailed Candidate Tailoring and Validator Subsystem: Develop a grounded bullet optimization pipeline utilizing Google's XYZ accomplishment framework ('Accomplished [X] measured by [Y] doing [Z]') backed by a deterministic Zero-Fabrication Validator that algorithmically prohibits the hallucination of numbers, skills, or false credentials.</w:t>
      </w:r>
    </w:p>
    <w:p>
      <w:pPr>
        <w:spacing w:line="360" w:lineRule="auto" w:after="120" w:before="0"/>
        <w:jc w:val="both"/>
      </w:pPr>
      <w:r>
        <w:rPr>
          <w:rFonts w:ascii="Times New Roman" w:hAnsi="Times New Roman"/>
          <w:b w:val="0"/>
          <w:i w:val="0"/>
          <w:sz w:val="24"/>
        </w:rPr>
        <w:t>4. Guarantee Client-Side Privacy and Ephemeral Data Processing: Build an end-to-end stateless in-memory session pipeline coupled with an automated PII (Personally Identifiable Information) scrubbing engine that strips candidate names, emails, phone numbers, and protected demographics before any external API or LLM processing.</w:t>
      </w:r>
    </w:p>
    <w:p>
      <w:pPr>
        <w:spacing w:line="360" w:lineRule="auto" w:after="120" w:before="0"/>
        <w:jc w:val="both"/>
      </w:pPr>
      <w:r>
        <w:rPr>
          <w:rFonts w:ascii="Times New Roman" w:hAnsi="Times New Roman"/>
          <w:b w:val="0"/>
          <w:i w:val="0"/>
          <w:sz w:val="24"/>
        </w:rPr>
        <w:t>5. Deliver an Intuitive Dual-Portal User Experience: Develop a high-performance Next.js 14 web application providing a 'Candidate Door' (live scoring radar, OpenResume parse inspector, interactive before-and-after bullet optimizer) and a 'Recruiter Door' (batch upload, multi-candidate tie-breaking leaderboard, candidate dossier audit drawer).</w:t>
      </w:r>
    </w:p>
    <w:p>
      <w:pPr>
        <w:spacing w:before="240" w:after="100"/>
        <w:pBdr>
          <w:left w:val="single" w:sz="18" w:space="4" w:color="1E406B"/>
        </w:pBdr>
      </w:pPr>
      <w:r>
        <w:rPr>
          <w:rFonts w:ascii="Times New Roman" w:hAnsi="Times New Roman"/>
          <w:b/>
          <w:color w:val="1E406B"/>
          <w:sz w:val="27"/>
        </w:rPr>
        <w:t xml:space="preserve">  1.5 Industrial and Academic Significance</w:t>
      </w:r>
    </w:p>
    <w:p>
      <w:pPr>
        <w:spacing w:line="360" w:lineRule="auto" w:after="120" w:before="0"/>
        <w:jc w:val="both"/>
      </w:pPr>
      <w:r>
        <w:rPr>
          <w:rFonts w:ascii="Times New Roman" w:hAnsi="Times New Roman"/>
          <w:b w:val="0"/>
          <w:i w:val="0"/>
          <w:sz w:val="24"/>
        </w:rPr>
        <w:t>The significance of the Noetrix project spans both industrial recruitment practices and academic software engineering research. Industrially, Noetrix demonstrates that modern talent acquisition systems can achieve high screening throughput without sacrificing transparency or ethics. By equipping hiring managers with granular metric score breakdowns and candidates with actionable feedback, Noetrix dismantles the adversarial dynamic that currently poisons corporate recruitment.</w:t>
      </w:r>
    </w:p>
    <w:p>
      <w:pPr>
        <w:spacing w:line="360" w:lineRule="auto" w:after="120" w:before="0"/>
        <w:jc w:val="both"/>
      </w:pPr>
      <w:r>
        <w:rPr>
          <w:rFonts w:ascii="Times New Roman" w:hAnsi="Times New Roman"/>
          <w:b w:val="0"/>
          <w:i w:val="0"/>
          <w:sz w:val="24"/>
        </w:rPr>
        <w:t>Academically, Noetrix provides a rigorous case study in 'Guardrailed Hybrid AI'—an emerging architectural design pattern wherein deterministic rule-based algorithms govern high-stakes evaluation and mathematical boundaries, while generative AI is confined to bounded, truth-validated textual refinement. This architecture proves that software systems can harness the semantic power of modern LLMs while eliminating their catastrophic failure modes (hallucination, non-determinism, and privacy leakage).</w:t>
      </w:r>
    </w:p>
    <w:p>
      <w:pPr>
        <w:spacing w:before="240" w:after="100"/>
        <w:pBdr>
          <w:left w:val="single" w:sz="18" w:space="4" w:color="1E406B"/>
        </w:pBdr>
      </w:pPr>
      <w:r>
        <w:rPr>
          <w:rFonts w:ascii="Times New Roman" w:hAnsi="Times New Roman"/>
          <w:b/>
          <w:color w:val="1E406B"/>
          <w:sz w:val="27"/>
        </w:rPr>
        <w:t xml:space="preserve">  1.6 Scope and Delimitations of the System</w:t>
      </w:r>
    </w:p>
    <w:p>
      <w:pPr>
        <w:spacing w:line="360" w:lineRule="auto" w:after="120" w:before="0"/>
        <w:jc w:val="both"/>
      </w:pPr>
      <w:r>
        <w:rPr>
          <w:rFonts w:ascii="Times New Roman" w:hAnsi="Times New Roman"/>
          <w:b w:val="0"/>
          <w:i w:val="0"/>
          <w:sz w:val="24"/>
        </w:rPr>
        <w:t>Scope: The Noetrix platform encompasses multi-format resume ingestion (PDF, DOCX, TXT), section classification, contact extraction, skill taxonomy matching across 400+ technical competencies, dense Sentence-Transformer semantic cosine alignment, 6-tier deterministic batch tie-breaking, grounded bullet point enhancement, and automated ATS-compliant PDF generation via ReportLab.</w:t>
      </w:r>
    </w:p>
    <w:p>
      <w:pPr>
        <w:spacing w:line="360" w:lineRule="auto" w:after="120" w:before="0"/>
        <w:jc w:val="both"/>
      </w:pPr>
      <w:r>
        <w:rPr>
          <w:rFonts w:ascii="Times New Roman" w:hAnsi="Times New Roman"/>
          <w:b w:val="0"/>
          <w:i w:val="0"/>
          <w:sz w:val="24"/>
        </w:rPr>
        <w:t>Delimitations: The current implementation focuses primarily on technical, software engineering, and data science job roles where technical skill matching and quantified impact metrics are standard. The system deliberately operates in a stateless in-memory mode without persistent database storage to guarantee user privacy. While the system supports English-language resumes with high accuracy, multi-lingual parsing is reserved for future releases.</w:t>
      </w:r>
    </w:p>
    <w:p>
      <w:pPr>
        <w:spacing w:before="240" w:after="100"/>
        <w:pBdr>
          <w:left w:val="single" w:sz="18" w:space="4" w:color="1E406B"/>
        </w:pBdr>
      </w:pPr>
      <w:r>
        <w:rPr>
          <w:rFonts w:ascii="Times New Roman" w:hAnsi="Times New Roman"/>
          <w:b/>
          <w:color w:val="1E406B"/>
          <w:sz w:val="27"/>
        </w:rPr>
        <w:t xml:space="preserve">  1.7 Organization of the Report</w:t>
      </w:r>
    </w:p>
    <w:p>
      <w:pPr>
        <w:spacing w:line="360" w:lineRule="auto" w:after="120" w:before="0"/>
        <w:jc w:val="both"/>
      </w:pPr>
      <w:r>
        <w:rPr>
          <w:rFonts w:ascii="Times New Roman" w:hAnsi="Times New Roman"/>
          <w:b w:val="0"/>
          <w:i w:val="0"/>
          <w:sz w:val="24"/>
        </w:rPr>
        <w:t>The remainder of this report is organized as follows:</w:t>
      </w:r>
    </w:p>
    <w:p>
      <w:pPr>
        <w:spacing w:line="360" w:lineRule="auto" w:after="120" w:before="0"/>
        <w:jc w:val="both"/>
      </w:pPr>
      <w:r>
        <w:rPr>
          <w:rFonts w:ascii="Times New Roman" w:hAnsi="Times New Roman"/>
          <w:b w:val="0"/>
          <w:i w:val="0"/>
          <w:sz w:val="24"/>
        </w:rPr>
        <w:t>Chapter 2 presents an exhaustive Literature Review examining eight foundational peer-reviewed studies across algorithmic recruitment, neural embeddings, and AI bias, accompanied by a comparative matrix and research gap analysis.</w:t>
      </w:r>
    </w:p>
    <w:p>
      <w:pPr>
        <w:spacing w:line="360" w:lineRule="auto" w:after="120" w:before="0"/>
        <w:jc w:val="both"/>
      </w:pPr>
      <w:r>
        <w:rPr>
          <w:rFonts w:ascii="Times New Roman" w:hAnsi="Times New Roman"/>
          <w:b w:val="0"/>
          <w:i w:val="0"/>
          <w:sz w:val="24"/>
        </w:rPr>
        <w:t>Chapter 3 delivers a comprehensive System Analysis contrasting existing commercial ATS architectures with the proposed Noetrix solution and establishing multidimensional feasibility.</w:t>
      </w:r>
    </w:p>
    <w:p>
      <w:pPr>
        <w:spacing w:line="360" w:lineRule="auto" w:after="120" w:before="0"/>
        <w:jc w:val="both"/>
      </w:pPr>
      <w:r>
        <w:rPr>
          <w:rFonts w:ascii="Times New Roman" w:hAnsi="Times New Roman"/>
          <w:b w:val="0"/>
          <w:i w:val="0"/>
          <w:sz w:val="24"/>
        </w:rPr>
        <w:t>Chapter 4 details System Design and Architectural Blueprints, presenting C4 architectural models, Data Flow Diagrams (DFD Levels 0, 1, and 2), system flowcharts, and component decompositions.</w:t>
      </w:r>
    </w:p>
    <w:p>
      <w:pPr>
        <w:spacing w:line="360" w:lineRule="auto" w:after="120" w:before="0"/>
        <w:jc w:val="both"/>
      </w:pPr>
      <w:r>
        <w:rPr>
          <w:rFonts w:ascii="Times New Roman" w:hAnsi="Times New Roman"/>
          <w:b w:val="0"/>
          <w:i w:val="0"/>
          <w:sz w:val="24"/>
        </w:rPr>
        <w:t>Chapter 5 formalizes the Methodology and Mathematical Modeling, detailing the exact LaTeX formulas for all six scoring dimensions, the Soft Knockout decision curve, and the Zero-Fabrication Validator.</w:t>
      </w:r>
    </w:p>
    <w:p>
      <w:pPr>
        <w:spacing w:line="360" w:lineRule="auto" w:after="120" w:before="0"/>
        <w:jc w:val="both"/>
      </w:pPr>
      <w:r>
        <w:rPr>
          <w:rFonts w:ascii="Times New Roman" w:hAnsi="Times New Roman"/>
          <w:b w:val="0"/>
          <w:i w:val="0"/>
          <w:sz w:val="24"/>
        </w:rPr>
        <w:t>Chapter 6 describes Implementation and Technical Specifications, featuring deep code walkthroughs and an exhaustive visual showcase of all fifteen production screenshots.</w:t>
      </w:r>
    </w:p>
    <w:p>
      <w:pPr>
        <w:spacing w:line="360" w:lineRule="auto" w:after="120" w:before="0"/>
        <w:jc w:val="both"/>
      </w:pPr>
      <w:r>
        <w:rPr>
          <w:rFonts w:ascii="Times New Roman" w:hAnsi="Times New Roman"/>
          <w:b w:val="0"/>
          <w:i w:val="0"/>
          <w:sz w:val="24"/>
        </w:rPr>
        <w:t>Chapter 7 presents empirical Results and Discussion, analyzing deterministic consistency benchmarks, latency telemetry, and verification test matrices.</w:t>
      </w:r>
    </w:p>
    <w:p>
      <w:pPr>
        <w:spacing w:line="360" w:lineRule="auto" w:after="120" w:before="0"/>
        <w:jc w:val="both"/>
      </w:pPr>
      <w:r>
        <w:rPr>
          <w:rFonts w:ascii="Times New Roman" w:hAnsi="Times New Roman"/>
          <w:b w:val="0"/>
          <w:i w:val="0"/>
          <w:sz w:val="24"/>
        </w:rPr>
        <w:t>Chapter 8 analyzes Advantages, Ethical AI Compliance, and System Limitations.</w:t>
      </w:r>
    </w:p>
    <w:p>
      <w:pPr>
        <w:spacing w:line="360" w:lineRule="auto" w:after="120" w:before="0"/>
        <w:jc w:val="both"/>
      </w:pPr>
      <w:r>
        <w:rPr>
          <w:rFonts w:ascii="Times New Roman" w:hAnsi="Times New Roman"/>
          <w:b w:val="0"/>
          <w:i w:val="0"/>
          <w:sz w:val="24"/>
        </w:rPr>
        <w:t>Chapters 9 and 10 conclude the report with a synthesis of contributions and a strategic future roadmap, followed by IEEE References and Appendices.</w:t>
      </w:r>
    </w:p>
    <w:p>
      <w:r>
        <w:br w:type="page"/>
      </w:r>
    </w:p>
    <w:p>
      <w:pPr>
        <w:spacing w:before="0" w:after="80"/>
      </w:pPr>
    </w:p>
    <w:p>
      <w:pPr>
        <w:spacing w:before="120" w:after="40"/>
        <w:jc w:val="center"/>
        <w:shd w:val="clear" w:color="auto" w:fill="0B1C2D"/>
        <w:pBdr>
          <w:bottom w:val="single" w:sz="8" w:space="1" w:color="C8A02A"/>
        </w:pBdr>
      </w:pPr>
      <w:r>
        <w:rPr>
          <w:rFonts w:ascii="Times New Roman" w:hAnsi="Times New Roman"/>
          <w:b/>
          <w:color w:val="FFFFFF"/>
          <w:sz w:val="30"/>
        </w:rPr>
        <w:t xml:space="preserve">  CHAPTER 2: LITERATURE REVIEW  </w:t>
      </w:r>
    </w:p>
    <w:p>
      <w:pPr>
        <w:spacing w:before="0" w:after="160"/>
      </w:pPr>
    </w:p>
    <w:p>
      <w:pPr>
        <w:spacing w:before="240" w:after="100"/>
        <w:pBdr>
          <w:left w:val="single" w:sz="18" w:space="4" w:color="1E406B"/>
        </w:pBdr>
      </w:pPr>
      <w:r>
        <w:rPr>
          <w:rFonts w:ascii="Times New Roman" w:hAnsi="Times New Roman"/>
          <w:b/>
          <w:color w:val="1E406B"/>
          <w:sz w:val="27"/>
        </w:rPr>
        <w:t xml:space="preserve">  2.1 Historical Foundations of Algorithmic Candidate Screening</w:t>
      </w:r>
    </w:p>
    <w:p>
      <w:pPr>
        <w:spacing w:line="360" w:lineRule="auto" w:after="120" w:before="0"/>
        <w:jc w:val="both"/>
      </w:pPr>
      <w:r>
        <w:rPr>
          <w:rFonts w:ascii="Times New Roman" w:hAnsi="Times New Roman"/>
          <w:b w:val="0"/>
          <w:i w:val="0"/>
          <w:sz w:val="24"/>
        </w:rPr>
        <w:t>The academic exploration of automated candidate screening spans over three decades of computational linguistics, human resources management, and machine learning research. Initial scholarly investigations in the mid-1990s focused primarily on information extraction (IE) from unstructured resumes, employing rule-based named entity recognition (NER) and syntactic chart parsing. However, as corporate job application volumes exploded during the dot-com era, research transitioned from passive text extraction toward predictive candidate ranking and relevance estimation.</w:t>
      </w:r>
    </w:p>
    <w:p>
      <w:pPr>
        <w:spacing w:line="360" w:lineRule="auto" w:after="120" w:before="0"/>
        <w:jc w:val="both"/>
      </w:pPr>
      <w:r>
        <w:rPr>
          <w:rFonts w:ascii="Times New Roman" w:hAnsi="Times New Roman"/>
          <w:b w:val="0"/>
          <w:i w:val="0"/>
          <w:sz w:val="24"/>
        </w:rPr>
        <w:t>Early ranking architectures predominantly relied on lexical overlap formulations, calculating Jaccard similarity or bag-of-words cosine angles between vectorized resumes and job descriptions. While computationally inexpensive, early researchers quickly observed that lexical systems were critically deficient in capturing semantic synonymy (e.g., failing to recognize that 'PostgreSQL' satisfies a requirement for 'Relational Database Management Systems') and were fundamentally incapable of assessing the contextual depth or qualitative impact of an applicant's career achievements.</w:t>
      </w:r>
    </w:p>
    <w:p>
      <w:pPr>
        <w:spacing w:before="240" w:after="100"/>
        <w:pBdr>
          <w:left w:val="single" w:sz="18" w:space="4" w:color="1E406B"/>
        </w:pBdr>
      </w:pPr>
      <w:r>
        <w:rPr>
          <w:rFonts w:ascii="Times New Roman" w:hAnsi="Times New Roman"/>
          <w:b/>
          <w:color w:val="1E406B"/>
          <w:sz w:val="27"/>
        </w:rPr>
        <w:t xml:space="preserve">  2.2 Contemporary Neural Natural Language Processing in Recruitment</w:t>
      </w:r>
    </w:p>
    <w:p>
      <w:pPr>
        <w:spacing w:line="360" w:lineRule="auto" w:after="120" w:before="0"/>
        <w:jc w:val="both"/>
      </w:pPr>
      <w:r>
        <w:rPr>
          <w:rFonts w:ascii="Times New Roman" w:hAnsi="Times New Roman"/>
          <w:b w:val="0"/>
          <w:i w:val="0"/>
          <w:sz w:val="24"/>
        </w:rPr>
        <w:t>The advent of distributed semantic representations—beginning with Word2Vec and GloVe, and culminating in transformer architectures such as BERT and RoBERTa—revolutionized computational recruitment. Dense semantic embedding spaces enabled systems to project candidate resumes and job postings into continuous vector spaces where conceptual semantic alignment could be computed via cosine similarity.</w:t>
      </w:r>
    </w:p>
    <w:p>
      <w:pPr>
        <w:spacing w:line="360" w:lineRule="auto" w:after="120" w:before="0"/>
        <w:jc w:val="both"/>
      </w:pPr>
      <w:r>
        <w:rPr>
          <w:rFonts w:ascii="Times New Roman" w:hAnsi="Times New Roman"/>
          <w:b w:val="0"/>
          <w:i w:val="0"/>
          <w:sz w:val="24"/>
        </w:rPr>
        <w:t>However, contemporary literature has simultaneously raised profound alarms regarding the uncritical adoption of black-box neural networks in high-stakes HR settings. Peer-reviewed studies consistently demonstrate that neural models trained on historical hiring datasets inevitably encode, amplify, and perpetuate historical societal inequities, favoring male demographic markers and prestigious institutional affiliations while severely penalizing non-traditional applicants.</w:t>
      </w:r>
    </w:p>
    <w:p>
      <w:pPr>
        <w:spacing w:before="240" w:after="100"/>
        <w:pBdr>
          <w:left w:val="single" w:sz="18" w:space="4" w:color="1E406B"/>
        </w:pBdr>
      </w:pPr>
      <w:r>
        <w:rPr>
          <w:rFonts w:ascii="Times New Roman" w:hAnsi="Times New Roman"/>
          <w:b/>
          <w:color w:val="1E406B"/>
          <w:sz w:val="27"/>
        </w:rPr>
        <w:t xml:space="preserve">  2.3 In-Depth Analysis of Foundational Research Papers</w:t>
      </w:r>
    </w:p>
    <w:p>
      <w:pPr>
        <w:spacing w:line="360" w:lineRule="auto" w:after="120" w:before="0"/>
        <w:jc w:val="both"/>
      </w:pPr>
      <w:r>
        <w:rPr>
          <w:rFonts w:ascii="Times New Roman" w:hAnsi="Times New Roman"/>
          <w:b w:val="0"/>
          <w:i w:val="0"/>
          <w:sz w:val="24"/>
        </w:rPr>
        <w:t>To ground the engineering design of Noetrix within authoritative academic discourse, this study conducted an exhaustive examination of eight foundational research papers spanning algorithmic recruitment, semantic matching, fairness engineering, and LLM risks:</w:t>
      </w:r>
    </w:p>
    <w:p>
      <w:pPr>
        <w:spacing w:line="360" w:lineRule="auto" w:after="120" w:before="0"/>
        <w:jc w:val="both"/>
      </w:pPr>
      <w:r>
        <w:rPr>
          <w:rFonts w:ascii="Times New Roman" w:hAnsi="Times New Roman"/>
          <w:b w:val="0"/>
          <w:i w:val="0"/>
          <w:sz w:val="24"/>
        </w:rPr>
        <w:t>1. Deshpande et al. (2020) - 'Mitigating Algorithmic Bias in AI-Driven Recruitment': Deshpande and colleagues investigated algorithmic discrimination across commercial recruitment screening tools. Their empirical findings revealed that deep learning models trained on historical resume selections exhibited severe gender and socioeconomic biases, disproportionately downranking female resumes due to surrogate lexical proxies (e.g., participation in women's sports leagues). The authors strongly advocated for transparent, de-biased scoring models that isolate technical qualifications from demographic markers.</w:t>
      </w:r>
    </w:p>
    <w:p>
      <w:pPr>
        <w:spacing w:line="360" w:lineRule="auto" w:after="120" w:before="0"/>
        <w:jc w:val="both"/>
      </w:pPr>
      <w:r>
        <w:rPr>
          <w:rFonts w:ascii="Times New Roman" w:hAnsi="Times New Roman"/>
          <w:b w:val="0"/>
          <w:i w:val="0"/>
          <w:sz w:val="24"/>
        </w:rPr>
        <w:t>2. Roy et al. (2021) - 'Deep Learning vs. Traditional NLP for Automated Resume Parsing': This comparative study evaluated parsing accuracy and computational overhead across traditional TF-IDF models, Bi-LSTM neural networks, and BERT-based classifiers. The researchers demonstrated that while BERT achieved superior named entity recognition, its computational latency (exceeding 2.5 seconds per document) rendered it impractical for high-volume recruiter batch workflows without significant hardware acceleration. The authors recommended hybrid architectures combining fast rule-based extraction with targeted neural embeddings.</w:t>
      </w:r>
    </w:p>
    <w:p>
      <w:pPr>
        <w:spacing w:line="360" w:lineRule="auto" w:after="120" w:before="0"/>
        <w:jc w:val="both"/>
      </w:pPr>
      <w:r>
        <w:rPr>
          <w:rFonts w:ascii="Times New Roman" w:hAnsi="Times New Roman"/>
          <w:b w:val="0"/>
          <w:i w:val="0"/>
          <w:sz w:val="24"/>
        </w:rPr>
        <w:t>3. Raghuwanshi et al. (2022) - 'Semantic Embeddings and Skill Matching in Automated Job Recommender Systems': Raghuwanshi et al. proposed a dual-encoder framework utilizing Sentence-BERT (SBERT) to evaluate contextual similarity between candidate resumes and job postings. Their experiments demonstrated that dense embeddings dramatically outperformed classical keyword matchers in ranking relevance. Crucially, however, the authors noted that pure embedding cosine similarity failed when candidates lacked mandatory prerequisite skills, highlighting the need for hard knockout logic alongside semantic scores.</w:t>
      </w:r>
    </w:p>
    <w:p>
      <w:pPr>
        <w:spacing w:line="360" w:lineRule="auto" w:after="120" w:before="0"/>
        <w:jc w:val="both"/>
      </w:pPr>
      <w:r>
        <w:rPr>
          <w:rFonts w:ascii="Times New Roman" w:hAnsi="Times New Roman"/>
          <w:b w:val="0"/>
          <w:i w:val="0"/>
          <w:sz w:val="24"/>
        </w:rPr>
        <w:t>4. Chen et al. (2023) - 'On the Hallucination and Safety Risks of Large Language Models in High-Stakes HR Decision Systems': Investigating the integration of foundation LLMs (GPT-3.5 and GPT-4) in recruitment workflows, Chen et al. demonstrated that generative models hallucinate candidate qualifications in over 18% of unstructured parsing tasks. Furthermore, when tasked with resume rewriting, unconstrained LLMs routinely fabricated quantifiable metrics (e.g., inventing percentage increases in sales or latency improvements). The authors concluded that LLMs must never operate unconstrained in HR environments, mandating strict schema validation and deterministic verification guardrails.</w:t>
      </w:r>
    </w:p>
    <w:p>
      <w:pPr>
        <w:spacing w:line="360" w:lineRule="auto" w:after="120" w:before="0"/>
        <w:jc w:val="both"/>
      </w:pPr>
      <w:r>
        <w:rPr>
          <w:rFonts w:ascii="Times New Roman" w:hAnsi="Times New Roman"/>
          <w:b w:val="0"/>
          <w:i w:val="0"/>
          <w:sz w:val="24"/>
        </w:rPr>
        <w:t>5. Bogen &amp; Rieke (2018) - 'Help Wanted: An Examination of Hiring Algorithms, Equity, and Bias': In an authoritative policy and technical analysis published by Upturn, Bogen and Rieke examined the entire pipeline of predictive hiring software. They exposed critical failure modes across sourcing, screening, and interviewing algorithms, emphasizing that commercial vendors frequently disguise discriminatory filtering under the guise of proprietary 'predictive fit' scores. They established the foundational ethical imperative that all candidate assessment tools must provide auditable, explainable rubrics.</w:t>
      </w:r>
    </w:p>
    <w:p>
      <w:pPr>
        <w:spacing w:line="360" w:lineRule="auto" w:after="120" w:before="0"/>
        <w:jc w:val="both"/>
      </w:pPr>
      <w:r>
        <w:rPr>
          <w:rFonts w:ascii="Times New Roman" w:hAnsi="Times New Roman"/>
          <w:b w:val="0"/>
          <w:i w:val="0"/>
          <w:sz w:val="24"/>
        </w:rPr>
        <w:t>6. Reimers &amp; Gurevych (2019) - 'Sentence-BERT: Sentence Embeddings using Siamese BERT-Networks': Reimers and Gurevych introduced SBERT, a modification of the pretrained BERT network using siamese and triplet network structures to derive semantically meaningful sentence embeddings. SBERT reduced the computational effort of finding the most similar pair from 65 hours with standard BERT cross-encoders to approximately 5 seconds, making dense semantic cosine evaluation practical for real-time document comparison.</w:t>
      </w:r>
    </w:p>
    <w:p>
      <w:pPr>
        <w:spacing w:line="360" w:lineRule="auto" w:after="120" w:before="0"/>
        <w:jc w:val="both"/>
      </w:pPr>
      <w:r>
        <w:rPr>
          <w:rFonts w:ascii="Times New Roman" w:hAnsi="Times New Roman"/>
          <w:b w:val="0"/>
          <w:i w:val="0"/>
          <w:sz w:val="24"/>
        </w:rPr>
        <w:t>7. Raghavan et al. (2020) - 'Mitigating Bias in Algorithmic Employment Assessment': Published in the ACM Conference on Fairness, Accountability, and Transparency (FAccT), Raghavan et al. conducted an in-depth audit of vendor claims regarding algorithmic fairness in hiring. They proved that many commercial 'fairness' audits are superficial and that vendors routinely conflate mathematical parity with true non-discrimination. The paper formulated technical guidelines for auditable feature attribution in automated employment assessments.</w:t>
      </w:r>
    </w:p>
    <w:p>
      <w:pPr>
        <w:spacing w:line="360" w:lineRule="auto" w:after="120" w:before="0"/>
        <w:jc w:val="both"/>
      </w:pPr>
      <w:r>
        <w:rPr>
          <w:rFonts w:ascii="Times New Roman" w:hAnsi="Times New Roman"/>
          <w:b w:val="0"/>
          <w:i w:val="0"/>
          <w:sz w:val="24"/>
        </w:rPr>
        <w:t>8. Dastin (2018) - 'Amazon Scraps Secret AI Recruiting Tool That Showed Bias Against Women': Dastin's landmark investigative report documented how Amazon's experimental AI recruitment engine—trained on a decade of male-dominated resumes submitted to the company—spontaneously taught itself to penalize resumes containing the word 'women's' and downgrading graduates of all-female colleges. This high-profile failure stands as the premier real-world warning against black-box machine learning in talent acquisition.</w:t>
      </w:r>
    </w:p>
    <w:p>
      <w:pPr>
        <w:spacing w:before="240" w:after="100"/>
        <w:pBdr>
          <w:left w:val="single" w:sz="18" w:space="4" w:color="1E406B"/>
        </w:pBdr>
      </w:pPr>
      <w:r>
        <w:rPr>
          <w:rFonts w:ascii="Times New Roman" w:hAnsi="Times New Roman"/>
          <w:b/>
          <w:color w:val="1E406B"/>
          <w:sz w:val="27"/>
        </w:rPr>
        <w:t xml:space="preserve">  2.4 Comparative Analysis of State-of-the-Art Approaches</w:t>
      </w:r>
    </w:p>
    <w:p>
      <w:pPr>
        <w:spacing w:line="360" w:lineRule="auto" w:after="120" w:before="0"/>
        <w:jc w:val="both"/>
      </w:pPr>
      <w:r>
        <w:rPr>
          <w:rFonts w:ascii="Times New Roman" w:hAnsi="Times New Roman"/>
          <w:b w:val="0"/>
          <w:i w:val="0"/>
          <w:sz w:val="24"/>
        </w:rPr>
        <w:t>Table 2.1 summarizes the state-of-the-art landscape across academic models and commercial ATS systems, contrasting their core methodologies, determinism, explainability, anti-gaming robustness, and data privacy safeguards against the proposed Noetrix platform.</w:t>
      </w:r>
    </w:p>
    <w:p>
      <w:pPr>
        <w:spacing w:line="360" w:lineRule="auto" w:after="60" w:before="0"/>
        <w:jc w:val="both"/>
      </w:pPr>
      <w:r>
        <w:rPr>
          <w:rFonts w:ascii="Times New Roman" w:hAnsi="Times New Roman"/>
          <w:b/>
          <w:i w:val="0"/>
          <w:color w:val="0B1C2D"/>
          <w:sz w:val="21"/>
        </w:rPr>
        <w:t>Table 2.1: Comparative Analysis of Automated Resume Screening Approaches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val="clear" w:color="auto" w:fill="0B1C2D"/>
          </w:tcPr>
          <w:p>
            <w:pPr>
              <w:spacing w:after="20"/>
              <w:jc w:val="center"/>
            </w:pPr>
            <w:r>
              <w:rPr>
                <w:rFonts w:ascii="Times New Roman" w:hAnsi="Times New Roman"/>
                <w:b/>
                <w:color w:val="FFFFFF"/>
                <w:sz w:val="19"/>
              </w:rPr>
              <w:t>System / Approach</w:t>
            </w:r>
          </w:p>
        </w:tc>
        <w:tc>
          <w:tcPr>
            <w:tcW w:type="dxa" w:w="1500"/>
            <w:shd w:val="clear" w:color="auto" w:fill="0B1C2D"/>
          </w:tcPr>
          <w:p>
            <w:pPr>
              <w:spacing w:after="20"/>
              <w:jc w:val="center"/>
            </w:pPr>
            <w:r>
              <w:rPr>
                <w:rFonts w:ascii="Times New Roman" w:hAnsi="Times New Roman"/>
                <w:b/>
                <w:color w:val="FFFFFF"/>
                <w:sz w:val="19"/>
              </w:rPr>
              <w:t>Primary Technique</w:t>
            </w:r>
          </w:p>
        </w:tc>
        <w:tc>
          <w:tcPr>
            <w:tcW w:type="dxa" w:w="1500"/>
            <w:shd w:val="clear" w:color="auto" w:fill="0B1C2D"/>
          </w:tcPr>
          <w:p>
            <w:pPr>
              <w:spacing w:after="20"/>
              <w:jc w:val="center"/>
            </w:pPr>
            <w:r>
              <w:rPr>
                <w:rFonts w:ascii="Times New Roman" w:hAnsi="Times New Roman"/>
                <w:b/>
                <w:color w:val="FFFFFF"/>
                <w:sz w:val="19"/>
              </w:rPr>
              <w:t>Determinism</w:t>
            </w:r>
          </w:p>
        </w:tc>
        <w:tc>
          <w:tcPr>
            <w:tcW w:type="dxa" w:w="1500"/>
            <w:shd w:val="clear" w:color="auto" w:fill="0B1C2D"/>
          </w:tcPr>
          <w:p>
            <w:pPr>
              <w:spacing w:after="20"/>
              <w:jc w:val="center"/>
            </w:pPr>
            <w:r>
              <w:rPr>
                <w:rFonts w:ascii="Times New Roman" w:hAnsi="Times New Roman"/>
                <w:b/>
                <w:color w:val="FFFFFF"/>
                <w:sz w:val="19"/>
              </w:rPr>
              <w:t>Explainability</w:t>
            </w:r>
          </w:p>
        </w:tc>
        <w:tc>
          <w:tcPr>
            <w:tcW w:type="dxa" w:w="1500"/>
            <w:shd w:val="clear" w:color="auto" w:fill="0B1C2D"/>
          </w:tcPr>
          <w:p>
            <w:pPr>
              <w:spacing w:after="20"/>
              <w:jc w:val="center"/>
            </w:pPr>
            <w:r>
              <w:rPr>
                <w:rFonts w:ascii="Times New Roman" w:hAnsi="Times New Roman"/>
                <w:b/>
                <w:color w:val="FFFFFF"/>
                <w:sz w:val="19"/>
              </w:rPr>
              <w:t>Anti-Gaming Robustness</w:t>
            </w:r>
          </w:p>
        </w:tc>
        <w:tc>
          <w:tcPr>
            <w:tcW w:type="dxa" w:w="1500"/>
            <w:shd w:val="clear" w:color="auto" w:fill="0B1C2D"/>
          </w:tcPr>
          <w:p>
            <w:pPr>
              <w:spacing w:after="20"/>
              <w:jc w:val="center"/>
            </w:pPr>
            <w:r>
              <w:rPr>
                <w:rFonts w:ascii="Times New Roman" w:hAnsi="Times New Roman"/>
                <w:b/>
                <w:color w:val="FFFFFF"/>
                <w:sz w:val="19"/>
              </w:rPr>
              <w:t>Privacy Preserving</w:t>
            </w:r>
          </w:p>
        </w:tc>
      </w:tr>
      <w:tr>
        <w:tc>
          <w:tcPr>
            <w:tcW w:type="dxa" w:w="1500"/>
          </w:tcPr>
          <w:p>
            <w:pPr>
              <w:spacing w:after="20" w:line="276" w:lineRule="auto"/>
            </w:pPr>
            <w:r>
              <w:rPr>
                <w:rFonts w:ascii="Times New Roman" w:hAnsi="Times New Roman"/>
                <w:sz w:val="18"/>
              </w:rPr>
              <w:t>Legacy ATS (Taleo, iCIMS)</w:t>
            </w:r>
          </w:p>
        </w:tc>
        <w:tc>
          <w:tcPr>
            <w:tcW w:type="dxa" w:w="1500"/>
          </w:tcPr>
          <w:p>
            <w:pPr>
              <w:spacing w:after="20" w:line="276" w:lineRule="auto"/>
            </w:pPr>
            <w:r>
              <w:rPr>
                <w:rFonts w:ascii="Times New Roman" w:hAnsi="Times New Roman"/>
                <w:sz w:val="18"/>
              </w:rPr>
              <w:t>Boolean Keyword Regex</w:t>
            </w:r>
          </w:p>
        </w:tc>
        <w:tc>
          <w:tcPr>
            <w:tcW w:type="dxa" w:w="1500"/>
          </w:tcPr>
          <w:p>
            <w:pPr>
              <w:spacing w:after="20" w:line="276" w:lineRule="auto"/>
            </w:pPr>
            <w:r>
              <w:rPr>
                <w:rFonts w:ascii="Times New Roman" w:hAnsi="Times New Roman"/>
                <w:sz w:val="18"/>
              </w:rPr>
              <w:t>Deterministic</w:t>
            </w:r>
          </w:p>
        </w:tc>
        <w:tc>
          <w:tcPr>
            <w:tcW w:type="dxa" w:w="1500"/>
          </w:tcPr>
          <w:p>
            <w:pPr>
              <w:spacing w:after="20" w:line="276" w:lineRule="auto"/>
            </w:pPr>
            <w:r>
              <w:rPr>
                <w:rFonts w:ascii="Times New Roman" w:hAnsi="Times New Roman"/>
                <w:sz w:val="18"/>
              </w:rPr>
              <w:t>Low (Binary Match Count)</w:t>
            </w:r>
          </w:p>
        </w:tc>
        <w:tc>
          <w:tcPr>
            <w:tcW w:type="dxa" w:w="1500"/>
          </w:tcPr>
          <w:p>
            <w:pPr>
              <w:spacing w:after="20" w:line="276" w:lineRule="auto"/>
            </w:pPr>
            <w:r>
              <w:rPr>
                <w:rFonts w:ascii="Times New Roman" w:hAnsi="Times New Roman"/>
                <w:sz w:val="18"/>
              </w:rPr>
              <w:t>Very Poor (Keyword Stuffing)</w:t>
            </w:r>
          </w:p>
        </w:tc>
        <w:tc>
          <w:tcPr>
            <w:tcW w:type="dxa" w:w="1500"/>
          </w:tcPr>
          <w:p>
            <w:pPr>
              <w:spacing w:after="20" w:line="276" w:lineRule="auto"/>
            </w:pPr>
            <w:r>
              <w:rPr>
                <w:rFonts w:ascii="Times New Roman" w:hAnsi="Times New Roman"/>
                <w:sz w:val="18"/>
              </w:rPr>
              <w:t>Low (Persistent Database)</w:t>
            </w:r>
          </w:p>
        </w:tc>
      </w:tr>
      <w:tr>
        <w:tc>
          <w:tcPr>
            <w:tcW w:type="dxa" w:w="1500"/>
            <w:shd w:val="clear" w:color="auto" w:fill="DBE9F8"/>
          </w:tcPr>
          <w:p>
            <w:pPr>
              <w:spacing w:after="20" w:line="276" w:lineRule="auto"/>
            </w:pPr>
            <w:r>
              <w:rPr>
                <w:rFonts w:ascii="Times New Roman" w:hAnsi="Times New Roman"/>
                <w:sz w:val="18"/>
              </w:rPr>
              <w:t>2nd Gen ATS (Workday, Lever)</w:t>
            </w:r>
          </w:p>
        </w:tc>
        <w:tc>
          <w:tcPr>
            <w:tcW w:type="dxa" w:w="1500"/>
            <w:shd w:val="clear" w:color="auto" w:fill="DBE9F8"/>
          </w:tcPr>
          <w:p>
            <w:pPr>
              <w:spacing w:after="20" w:line="276" w:lineRule="auto"/>
            </w:pPr>
            <w:r>
              <w:rPr>
                <w:rFonts w:ascii="Times New Roman" w:hAnsi="Times New Roman"/>
                <w:sz w:val="18"/>
              </w:rPr>
              <w:t>TF-IDF &amp; Supervised ML</w:t>
            </w:r>
          </w:p>
        </w:tc>
        <w:tc>
          <w:tcPr>
            <w:tcW w:type="dxa" w:w="1500"/>
            <w:shd w:val="clear" w:color="auto" w:fill="DBE9F8"/>
          </w:tcPr>
          <w:p>
            <w:pPr>
              <w:spacing w:after="20" w:line="276" w:lineRule="auto"/>
            </w:pPr>
            <w:r>
              <w:rPr>
                <w:rFonts w:ascii="Times New Roman" w:hAnsi="Times New Roman"/>
                <w:sz w:val="18"/>
              </w:rPr>
              <w:t>Non-Deterministic</w:t>
            </w:r>
          </w:p>
        </w:tc>
        <w:tc>
          <w:tcPr>
            <w:tcW w:type="dxa" w:w="1500"/>
            <w:shd w:val="clear" w:color="auto" w:fill="DBE9F8"/>
          </w:tcPr>
          <w:p>
            <w:pPr>
              <w:spacing w:after="20" w:line="276" w:lineRule="auto"/>
            </w:pPr>
            <w:r>
              <w:rPr>
                <w:rFonts w:ascii="Times New Roman" w:hAnsi="Times New Roman"/>
                <w:sz w:val="18"/>
              </w:rPr>
              <w:t>Low (Black-Box % Fit)</w:t>
            </w:r>
          </w:p>
        </w:tc>
        <w:tc>
          <w:tcPr>
            <w:tcW w:type="dxa" w:w="1500"/>
            <w:shd w:val="clear" w:color="auto" w:fill="DBE9F8"/>
          </w:tcPr>
          <w:p>
            <w:pPr>
              <w:spacing w:after="20" w:line="276" w:lineRule="auto"/>
            </w:pPr>
            <w:r>
              <w:rPr>
                <w:rFonts w:ascii="Times New Roman" w:hAnsi="Times New Roman"/>
                <w:sz w:val="18"/>
              </w:rPr>
              <w:t>Poor (Frequency Manipulation)</w:t>
            </w:r>
          </w:p>
        </w:tc>
        <w:tc>
          <w:tcPr>
            <w:tcW w:type="dxa" w:w="1500"/>
            <w:shd w:val="clear" w:color="auto" w:fill="DBE9F8"/>
          </w:tcPr>
          <w:p>
            <w:pPr>
              <w:spacing w:after="20" w:line="276" w:lineRule="auto"/>
            </w:pPr>
            <w:r>
              <w:rPr>
                <w:rFonts w:ascii="Times New Roman" w:hAnsi="Times New Roman"/>
                <w:sz w:val="18"/>
              </w:rPr>
              <w:t>Medium (Enterprise Cloud)</w:t>
            </w:r>
          </w:p>
        </w:tc>
      </w:tr>
      <w:tr>
        <w:tc>
          <w:tcPr>
            <w:tcW w:type="dxa" w:w="1500"/>
          </w:tcPr>
          <w:p>
            <w:pPr>
              <w:spacing w:after="20" w:line="276" w:lineRule="auto"/>
            </w:pPr>
            <w:r>
              <w:rPr>
                <w:rFonts w:ascii="Times New Roman" w:hAnsi="Times New Roman"/>
                <w:sz w:val="18"/>
              </w:rPr>
              <w:t>Neural Embeddings (SBERT)</w:t>
            </w:r>
          </w:p>
        </w:tc>
        <w:tc>
          <w:tcPr>
            <w:tcW w:type="dxa" w:w="1500"/>
          </w:tcPr>
          <w:p>
            <w:pPr>
              <w:spacing w:after="20" w:line="276" w:lineRule="auto"/>
            </w:pPr>
            <w:r>
              <w:rPr>
                <w:rFonts w:ascii="Times New Roman" w:hAnsi="Times New Roman"/>
                <w:sz w:val="18"/>
              </w:rPr>
              <w:t>Dense Cosine Similarity</w:t>
            </w:r>
          </w:p>
        </w:tc>
        <w:tc>
          <w:tcPr>
            <w:tcW w:type="dxa" w:w="1500"/>
          </w:tcPr>
          <w:p>
            <w:pPr>
              <w:spacing w:after="20" w:line="276" w:lineRule="auto"/>
            </w:pPr>
            <w:r>
              <w:rPr>
                <w:rFonts w:ascii="Times New Roman" w:hAnsi="Times New Roman"/>
                <w:sz w:val="18"/>
              </w:rPr>
              <w:t>Deterministic</w:t>
            </w:r>
          </w:p>
        </w:tc>
        <w:tc>
          <w:tcPr>
            <w:tcW w:type="dxa" w:w="1500"/>
          </w:tcPr>
          <w:p>
            <w:pPr>
              <w:spacing w:after="20" w:line="276" w:lineRule="auto"/>
            </w:pPr>
            <w:r>
              <w:rPr>
                <w:rFonts w:ascii="Times New Roman" w:hAnsi="Times New Roman"/>
                <w:sz w:val="18"/>
              </w:rPr>
              <w:t>Medium (Embedding Distance)</w:t>
            </w:r>
          </w:p>
        </w:tc>
        <w:tc>
          <w:tcPr>
            <w:tcW w:type="dxa" w:w="1500"/>
          </w:tcPr>
          <w:p>
            <w:pPr>
              <w:spacing w:after="20" w:line="276" w:lineRule="auto"/>
            </w:pPr>
            <w:r>
              <w:rPr>
                <w:rFonts w:ascii="Times New Roman" w:hAnsi="Times New Roman"/>
                <w:sz w:val="18"/>
              </w:rPr>
              <w:t>Moderate (Semantic Smear)</w:t>
            </w:r>
          </w:p>
        </w:tc>
        <w:tc>
          <w:tcPr>
            <w:tcW w:type="dxa" w:w="1500"/>
          </w:tcPr>
          <w:p>
            <w:pPr>
              <w:spacing w:after="20" w:line="276" w:lineRule="auto"/>
            </w:pPr>
            <w:r>
              <w:rPr>
                <w:rFonts w:ascii="Times New Roman" w:hAnsi="Times New Roman"/>
                <w:sz w:val="18"/>
              </w:rPr>
              <w:t>Medium (Vector DB)</w:t>
            </w:r>
          </w:p>
        </w:tc>
      </w:tr>
      <w:tr>
        <w:tc>
          <w:tcPr>
            <w:tcW w:type="dxa" w:w="1500"/>
            <w:shd w:val="clear" w:color="auto" w:fill="DBE9F8"/>
          </w:tcPr>
          <w:p>
            <w:pPr>
              <w:spacing w:after="20" w:line="276" w:lineRule="auto"/>
            </w:pPr>
            <w:r>
              <w:rPr>
                <w:rFonts w:ascii="Times New Roman" w:hAnsi="Times New Roman"/>
                <w:sz w:val="18"/>
              </w:rPr>
              <w:t>Unconstrained GenAI (GPT-4)</w:t>
            </w:r>
          </w:p>
        </w:tc>
        <w:tc>
          <w:tcPr>
            <w:tcW w:type="dxa" w:w="1500"/>
            <w:shd w:val="clear" w:color="auto" w:fill="DBE9F8"/>
          </w:tcPr>
          <w:p>
            <w:pPr>
              <w:spacing w:after="20" w:line="276" w:lineRule="auto"/>
            </w:pPr>
            <w:r>
              <w:rPr>
                <w:rFonts w:ascii="Times New Roman" w:hAnsi="Times New Roman"/>
                <w:sz w:val="18"/>
              </w:rPr>
              <w:t>Generative LLM Prompting</w:t>
            </w:r>
          </w:p>
        </w:tc>
        <w:tc>
          <w:tcPr>
            <w:tcW w:type="dxa" w:w="1500"/>
            <w:shd w:val="clear" w:color="auto" w:fill="DBE9F8"/>
          </w:tcPr>
          <w:p>
            <w:pPr>
              <w:spacing w:after="20" w:line="276" w:lineRule="auto"/>
            </w:pPr>
            <w:r>
              <w:rPr>
                <w:rFonts w:ascii="Times New Roman" w:hAnsi="Times New Roman"/>
                <w:sz w:val="18"/>
              </w:rPr>
              <w:t>Non-Deterministic</w:t>
            </w:r>
          </w:p>
        </w:tc>
        <w:tc>
          <w:tcPr>
            <w:tcW w:type="dxa" w:w="1500"/>
            <w:shd w:val="clear" w:color="auto" w:fill="DBE9F8"/>
          </w:tcPr>
          <w:p>
            <w:pPr>
              <w:spacing w:after="20" w:line="276" w:lineRule="auto"/>
            </w:pPr>
            <w:r>
              <w:rPr>
                <w:rFonts w:ascii="Times New Roman" w:hAnsi="Times New Roman"/>
                <w:sz w:val="18"/>
              </w:rPr>
              <w:t>High (Natural Language Text)</w:t>
            </w:r>
          </w:p>
        </w:tc>
        <w:tc>
          <w:tcPr>
            <w:tcW w:type="dxa" w:w="1500"/>
            <w:shd w:val="clear" w:color="auto" w:fill="DBE9F8"/>
          </w:tcPr>
          <w:p>
            <w:pPr>
              <w:spacing w:after="20" w:line="276" w:lineRule="auto"/>
            </w:pPr>
            <w:r>
              <w:rPr>
                <w:rFonts w:ascii="Times New Roman" w:hAnsi="Times New Roman"/>
                <w:sz w:val="18"/>
              </w:rPr>
              <w:t>Very Poor (Prompt Injection / Hallucination)</w:t>
            </w:r>
          </w:p>
        </w:tc>
        <w:tc>
          <w:tcPr>
            <w:tcW w:type="dxa" w:w="1500"/>
            <w:shd w:val="clear" w:color="auto" w:fill="DBE9F8"/>
          </w:tcPr>
          <w:p>
            <w:pPr>
              <w:spacing w:after="20" w:line="276" w:lineRule="auto"/>
            </w:pPr>
            <w:r>
              <w:rPr>
                <w:rFonts w:ascii="Times New Roman" w:hAnsi="Times New Roman"/>
                <w:sz w:val="18"/>
              </w:rPr>
              <w:t>Poor (Third-Party Cloud PII)</w:t>
            </w:r>
          </w:p>
        </w:tc>
      </w:tr>
      <w:tr>
        <w:tc>
          <w:tcPr>
            <w:tcW w:type="dxa" w:w="1500"/>
          </w:tcPr>
          <w:p>
            <w:pPr>
              <w:spacing w:after="20" w:line="276" w:lineRule="auto"/>
            </w:pPr>
            <w:r>
              <w:rPr>
                <w:rFonts w:ascii="Times New Roman" w:hAnsi="Times New Roman"/>
                <w:sz w:val="18"/>
              </w:rPr>
              <w:t>Noetrix (Proposed System)</w:t>
            </w:r>
          </w:p>
        </w:tc>
        <w:tc>
          <w:tcPr>
            <w:tcW w:type="dxa" w:w="1500"/>
          </w:tcPr>
          <w:p>
            <w:pPr>
              <w:spacing w:after="20" w:line="276" w:lineRule="auto"/>
            </w:pPr>
            <w:r>
              <w:rPr>
                <w:rFonts w:ascii="Times New Roman" w:hAnsi="Times New Roman"/>
                <w:sz w:val="18"/>
              </w:rPr>
              <w:t>Guardrailed Hybrid (Rules + MiniLM + Bounded LLM)</w:t>
            </w:r>
          </w:p>
        </w:tc>
        <w:tc>
          <w:tcPr>
            <w:tcW w:type="dxa" w:w="1500"/>
          </w:tcPr>
          <w:p>
            <w:pPr>
              <w:spacing w:after="20" w:line="276" w:lineRule="auto"/>
            </w:pPr>
            <w:r>
              <w:rPr>
                <w:rFonts w:ascii="Times New Roman" w:hAnsi="Times New Roman"/>
                <w:sz w:val="18"/>
              </w:rPr>
              <w:t>100% Deterministic</w:t>
            </w:r>
          </w:p>
        </w:tc>
        <w:tc>
          <w:tcPr>
            <w:tcW w:type="dxa" w:w="1500"/>
          </w:tcPr>
          <w:p>
            <w:pPr>
              <w:spacing w:after="20" w:line="276" w:lineRule="auto"/>
            </w:pPr>
            <w:r>
              <w:rPr>
                <w:rFonts w:ascii="Times New Roman" w:hAnsi="Times New Roman"/>
                <w:sz w:val="18"/>
              </w:rPr>
              <w:t>Very High (6 Granular Dimensions &amp; Audit Drawer)</w:t>
            </w:r>
          </w:p>
        </w:tc>
        <w:tc>
          <w:tcPr>
            <w:tcW w:type="dxa" w:w="1500"/>
          </w:tcPr>
          <w:p>
            <w:pPr>
              <w:spacing w:after="20" w:line="276" w:lineRule="auto"/>
            </w:pPr>
            <w:r>
              <w:rPr>
                <w:rFonts w:ascii="Times New Roman" w:hAnsi="Times New Roman"/>
                <w:sz w:val="18"/>
              </w:rPr>
              <w:t>High (50% Soft Knockout Cap &amp; Placement Weights)</w:t>
            </w:r>
          </w:p>
        </w:tc>
        <w:tc>
          <w:tcPr>
            <w:tcW w:type="dxa" w:w="1500"/>
          </w:tcPr>
          <w:p>
            <w:pPr>
              <w:spacing w:after="20" w:line="276" w:lineRule="auto"/>
            </w:pPr>
            <w:r>
              <w:rPr>
                <w:rFonts w:ascii="Times New Roman" w:hAnsi="Times New Roman"/>
                <w:sz w:val="18"/>
              </w:rPr>
              <w:t>High (Client PII Redaction &amp; In-Memory Ephemeral)</w:t>
            </w:r>
          </w:p>
        </w:tc>
      </w:tr>
    </w:tbl>
    <w:p>
      <w:pPr>
        <w:spacing w:after="160"/>
      </w:pPr>
    </w:p>
    <w:p>
      <w:r>
        <w:br w:type="page"/>
      </w:r>
    </w:p>
    <w:p>
      <w:pPr>
        <w:spacing w:before="240" w:after="100"/>
        <w:pBdr>
          <w:left w:val="single" w:sz="18" w:space="4" w:color="1E406B"/>
        </w:pBdr>
      </w:pPr>
      <w:r>
        <w:rPr>
          <w:rFonts w:ascii="Times New Roman" w:hAnsi="Times New Roman"/>
          <w:b/>
          <w:color w:val="1E406B"/>
          <w:sz w:val="27"/>
        </w:rPr>
        <w:t xml:space="preserve">  2.5 Research Gap Identification and Justification of the Hybrid Paradigm</w:t>
      </w:r>
    </w:p>
    <w:p>
      <w:pPr>
        <w:spacing w:line="360" w:lineRule="auto" w:after="120" w:before="0"/>
        <w:jc w:val="both"/>
      </w:pPr>
      <w:r>
        <w:rPr>
          <w:rFonts w:ascii="Times New Roman" w:hAnsi="Times New Roman"/>
          <w:b w:val="0"/>
          <w:i w:val="0"/>
          <w:sz w:val="24"/>
        </w:rPr>
        <w:t>Critical synthesis of the surveyed literature exposes a glaring research and engineering gap in modern recruitment systems: the false dichotomy between rigid, dumb keyword matching and opaque, hallucination-prone deep learning models.</w:t>
      </w:r>
    </w:p>
    <w:p>
      <w:pPr>
        <w:spacing w:line="360" w:lineRule="auto" w:after="120" w:before="0"/>
        <w:jc w:val="both"/>
      </w:pPr>
      <w:r>
        <w:rPr>
          <w:rFonts w:ascii="Times New Roman" w:hAnsi="Times New Roman"/>
          <w:b w:val="0"/>
          <w:i w:val="0"/>
          <w:sz w:val="24"/>
        </w:rPr>
        <w:t>Current solutions either force recruiters to rely on primitive Boolean filters that miss qualified candidates with slight vocabulary variations, or coerce them into trusting black-box generative models that produce unrepeatable scores, hallucinate applicant achievements, and violate data privacy standards. Furthermore, no existing system bridges candidate empowerment with recruiter auditability—candidates remain trapped in an information vacuum while recruiters drown in unverified scores.</w:t>
      </w:r>
    </w:p>
    <w:p>
      <w:pPr>
        <w:spacing w:line="360" w:lineRule="auto" w:after="120" w:before="0"/>
        <w:jc w:val="both"/>
      </w:pPr>
      <w:r>
        <w:rPr>
          <w:rFonts w:ascii="Times New Roman" w:hAnsi="Times New Roman"/>
          <w:b w:val="0"/>
          <w:i w:val="0"/>
          <w:sz w:val="24"/>
        </w:rPr>
        <w:t>The Noetrix architecture directly bridges this research gap by establishing the Guardrailed Hybrid Paradigm. In this paradigm, algorithmic responsibilities are partitioned according to proven computational fitness:</w:t>
      </w:r>
    </w:p>
    <w:p>
      <w:pPr>
        <w:spacing w:line="360" w:lineRule="auto" w:after="120" w:before="0"/>
        <w:jc w:val="both"/>
      </w:pPr>
      <w:r>
        <w:rPr>
          <w:rFonts w:ascii="Times New Roman" w:hAnsi="Times New Roman"/>
          <w:b w:val="0"/>
          <w:i w:val="0"/>
          <w:sz w:val="24"/>
        </w:rPr>
        <w:t>1. Evaluation and Scoring Authority is strictly delegated to deterministic, auditable mathematical formulations across six orthogonal dimensions, completely eliminating black-box opacity and score drift.</w:t>
      </w:r>
    </w:p>
    <w:p>
      <w:pPr>
        <w:spacing w:line="360" w:lineRule="auto" w:after="120" w:before="0"/>
        <w:jc w:val="both"/>
      </w:pPr>
      <w:r>
        <w:rPr>
          <w:rFonts w:ascii="Times New Roman" w:hAnsi="Times New Roman"/>
          <w:b w:val="0"/>
          <w:i w:val="0"/>
          <w:sz w:val="24"/>
        </w:rPr>
        <w:t>2. Semantic Comprehension is provided by fast, local Sentence-Transformers (MiniLM-L6-v2), achieving contextual understanding in sub-50ms latency without cloud dependencies.</w:t>
      </w:r>
    </w:p>
    <w:p>
      <w:pPr>
        <w:spacing w:line="360" w:lineRule="auto" w:after="120" w:before="0"/>
        <w:jc w:val="both"/>
      </w:pPr>
      <w:r>
        <w:rPr>
          <w:rFonts w:ascii="Times New Roman" w:hAnsi="Times New Roman"/>
          <w:b w:val="0"/>
          <w:i w:val="0"/>
          <w:sz w:val="24"/>
        </w:rPr>
        <w:t>3. Generative AI is confined strictly to advisory rewriting of candidate bullet points, bounded by a temperature of zero, strict Pydantic JSON schema enforcement, and a deterministic Zero-Fabrication Validator that algorithmically prohibits hallucinated metrics.</w:t>
      </w:r>
    </w:p>
    <w:p>
      <w:pPr>
        <w:spacing w:line="360" w:lineRule="auto" w:after="120" w:before="0"/>
        <w:jc w:val="both"/>
      </w:pPr>
      <w:r>
        <w:rPr>
          <w:rFonts w:ascii="Times New Roman" w:hAnsi="Times New Roman"/>
          <w:b w:val="0"/>
          <w:i w:val="0"/>
          <w:sz w:val="24"/>
        </w:rPr>
        <w:t>4. Governance and Ethical Parity: By eliminating persistent demographic storage and enforcing human-in-the-loop review through transparent candidate audit drawers, Noetrix operationalizes strict compliance with the EU AI Act and EEOC employment guidelines.</w:t>
      </w:r>
    </w:p>
    <w:p>
      <w:pPr>
        <w:spacing w:line="360" w:lineRule="auto" w:after="120" w:before="0"/>
        <w:jc w:val="both"/>
      </w:pPr>
      <w:r>
        <w:rPr>
          <w:rFonts w:ascii="Times New Roman" w:hAnsi="Times New Roman"/>
          <w:b w:val="0"/>
          <w:i w:val="0"/>
          <w:sz w:val="24"/>
        </w:rPr>
        <w:t>This hybrid synthesis provides the theoretical foundation for the Noetrix engineering architecture, establishing a new benchmark for fair, auditable, and high-performance talent acquisition platforms.</w:t>
      </w:r>
    </w:p>
    <w:p>
      <w:r>
        <w:br w:type="page"/>
      </w:r>
    </w:p>
    <w:p>
      <w:pPr>
        <w:spacing w:before="0" w:after="80"/>
      </w:pPr>
    </w:p>
    <w:p>
      <w:pPr>
        <w:spacing w:before="120" w:after="40"/>
        <w:jc w:val="center"/>
        <w:shd w:val="clear" w:color="auto" w:fill="0B1C2D"/>
        <w:pBdr>
          <w:bottom w:val="single" w:sz="8" w:space="1" w:color="C8A02A"/>
        </w:pBdr>
      </w:pPr>
      <w:r>
        <w:rPr>
          <w:rFonts w:ascii="Times New Roman" w:hAnsi="Times New Roman"/>
          <w:b/>
          <w:color w:val="FFFFFF"/>
          <w:sz w:val="30"/>
        </w:rPr>
        <w:t xml:space="preserve">  CHAPTER 3: SYSTEM ANALYSIS  </w:t>
      </w:r>
    </w:p>
    <w:p>
      <w:pPr>
        <w:spacing w:before="0" w:after="160"/>
      </w:pPr>
    </w:p>
    <w:p>
      <w:pPr>
        <w:spacing w:before="240" w:after="100"/>
        <w:pBdr>
          <w:left w:val="single" w:sz="18" w:space="4" w:color="1E406B"/>
        </w:pBdr>
      </w:pPr>
      <w:r>
        <w:rPr>
          <w:rFonts w:ascii="Times New Roman" w:hAnsi="Times New Roman"/>
          <w:b/>
          <w:color w:val="1E406B"/>
          <w:sz w:val="27"/>
        </w:rPr>
        <w:t xml:space="preserve">  3.1 Analysis of Contemporary Commercial ATS Platforms</w:t>
      </w:r>
    </w:p>
    <w:p>
      <w:pPr>
        <w:spacing w:line="360" w:lineRule="auto" w:after="120" w:before="0"/>
        <w:jc w:val="both"/>
      </w:pPr>
      <w:r>
        <w:rPr>
          <w:rFonts w:ascii="Times New Roman" w:hAnsi="Times New Roman"/>
          <w:b w:val="0"/>
          <w:i w:val="0"/>
          <w:sz w:val="24"/>
        </w:rPr>
        <w:t>To establish the engineering requirements for Noetrix, this project performed an extensive architectural analysis of contemporary commercial ATS platforms, including enterprise market leaders (Workday Human Capital Management, Oracle Taleo, SAP SuccessFactors, Greenhouse, Lever) and modern open-source initiatives (Resume-Matcher, OpenResume).</w:t>
      </w:r>
    </w:p>
    <w:p>
      <w:pPr>
        <w:spacing w:line="360" w:lineRule="auto" w:after="120" w:before="0"/>
        <w:jc w:val="both"/>
      </w:pPr>
      <w:r>
        <w:rPr>
          <w:rFonts w:ascii="Times New Roman" w:hAnsi="Times New Roman"/>
          <w:b w:val="0"/>
          <w:i w:val="0"/>
          <w:sz w:val="24"/>
        </w:rPr>
        <w:t>Across enterprise systems, the candidate ingestion pipeline follows a standardized workflow: raw resumes (predominantly PDF and DOCX) are ingested via multi-part HTTP upload, parsed using optical character recognition (OCR) or document parsing libraries, stripped into plain text, mapped to internal relational schema entities (Name, Email, Work History, Education, Skills), and indexed within an elastic search cluster. When a recruiter posts a job requisition, the ATS executes an automated ranking query that yields a single composite 'Relevance Score' (typically expressed as a percentage between 0% and 100%).</w:t>
      </w:r>
    </w:p>
    <w:p>
      <w:pPr>
        <w:spacing w:before="240" w:after="100"/>
        <w:pBdr>
          <w:left w:val="single" w:sz="18" w:space="4" w:color="1E406B"/>
        </w:pBdr>
      </w:pPr>
      <w:r>
        <w:rPr>
          <w:rFonts w:ascii="Times New Roman" w:hAnsi="Times New Roman"/>
          <w:b/>
          <w:color w:val="1E406B"/>
          <w:sz w:val="27"/>
        </w:rPr>
        <w:t xml:space="preserve">  3.2 Deep Architectural Limitations of Existing Systems</w:t>
      </w:r>
    </w:p>
    <w:p>
      <w:pPr>
        <w:spacing w:line="360" w:lineRule="auto" w:after="120" w:before="0"/>
        <w:jc w:val="both"/>
      </w:pPr>
      <w:r>
        <w:rPr>
          <w:rFonts w:ascii="Times New Roman" w:hAnsi="Times New Roman"/>
          <w:b w:val="0"/>
          <w:i w:val="0"/>
          <w:sz w:val="24"/>
        </w:rPr>
        <w:t>Our empirical analysis identified four severe structural vulnerabilities inherent to existing ATS platforms:</w:t>
      </w:r>
    </w:p>
    <w:p>
      <w:pPr>
        <w:spacing w:line="360" w:lineRule="auto" w:after="120" w:before="0"/>
        <w:jc w:val="both"/>
      </w:pPr>
      <w:r>
        <w:rPr>
          <w:rFonts w:ascii="Times New Roman" w:hAnsi="Times New Roman"/>
          <w:b w:val="0"/>
          <w:i w:val="0"/>
          <w:sz w:val="24"/>
        </w:rPr>
        <w:t>3.2.1 Algorithmic Opacity and the Candidate Rejection Void: Existing commercial ATS systems operate as unilateral filtration funnels. A candidate submitting a resume receives zero visibility into how the document was rendered, which sections were successfully parsed, or why their overall score failed to cross the recruiter's threshold. If an ATS parser fails to extract text from a stylish two-column layout or drops an entire experience section embedded in a table, the candidate is silently disqualified without recourse.</w:t>
      </w:r>
    </w:p>
    <w:p>
      <w:pPr>
        <w:spacing w:line="360" w:lineRule="auto" w:after="120" w:before="0"/>
        <w:jc w:val="both"/>
      </w:pPr>
      <w:r>
        <w:rPr>
          <w:rFonts w:ascii="Times New Roman" w:hAnsi="Times New Roman"/>
          <w:b w:val="0"/>
          <w:i w:val="0"/>
          <w:sz w:val="24"/>
        </w:rPr>
        <w:t>3.2.2 Vulnerability to Adversarial Gaming and Keyword Stuffing: In existing systems, keyword presence is evaluated uniformly across the entire document text. This creates a severe moral hazard: candidates who engage in 'keyword packing'—listing exhaustive dumps of libraries, frameworks, and buzzwords in microscopic font or dedicated skills blocks—consistently outscore honest candidates who substantiate a smaller set of core technologies with deep, metric-backed accomplishments.</w:t>
      </w:r>
    </w:p>
    <w:p>
      <w:pPr>
        <w:spacing w:line="360" w:lineRule="auto" w:after="120" w:before="0"/>
        <w:jc w:val="both"/>
      </w:pPr>
      <w:r>
        <w:rPr>
          <w:rFonts w:ascii="Times New Roman" w:hAnsi="Times New Roman"/>
          <w:b w:val="0"/>
          <w:i w:val="0"/>
          <w:sz w:val="24"/>
        </w:rPr>
        <w:t>3.2.3 Institutional Prestige Bias and Demographic Inequity: Commercial ranking algorithms heavily index on institutional entity names (e.g., 'Stanford University', 'Google', 'Goldman Sachs'). Candidates from non-traditional backgrounds, tier-2 universities, or community colleges are algorithmically depressed in ranking tiers, even when their project portfolios and technical competence demonstrate full mastery of role requirements.</w:t>
      </w:r>
    </w:p>
    <w:p>
      <w:pPr>
        <w:spacing w:line="360" w:lineRule="auto" w:after="120" w:before="0"/>
        <w:jc w:val="both"/>
      </w:pPr>
      <w:r>
        <w:rPr>
          <w:rFonts w:ascii="Times New Roman" w:hAnsi="Times New Roman"/>
          <w:b w:val="0"/>
          <w:i w:val="0"/>
          <w:sz w:val="24"/>
        </w:rPr>
        <w:t>3.2.4 Uncontrolled GenAI Hallucination and Metric Fabrication: Emerging commercial 'AI resume builders' leverage commercial LLM APIs without semantic boundaries. When prompted to 'improve this resume for a Senior Cloud Architect role', unconstrained models routinely invent accomplishments—inserting claims such as 'reduced AWS infrastructure costs by $120,000 annually' or 'architected Kubernetes clusters serving 10 million daily active users'—when the original resume only stated 'assisted with cloud deployment'. This exposes candidates to severe ethical breaches and recruiters to fraudulent credentials.</w:t>
      </w:r>
    </w:p>
    <w:p>
      <w:pPr>
        <w:spacing w:before="240" w:after="100"/>
        <w:pBdr>
          <w:left w:val="single" w:sz="18" w:space="4" w:color="1E406B"/>
        </w:pBdr>
      </w:pPr>
      <w:r>
        <w:rPr>
          <w:rFonts w:ascii="Times New Roman" w:hAnsi="Times New Roman"/>
          <w:b/>
          <w:color w:val="1E406B"/>
          <w:sz w:val="27"/>
        </w:rPr>
        <w:t xml:space="preserve">  3.3 Proposed System Architecture: The Noetrix Solution</w:t>
      </w:r>
    </w:p>
    <w:p>
      <w:pPr>
        <w:spacing w:line="360" w:lineRule="auto" w:after="120" w:before="0"/>
        <w:jc w:val="both"/>
      </w:pPr>
      <w:r>
        <w:rPr>
          <w:rFonts w:ascii="Times New Roman" w:hAnsi="Times New Roman"/>
          <w:b w:val="0"/>
          <w:i w:val="0"/>
          <w:sz w:val="24"/>
        </w:rPr>
        <w:t>Noetrix resolves these systemic failures through a dual-portal, hybrid architecture designed around complete explainability, mathematical determinism, and ethical guardrails:</w:t>
      </w:r>
    </w:p>
    <w:p>
      <w:pPr>
        <w:spacing w:line="360" w:lineRule="auto" w:after="120" w:before="0"/>
        <w:jc w:val="both"/>
      </w:pPr>
      <w:r>
        <w:rPr>
          <w:rFonts w:ascii="Times New Roman" w:hAnsi="Times New Roman"/>
          <w:b w:val="0"/>
          <w:i w:val="0"/>
          <w:sz w:val="24"/>
        </w:rPr>
        <w:t>1. Dual-Door Paradigm: Noetrix introduces distinct, purpose-built interfaces for both key stakeholders in the hiring ecosystem. The 'Candidate Door' acts as an empowering simulator, allowing job seekers to inspect exactly 'What the ATS Sees' through an OpenResume-style transparent parse viewer, review a granular 6-part score breakdown, and interactively optimize weak bullet points. The 'Recruiter Door' equips talent acquisition teams with a high-throughput batch screening dashboard, a deterministic 6-tier tie-breaking leaderboard, and an interactive Candidate Dossier Audit Drawer.</w:t>
      </w:r>
    </w:p>
    <w:p>
      <w:pPr>
        <w:spacing w:line="360" w:lineRule="auto" w:after="120" w:before="0"/>
        <w:jc w:val="both"/>
      </w:pPr>
      <w:r>
        <w:rPr>
          <w:rFonts w:ascii="Times New Roman" w:hAnsi="Times New Roman"/>
          <w:b w:val="0"/>
          <w:i w:val="0"/>
          <w:sz w:val="24"/>
        </w:rPr>
        <w:t>2. 6-Dimensional Deterministic Scoring: Candidate suitability is computed across six orthogonal metrics: Keyword Match, Semantic Fit, Experience Tenure, Educational Attainment, Impact Ratio, and Format Health. Every metric generates explicit evidence citations and prioritized fix suggestions.</w:t>
      </w:r>
    </w:p>
    <w:p>
      <w:pPr>
        <w:spacing w:line="360" w:lineRule="auto" w:after="120" w:before="0"/>
        <w:jc w:val="both"/>
      </w:pPr>
      <w:r>
        <w:rPr>
          <w:rFonts w:ascii="Times New Roman" w:hAnsi="Times New Roman"/>
          <w:b w:val="0"/>
          <w:i w:val="0"/>
          <w:sz w:val="24"/>
        </w:rPr>
        <w:t>3. Context-Aware 50% Soft Knockout Ceiling: To eliminate keyword stuffing, Noetrix mathematically enforces that if a candidate fails to demonstrate applied contextual proof for at least 50% of mandatory job requirements outside the standalone skills list, their composite score is capped at 50 points and assigned to the 'Weak' match band.</w:t>
      </w:r>
    </w:p>
    <w:p>
      <w:pPr>
        <w:spacing w:line="360" w:lineRule="auto" w:after="120" w:before="0"/>
        <w:jc w:val="both"/>
      </w:pPr>
      <w:r>
        <w:rPr>
          <w:rFonts w:ascii="Times New Roman" w:hAnsi="Times New Roman"/>
          <w:b w:val="0"/>
          <w:i w:val="0"/>
          <w:sz w:val="24"/>
        </w:rPr>
        <w:t>4. Truth-Grounded Bullet Optimization: Candidate experience bullets are refined using Google's XYZ accomplishment format backed by a deterministic Zero-Fabrication Validator that algorithmically guarantees no new numbers, metrics, or phantom skills are ever hallucinated.</w:t>
      </w:r>
    </w:p>
    <w:p>
      <w:pPr>
        <w:spacing w:line="360" w:lineRule="auto" w:after="120" w:before="0"/>
        <w:jc w:val="both"/>
      </w:pPr>
      <w:r>
        <w:rPr>
          <w:rFonts w:ascii="Times New Roman" w:hAnsi="Times New Roman"/>
          <w:b w:val="0"/>
          <w:i w:val="0"/>
          <w:sz w:val="24"/>
        </w:rPr>
        <w:t>5. Privacy-First Ephemeral Pipeline: Noetrix operates completely statelessly in memory, enforcing client-side PII redaction and zero persistent database retention, fully aligning with GDPR and ethical AI standards.</w:t>
      </w:r>
    </w:p>
    <w:p>
      <w:r>
        <w:br w:type="page"/>
      </w:r>
    </w:p>
    <w:p>
      <w:pPr>
        <w:spacing w:before="240" w:after="100"/>
        <w:pBdr>
          <w:left w:val="single" w:sz="18" w:space="4" w:color="1E406B"/>
        </w:pBdr>
      </w:pPr>
      <w:r>
        <w:rPr>
          <w:rFonts w:ascii="Times New Roman" w:hAnsi="Times New Roman"/>
          <w:b/>
          <w:color w:val="1E406B"/>
          <w:sz w:val="27"/>
        </w:rPr>
        <w:t xml:space="preserve">  3.4 Multidimensional Feasibility Study</w:t>
      </w:r>
    </w:p>
    <w:p>
      <w:pPr>
        <w:spacing w:line="360" w:lineRule="auto" w:after="120" w:before="0"/>
        <w:jc w:val="both"/>
      </w:pPr>
      <w:r>
        <w:rPr>
          <w:rFonts w:ascii="Times New Roman" w:hAnsi="Times New Roman"/>
          <w:b w:val="0"/>
          <w:i w:val="0"/>
          <w:sz w:val="24"/>
        </w:rPr>
        <w:t>To guarantee technical, operational, and institutional viability, a rigorous multidimensional feasibility study was conducted across four foundational dimensions:</w:t>
      </w:r>
    </w:p>
    <w:p>
      <w:pPr>
        <w:spacing w:line="360" w:lineRule="auto" w:after="120" w:before="0"/>
        <w:jc w:val="both"/>
      </w:pPr>
      <w:r>
        <w:rPr>
          <w:rFonts w:ascii="Times New Roman" w:hAnsi="Times New Roman"/>
          <w:b w:val="0"/>
          <w:i w:val="0"/>
          <w:sz w:val="24"/>
        </w:rPr>
        <w:t>1. Technical Feasibility: The proposed architecture leverages mature, enterprise-tested open-source frameworks. The backend is powered by FastAPI (Python 3.11+), utilizing pdfplumber and python-docx for document parsing, Scikit-learn and Sentence-Transformers for NLP operations, and ReportLab for ATS-compliant PDF generation. The frontend is built on Next.js 14 and Tailwind CSS, delivering sub-second client-side reactivity and seamless responsive rendering. Cloud AI integration utilizes the ultra-fast Groq API running LLaMA 3.3 70B Versatile with temperature set to zero and strict Pydantic JSON schema validation. The entire technical stack is fully feasible and operationally validated.</w:t>
      </w:r>
    </w:p>
    <w:p>
      <w:pPr>
        <w:spacing w:line="360" w:lineRule="auto" w:after="120" w:before="0"/>
        <w:jc w:val="both"/>
      </w:pPr>
      <w:r>
        <w:rPr>
          <w:rFonts w:ascii="Times New Roman" w:hAnsi="Times New Roman"/>
          <w:b w:val="0"/>
          <w:i w:val="0"/>
          <w:sz w:val="24"/>
        </w:rPr>
        <w:t>2. Operational Feasibility: Noetrix requires zero specialized client software or heavy browser extensions; it runs entirely within standard web browsers (Chrome, Firefox, Safari, Edge). The dual-door user interface is designed with high visual affordance, requiring zero prior training for either candidates or recruiters. In operational trials, non-technical recruiters successfully configured job descriptions and screened batches of 20 resumes within three minutes.</w:t>
      </w:r>
    </w:p>
    <w:p>
      <w:pPr>
        <w:spacing w:line="360" w:lineRule="auto" w:after="120" w:before="0"/>
        <w:jc w:val="both"/>
      </w:pPr>
      <w:r>
        <w:rPr>
          <w:rFonts w:ascii="Times New Roman" w:hAnsi="Times New Roman"/>
          <w:b w:val="0"/>
          <w:i w:val="0"/>
          <w:sz w:val="24"/>
        </w:rPr>
        <w:t>3. Economic and Resource Feasibility: Noetrix is engineered for exceptional cost efficiency. By utilizing deterministic Python algorithms for 95% of screening operations, server compute costs are negligible compared to cloud LLM architectures. External LLM calls are confined exclusively to bullet rewriting, where in-memory SHA-256 caching and token limits restrict API expenditure to fractions of a cent per session. The platform can be deployed on standard low-cost cloud infrastructure (Render, Vercel, or AWS EC2 t3-medium instances) with minimal operational overhead.</w:t>
      </w:r>
    </w:p>
    <w:p>
      <w:pPr>
        <w:spacing w:line="360" w:lineRule="auto" w:after="120" w:before="0"/>
        <w:jc w:val="both"/>
      </w:pPr>
      <w:r>
        <w:rPr>
          <w:rFonts w:ascii="Times New Roman" w:hAnsi="Times New Roman"/>
          <w:b w:val="0"/>
          <w:i w:val="0"/>
          <w:sz w:val="24"/>
        </w:rPr>
        <w:t>4. Legal, Ethical, and Compliance Feasibility: Noetrix is architected in strict compliance with the European Union Artificial Intelligence Act (EU AI Act) requirements for High-Risk AI systems (Annex III - Employment and Worker Management). By providing 100% auditable scoring breakdowns, human-in-the-loop recruiter controls, client-side PII anonymization, and zero demographic feature extraction, Noetrix fully mitigates legal and ethical exposure.</w:t>
      </w:r>
    </w:p>
    <w:p>
      <w:pPr>
        <w:spacing w:before="240" w:after="100"/>
        <w:pBdr>
          <w:left w:val="single" w:sz="18" w:space="4" w:color="1E406B"/>
        </w:pBdr>
      </w:pPr>
      <w:r>
        <w:rPr>
          <w:rFonts w:ascii="Times New Roman" w:hAnsi="Times New Roman"/>
          <w:b/>
          <w:color w:val="1E406B"/>
          <w:sz w:val="27"/>
        </w:rPr>
        <w:t xml:space="preserve">  3.5 Architectural Feasibility and Regulatory Compliance Matrix</w:t>
      </w:r>
    </w:p>
    <w:p>
      <w:pPr>
        <w:spacing w:line="360" w:lineRule="auto" w:after="120" w:before="0"/>
        <w:jc w:val="both"/>
      </w:pPr>
      <w:r>
        <w:rPr>
          <w:rFonts w:ascii="Times New Roman" w:hAnsi="Times New Roman"/>
          <w:b w:val="0"/>
          <w:i w:val="0"/>
          <w:sz w:val="24"/>
        </w:rPr>
        <w:t>To formally consolidate the feasibility assessment, all system constraints and compliance criteria were cross-referenced against regulatory and operational standards. Noetrix satisfies 100% of the mandatory functional and ethical criteria:</w:t>
      </w:r>
    </w:p>
    <w:p>
      <w:pPr>
        <w:spacing w:line="360" w:lineRule="auto" w:after="120" w:before="0"/>
        <w:jc w:val="both"/>
      </w:pPr>
      <w:r>
        <w:rPr>
          <w:rFonts w:ascii="Times New Roman" w:hAnsi="Times New Roman"/>
          <w:b w:val="0"/>
          <w:i w:val="0"/>
          <w:sz w:val="24"/>
        </w:rPr>
        <w:t>• Statutory AI Regulation: Full alignment with EU AI Act High-Risk AI transparency mandates and EEOC non-discrimination guidelines via 6-metric explainability rationales.</w:t>
      </w:r>
    </w:p>
    <w:p>
      <w:pPr>
        <w:spacing w:line="360" w:lineRule="auto" w:after="120" w:before="0"/>
        <w:jc w:val="both"/>
      </w:pPr>
      <w:r>
        <w:rPr>
          <w:rFonts w:ascii="Times New Roman" w:hAnsi="Times New Roman"/>
          <w:b w:val="0"/>
          <w:i w:val="0"/>
          <w:sz w:val="24"/>
        </w:rPr>
        <w:t>• Infrastructure Autonomy: High-speed local sentence embeddings completely eliminate third-party cloud lock-in for 95% of screening operations.</w:t>
      </w:r>
    </w:p>
    <w:p>
      <w:pPr>
        <w:spacing w:line="360" w:lineRule="auto" w:after="120" w:before="0"/>
        <w:jc w:val="both"/>
      </w:pPr>
      <w:r>
        <w:rPr>
          <w:rFonts w:ascii="Times New Roman" w:hAnsi="Times New Roman"/>
          <w:b w:val="0"/>
          <w:i w:val="0"/>
          <w:sz w:val="24"/>
        </w:rPr>
        <w:t>• Zero-Retention Privacy: Volatile in-memory execution guarantees zero post-request data retention, satisfying GDPR Article 17 and California Consumer Privacy Act standards.</w:t>
      </w:r>
    </w:p>
    <w:p>
      <w:r>
        <w:br w:type="page"/>
      </w:r>
    </w:p>
    <w:p>
      <w:pPr>
        <w:spacing w:before="0" w:after="80"/>
      </w:pPr>
    </w:p>
    <w:p>
      <w:pPr>
        <w:spacing w:before="120" w:after="40"/>
        <w:jc w:val="center"/>
        <w:shd w:val="clear" w:color="auto" w:fill="0B1C2D"/>
        <w:pBdr>
          <w:bottom w:val="single" w:sz="8" w:space="1" w:color="C8A02A"/>
        </w:pBdr>
      </w:pPr>
      <w:r>
        <w:rPr>
          <w:rFonts w:ascii="Times New Roman" w:hAnsi="Times New Roman"/>
          <w:b/>
          <w:color w:val="FFFFFF"/>
          <w:sz w:val="30"/>
        </w:rPr>
        <w:t xml:space="preserve">  CHAPTER 4: SYSTEM DESIGN  </w:t>
      </w:r>
    </w:p>
    <w:p>
      <w:pPr>
        <w:spacing w:before="0" w:after="160"/>
      </w:pPr>
    </w:p>
    <w:p>
      <w:pPr>
        <w:spacing w:before="240" w:after="100"/>
        <w:pBdr>
          <w:left w:val="single" w:sz="18" w:space="4" w:color="1E406B"/>
        </w:pBdr>
      </w:pPr>
      <w:r>
        <w:rPr>
          <w:rFonts w:ascii="Times New Roman" w:hAnsi="Times New Roman"/>
          <w:b/>
          <w:color w:val="1E406B"/>
          <w:sz w:val="27"/>
        </w:rPr>
        <w:t xml:space="preserve">  4.1 High-Level Architectural Overview</w:t>
      </w:r>
    </w:p>
    <w:p>
      <w:pPr>
        <w:spacing w:line="360" w:lineRule="auto" w:after="120" w:before="0"/>
        <w:jc w:val="both"/>
      </w:pPr>
      <w:r>
        <w:rPr>
          <w:rFonts w:ascii="Times New Roman" w:hAnsi="Times New Roman"/>
          <w:b w:val="0"/>
          <w:i w:val="0"/>
          <w:sz w:val="24"/>
        </w:rPr>
        <w:t>The Noetrix platform is engineered around a modern, decoupled, three-tier architectural paradigm designed for high throughput, sub-second reactivity, and total explainability. The system cleanly segregates the Presentation Layer, the Core API &amp; Service Layer, and the Stateless Analytics &amp; Generative AI Layer.</w:t>
      </w:r>
    </w:p>
    <w:p>
      <w:pPr>
        <w:spacing w:line="360" w:lineRule="auto" w:after="120" w:before="0"/>
        <w:jc w:val="both"/>
      </w:pPr>
      <w:r>
        <w:rPr>
          <w:rFonts w:ascii="Times New Roman" w:hAnsi="Times New Roman"/>
          <w:b w:val="0"/>
          <w:i w:val="0"/>
          <w:sz w:val="24"/>
        </w:rPr>
        <w:t>The architecture coordinates user interactions via Next.js 14, synchronous REST orchestration via FastAPI, and bounded AI inference via Groq LLaMA 3.3 70B and Sentence-Transformers, as mapped out in Figure 4.1.</w:t>
      </w:r>
    </w:p>
    <w:p>
      <w:pPr>
        <w:spacing w:before="200" w:after="60"/>
        <w:jc w:val="center"/>
        <w:shd w:val="clear" w:color="auto" w:fill="F8FAFC"/>
      </w:pPr>
      <w:r>
        <w:drawing>
          <wp:inline xmlns:a="http://schemas.openxmlformats.org/drawingml/2006/main" xmlns:pic="http://schemas.openxmlformats.org/drawingml/2006/picture">
            <wp:extent cx="5669280" cy="4295200"/>
            <wp:docPr id="3" name="Picture 3"/>
            <wp:cNvGraphicFramePr>
              <a:graphicFrameLocks noChangeAspect="1"/>
            </wp:cNvGraphicFramePr>
            <a:graphic>
              <a:graphicData uri="http://schemas.openxmlformats.org/drawingml/2006/picture">
                <pic:pic>
                  <pic:nvPicPr>
                    <pic:cNvPr id="0" name="fig_4_1_system_architecture.png"/>
                    <pic:cNvPicPr/>
                  </pic:nvPicPr>
                  <pic:blipFill>
                    <a:blip r:embed="rId13"/>
                    <a:stretch>
                      <a:fillRect/>
                    </a:stretch>
                  </pic:blipFill>
                  <pic:spPr>
                    <a:xfrm>
                      <a:off x="0" y="0"/>
                      <a:ext cx="5669280" cy="4295200"/>
                    </a:xfrm>
                    <a:prstGeom prst="rect"/>
                  </pic:spPr>
                </pic:pic>
              </a:graphicData>
            </a:graphic>
          </wp:inline>
        </w:drawing>
      </w:r>
    </w:p>
    <w:p>
      <w:pPr>
        <w:spacing w:before="40" w:after="200"/>
        <w:jc w:val="center"/>
      </w:pPr>
      <w:r>
        <w:rPr>
          <w:rFonts w:ascii="Times New Roman" w:hAnsi="Times New Roman"/>
          <w:b/>
          <w:color w:val="1E406B"/>
          <w:sz w:val="20"/>
        </w:rPr>
        <w:t xml:space="preserve">Figure 4.1: </w:t>
      </w:r>
      <w:r>
        <w:rPr>
          <w:rFonts w:ascii="Times New Roman" w:hAnsi="Times New Roman"/>
          <w:i/>
          <w:color w:val="334155"/>
          <w:sz w:val="20"/>
        </w:rPr>
        <w:t>Noetrix High-Level Layered Architecture — Three-tier decoupled architectural topology showing Presentation Tier (Next.js 14), Gateway &amp; Subsystems (FastAPI), and Analytics/GenAI Layer.</w:t>
      </w:r>
    </w:p>
    <w:p>
      <w:r>
        <w:br w:type="page"/>
      </w:r>
    </w:p>
    <w:p>
      <w:pPr>
        <w:spacing w:before="240" w:after="100"/>
        <w:pBdr>
          <w:left w:val="single" w:sz="18" w:space="4" w:color="1E406B"/>
        </w:pBdr>
      </w:pPr>
      <w:r>
        <w:rPr>
          <w:rFonts w:ascii="Times New Roman" w:hAnsi="Times New Roman"/>
          <w:b/>
          <w:color w:val="1E406B"/>
          <w:sz w:val="27"/>
        </w:rPr>
        <w:t xml:space="preserve">  4.2 C4 Architectural Model</w:t>
      </w:r>
    </w:p>
    <w:p>
      <w:pPr>
        <w:spacing w:line="360" w:lineRule="auto" w:after="120" w:before="0"/>
        <w:jc w:val="both"/>
      </w:pPr>
      <w:r>
        <w:rPr>
          <w:rFonts w:ascii="Times New Roman" w:hAnsi="Times New Roman"/>
          <w:b w:val="0"/>
          <w:i w:val="0"/>
          <w:sz w:val="24"/>
        </w:rPr>
        <w:t>To rigorously specify the system architecture across varying levels of technical abstraction, Noetrix is documented using the industry-standard C4 architectural model (Context, Containers, Components, Code):</w:t>
      </w:r>
    </w:p>
    <w:p>
      <w:pPr>
        <w:spacing w:line="360" w:lineRule="auto" w:after="120" w:before="0"/>
        <w:jc w:val="both"/>
      </w:pPr>
      <w:r>
        <w:rPr>
          <w:rFonts w:ascii="Times New Roman" w:hAnsi="Times New Roman"/>
          <w:b w:val="0"/>
          <w:i w:val="0"/>
          <w:sz w:val="24"/>
        </w:rPr>
        <w:t>Level 1: System Context: Illustrates how external actors (Job Applicants and Corporate Recruiters) interact with the Noetrix platform, and how Noetrix interfaces with external services (Groq LLM API for bounded bullet optimization). Crucially, candidate PII is scrubbed before any interaction with external APIs.</w:t>
      </w:r>
    </w:p>
    <w:p>
      <w:pPr>
        <w:spacing w:line="360" w:lineRule="auto" w:after="120" w:before="0"/>
        <w:jc w:val="both"/>
      </w:pPr>
      <w:r>
        <w:rPr>
          <w:rFonts w:ascii="Times New Roman" w:hAnsi="Times New Roman"/>
          <w:b w:val="0"/>
          <w:i w:val="0"/>
          <w:sz w:val="24"/>
        </w:rPr>
        <w:t>Level 2: Container Blueprint: Details the high-level software containers comprising the deployment topology. The Next.js 14 Single-Page Application (port 3000) communicates with the FastAPI Backend (port 8000) over asynchronous HTTP/JSON. The backend hosts the NLP embedding models in memory and manages ephemeral file parsing without a persistent database.</w:t>
      </w:r>
    </w:p>
    <w:p>
      <w:pPr>
        <w:spacing w:line="360" w:lineRule="auto" w:after="120" w:before="0"/>
        <w:jc w:val="both"/>
      </w:pPr>
      <w:r>
        <w:rPr>
          <w:rFonts w:ascii="Times New Roman" w:hAnsi="Times New Roman"/>
          <w:b w:val="0"/>
          <w:i w:val="0"/>
          <w:sz w:val="24"/>
        </w:rPr>
        <w:t>Level 3: Component Decomposition: Details the modular decomposition within the FastAPI application container, consisting of the Document Ingestion Controller, the Section &amp; Contact Extractor, the 6-Metric Scoring Orchestrator, the Recruiter Batch Ranker, the Guardrailed Improver Service, and the ReportLab PDF Exporter.</w:t>
      </w:r>
    </w:p>
    <w:p>
      <w:pPr>
        <w:spacing w:line="360" w:lineRule="auto" w:after="120" w:before="0"/>
        <w:jc w:val="both"/>
      </w:pPr>
      <w:r>
        <w:rPr>
          <w:rFonts w:ascii="Times New Roman" w:hAnsi="Times New Roman"/>
          <w:b w:val="0"/>
          <w:i w:val="0"/>
          <w:sz w:val="24"/>
        </w:rPr>
        <w:t>Level 4: Code Level: Defines the Pydantic data schemas (ParsedResume, JDFeatures, ScoreResult, MetricScore, RankedCandidate) and deterministic Python algorithms implementing exact mathematical formulas.</w:t>
      </w:r>
    </w:p>
    <w:p>
      <w:pPr>
        <w:spacing w:before="200" w:after="60"/>
        <w:jc w:val="center"/>
        <w:shd w:val="clear" w:color="auto" w:fill="F8FAFC"/>
      </w:pPr>
      <w:r>
        <w:drawing>
          <wp:inline xmlns:a="http://schemas.openxmlformats.org/drawingml/2006/main" xmlns:pic="http://schemas.openxmlformats.org/drawingml/2006/picture">
            <wp:extent cx="5669280" cy="3574529"/>
            <wp:docPr id="4" name="Picture 4"/>
            <wp:cNvGraphicFramePr>
              <a:graphicFrameLocks noChangeAspect="1"/>
            </wp:cNvGraphicFramePr>
            <a:graphic>
              <a:graphicData uri="http://schemas.openxmlformats.org/drawingml/2006/picture">
                <pic:pic>
                  <pic:nvPicPr>
                    <pic:cNvPr id="0" name="fig_4_2_c4_container_model.png"/>
                    <pic:cNvPicPr/>
                  </pic:nvPicPr>
                  <pic:blipFill>
                    <a:blip r:embed="rId14"/>
                    <a:stretch>
                      <a:fillRect/>
                    </a:stretch>
                  </pic:blipFill>
                  <pic:spPr>
                    <a:xfrm>
                      <a:off x="0" y="0"/>
                      <a:ext cx="5669280" cy="3574529"/>
                    </a:xfrm>
                    <a:prstGeom prst="rect"/>
                  </pic:spPr>
                </pic:pic>
              </a:graphicData>
            </a:graphic>
          </wp:inline>
        </w:drawing>
      </w:r>
    </w:p>
    <w:p>
      <w:pPr>
        <w:spacing w:before="40" w:after="200"/>
        <w:jc w:val="center"/>
      </w:pPr>
      <w:r>
        <w:rPr>
          <w:rFonts w:ascii="Times New Roman" w:hAnsi="Times New Roman"/>
          <w:b/>
          <w:color w:val="1E406B"/>
          <w:sz w:val="20"/>
        </w:rPr>
        <w:t xml:space="preserve">Figure 4.2: </w:t>
      </w:r>
      <w:r>
        <w:rPr>
          <w:rFonts w:ascii="Times New Roman" w:hAnsi="Times New Roman"/>
          <w:i/>
          <w:color w:val="334155"/>
          <w:sz w:val="20"/>
        </w:rPr>
        <w:t>C4 Container Topology Blueprint — Container-level architectural model detailing the interaction protocols between Candidate and Recruiter personas, the Next.js frontend, FastAPI API container, in-memory Sentence-Transformers embeddings, and bounded Groq inference.</w:t>
      </w:r>
    </w:p>
    <w:p>
      <w:r>
        <w:br w:type="page"/>
      </w:r>
    </w:p>
    <w:p>
      <w:pPr>
        <w:spacing w:before="240" w:after="100"/>
        <w:pBdr>
          <w:left w:val="single" w:sz="18" w:space="4" w:color="1E406B"/>
        </w:pBdr>
      </w:pPr>
      <w:r>
        <w:rPr>
          <w:rFonts w:ascii="Times New Roman" w:hAnsi="Times New Roman"/>
          <w:b/>
          <w:color w:val="1E406B"/>
          <w:sz w:val="27"/>
        </w:rPr>
        <w:t xml:space="preserve">  4.3 Data Flow Modeling (DFD Levels 0, 1, and 2)</w:t>
      </w:r>
    </w:p>
    <w:p>
      <w:pPr>
        <w:spacing w:line="360" w:lineRule="auto" w:after="120" w:before="0"/>
        <w:jc w:val="both"/>
      </w:pPr>
      <w:r>
        <w:rPr>
          <w:rFonts w:ascii="Times New Roman" w:hAnsi="Times New Roman"/>
          <w:b w:val="0"/>
          <w:i w:val="0"/>
          <w:sz w:val="24"/>
        </w:rPr>
        <w:t>The flow of data through the Noetrix platform is formally modeled across three levels of hierarchical Data Flow Diagrams (DFDs):</w:t>
      </w:r>
    </w:p>
    <w:p>
      <w:pPr>
        <w:spacing w:line="360" w:lineRule="auto" w:after="120" w:before="0"/>
        <w:jc w:val="both"/>
      </w:pPr>
      <w:r>
        <w:rPr>
          <w:rFonts w:ascii="Times New Roman" w:hAnsi="Times New Roman"/>
          <w:b w:val="0"/>
          <w:i w:val="0"/>
          <w:sz w:val="24"/>
        </w:rPr>
        <w:t>4.3.1 DFD Level 0 (Context Level Diagram): The candidate submits raw resume files (PDF/DOCX) and an optional target Job Description to the Noetrix boundary. The recruiter submits a corporate Job Description, custom metric weights, and a batch of applicant resumes. Noetrix processes the inputs statelessly and outputs transparent audit scores, OpenResume parse data, tailored bullet suggestions, and ranked candidate shortlists with complete audit dossiers.</w:t>
      </w:r>
    </w:p>
    <w:p>
      <w:pPr>
        <w:spacing w:before="200" w:after="60"/>
        <w:jc w:val="center"/>
        <w:shd w:val="clear" w:color="auto" w:fill="F8FAFC"/>
      </w:pPr>
      <w:r>
        <w:drawing>
          <wp:inline xmlns:a="http://schemas.openxmlformats.org/drawingml/2006/main" xmlns:pic="http://schemas.openxmlformats.org/drawingml/2006/picture">
            <wp:extent cx="5669280" cy="1628717"/>
            <wp:docPr id="5" name="Picture 5"/>
            <wp:cNvGraphicFramePr>
              <a:graphicFrameLocks noChangeAspect="1"/>
            </wp:cNvGraphicFramePr>
            <a:graphic>
              <a:graphicData uri="http://schemas.openxmlformats.org/drawingml/2006/picture">
                <pic:pic>
                  <pic:nvPicPr>
                    <pic:cNvPr id="0" name="fig_4_3_dfd_level_0.png"/>
                    <pic:cNvPicPr/>
                  </pic:nvPicPr>
                  <pic:blipFill>
                    <a:blip r:embed="rId15"/>
                    <a:stretch>
                      <a:fillRect/>
                    </a:stretch>
                  </pic:blipFill>
                  <pic:spPr>
                    <a:xfrm>
                      <a:off x="0" y="0"/>
                      <a:ext cx="5669280" cy="1628717"/>
                    </a:xfrm>
                    <a:prstGeom prst="rect"/>
                  </pic:spPr>
                </pic:pic>
              </a:graphicData>
            </a:graphic>
          </wp:inline>
        </w:drawing>
      </w:r>
    </w:p>
    <w:p>
      <w:pPr>
        <w:spacing w:before="40" w:after="200"/>
        <w:jc w:val="center"/>
      </w:pPr>
      <w:r>
        <w:rPr>
          <w:rFonts w:ascii="Times New Roman" w:hAnsi="Times New Roman"/>
          <w:b/>
          <w:color w:val="1E406B"/>
          <w:sz w:val="20"/>
        </w:rPr>
        <w:t xml:space="preserve">Figure 4.3: </w:t>
      </w:r>
      <w:r>
        <w:rPr>
          <w:rFonts w:ascii="Times New Roman" w:hAnsi="Times New Roman"/>
          <w:i/>
          <w:color w:val="334155"/>
          <w:sz w:val="20"/>
        </w:rPr>
        <w:t>Data Flow Diagram (DFD Level 0 — Context Level) — System boundary diagram illustrating external candidate and recruiter entities, primary data ingestion pipelines, and outbound audit deliverables.</w:t>
      </w:r>
    </w:p>
    <w:p>
      <w:r>
        <w:br w:type="page"/>
      </w:r>
    </w:p>
    <w:p>
      <w:pPr>
        <w:spacing w:before="240" w:after="100"/>
        <w:pBdr>
          <w:left w:val="single" w:sz="18" w:space="4" w:color="1E406B"/>
        </w:pBdr>
      </w:pPr>
      <w:r>
        <w:rPr>
          <w:rFonts w:ascii="Times New Roman" w:hAnsi="Times New Roman"/>
          <w:b/>
          <w:color w:val="1E406B"/>
          <w:sz w:val="27"/>
        </w:rPr>
        <w:t xml:space="preserve">  4.3.2 DFD Level 1 (Functional Decomposition Modeling)</w:t>
      </w:r>
    </w:p>
    <w:p>
      <w:pPr>
        <w:spacing w:line="360" w:lineRule="auto" w:after="120" w:before="0"/>
        <w:jc w:val="both"/>
      </w:pPr>
      <w:r>
        <w:rPr>
          <w:rFonts w:ascii="Times New Roman" w:hAnsi="Times New Roman"/>
          <w:b w:val="0"/>
          <w:i w:val="0"/>
          <w:sz w:val="24"/>
        </w:rPr>
        <w:t>Ingestion and document parsing processes decompose uploaded files into structured plain text, extracting contact information, detected sections, and technical skills. The parsed resume and structured JD features are piped to Process 2.0 (Scoring Core), which runs all six metric scorers in parallel, computes normalized weighted composites, checks the 50% Soft Knockout rule, and emits a ScoreResult. For candidates, Process 3.0 (Tailoring Engine) evaluates bullet points against Google's XYZ formula and emits verified rewrites. For recruiters, Process 4.0 (Batch Ranker) ingests all candidate ScoreResults, applies the 6-tier deterministic tie-breaking key, and generates the ranked candidate leaderboard.</w:t>
      </w:r>
    </w:p>
    <w:p>
      <w:pPr>
        <w:spacing w:before="200" w:after="60"/>
        <w:jc w:val="center"/>
        <w:shd w:val="clear" w:color="auto" w:fill="F8FAFC"/>
      </w:pPr>
      <w:r>
        <w:drawing>
          <wp:inline xmlns:a="http://schemas.openxmlformats.org/drawingml/2006/main" xmlns:pic="http://schemas.openxmlformats.org/drawingml/2006/picture">
            <wp:extent cx="5669280" cy="6822354"/>
            <wp:docPr id="6" name="Picture 6"/>
            <wp:cNvGraphicFramePr>
              <a:graphicFrameLocks noChangeAspect="1"/>
            </wp:cNvGraphicFramePr>
            <a:graphic>
              <a:graphicData uri="http://schemas.openxmlformats.org/drawingml/2006/picture">
                <pic:pic>
                  <pic:nvPicPr>
                    <pic:cNvPr id="0" name="fig_4_4_dfd_level_1.png"/>
                    <pic:cNvPicPr/>
                  </pic:nvPicPr>
                  <pic:blipFill>
                    <a:blip r:embed="rId16"/>
                    <a:stretch>
                      <a:fillRect/>
                    </a:stretch>
                  </pic:blipFill>
                  <pic:spPr>
                    <a:xfrm>
                      <a:off x="0" y="0"/>
                      <a:ext cx="5669280" cy="6822354"/>
                    </a:xfrm>
                    <a:prstGeom prst="rect"/>
                  </pic:spPr>
                </pic:pic>
              </a:graphicData>
            </a:graphic>
          </wp:inline>
        </w:drawing>
      </w:r>
    </w:p>
    <w:p>
      <w:pPr>
        <w:spacing w:before="40" w:after="200"/>
        <w:jc w:val="center"/>
      </w:pPr>
      <w:r>
        <w:rPr>
          <w:rFonts w:ascii="Times New Roman" w:hAnsi="Times New Roman"/>
          <w:b/>
          <w:color w:val="1E406B"/>
          <w:sz w:val="20"/>
        </w:rPr>
        <w:t xml:space="preserve">Figure 4.4: </w:t>
      </w:r>
      <w:r>
        <w:rPr>
          <w:rFonts w:ascii="Times New Roman" w:hAnsi="Times New Roman"/>
          <w:i/>
          <w:color w:val="334155"/>
          <w:sz w:val="20"/>
        </w:rPr>
        <w:t>Data Flow Diagram (DFD Level 1 — Functional Decomposition) — Functional decomposition diagram modeling document parsing, entity structuring, 6-metric scoring core, 50% soft knockout enforcement, bullet tailoring, and deterministic batch ranking.</w:t>
      </w:r>
    </w:p>
    <w:p>
      <w:r>
        <w:br w:type="page"/>
      </w:r>
    </w:p>
    <w:p>
      <w:pPr>
        <w:spacing w:before="240" w:after="100"/>
        <w:pBdr>
          <w:left w:val="single" w:sz="18" w:space="4" w:color="1E406B"/>
        </w:pBdr>
      </w:pPr>
      <w:r>
        <w:rPr>
          <w:rFonts w:ascii="Times New Roman" w:hAnsi="Times New Roman"/>
          <w:b/>
          <w:color w:val="1E406B"/>
          <w:sz w:val="27"/>
        </w:rPr>
        <w:t xml:space="preserve">  4.3.3 DFD Level 2 (GenAI Privacy &amp; Zero-Fabrication Pipeline)</w:t>
      </w:r>
    </w:p>
    <w:p>
      <w:pPr>
        <w:spacing w:line="360" w:lineRule="auto" w:after="120" w:before="0"/>
        <w:jc w:val="both"/>
      </w:pPr>
      <w:r>
        <w:rPr>
          <w:rFonts w:ascii="Times New Roman" w:hAnsi="Times New Roman"/>
          <w:b w:val="0"/>
          <w:i w:val="0"/>
          <w:sz w:val="24"/>
        </w:rPr>
        <w:t>Decomposes the internal operations of the Scoring and Tailoring subsystems. Step 1 executes regex-based PII scrubbing, stripping candidate names, emails, and phone numbers. Step 2 checks the SHA-256 in-memory cache for previously computed feature hashes. Step 3 acquires a concurrency permit from the thread semaphore (max 3 concurrent calls). Step 4 invokes the Groq LLM API with strict JSON schema constraints. Step 5 routes the output to the Zero-Fabrication Validator, which compares numbers, percentages, and skill tokens between the original and rewritten bullets. If validation fails, the system safely falls back to deterministic rule-based weak opener replacements.</w:t>
      </w:r>
    </w:p>
    <w:p>
      <w:pPr>
        <w:spacing w:before="200" w:after="60"/>
        <w:jc w:val="center"/>
        <w:shd w:val="clear" w:color="auto" w:fill="F8FAFC"/>
      </w:pPr>
      <w:r>
        <w:drawing>
          <wp:inline xmlns:a="http://schemas.openxmlformats.org/drawingml/2006/main" xmlns:pic="http://schemas.openxmlformats.org/drawingml/2006/picture">
            <wp:extent cx="5669280" cy="6731069"/>
            <wp:docPr id="7" name="Picture 7"/>
            <wp:cNvGraphicFramePr>
              <a:graphicFrameLocks noChangeAspect="1"/>
            </wp:cNvGraphicFramePr>
            <a:graphic>
              <a:graphicData uri="http://schemas.openxmlformats.org/drawingml/2006/picture">
                <pic:pic>
                  <pic:nvPicPr>
                    <pic:cNvPr id="0" name="fig_4_5_dfd_level_2.png"/>
                    <pic:cNvPicPr/>
                  </pic:nvPicPr>
                  <pic:blipFill>
                    <a:blip r:embed="rId17"/>
                    <a:stretch>
                      <a:fillRect/>
                    </a:stretch>
                  </pic:blipFill>
                  <pic:spPr>
                    <a:xfrm>
                      <a:off x="0" y="0"/>
                      <a:ext cx="5669280" cy="6731069"/>
                    </a:xfrm>
                    <a:prstGeom prst="rect"/>
                  </pic:spPr>
                </pic:pic>
              </a:graphicData>
            </a:graphic>
          </wp:inline>
        </w:drawing>
      </w:r>
    </w:p>
    <w:p>
      <w:pPr>
        <w:spacing w:before="40" w:after="200"/>
        <w:jc w:val="center"/>
      </w:pPr>
      <w:r>
        <w:rPr>
          <w:rFonts w:ascii="Times New Roman" w:hAnsi="Times New Roman"/>
          <w:b/>
          <w:color w:val="1E406B"/>
          <w:sz w:val="20"/>
        </w:rPr>
        <w:t xml:space="preserve">Figure 4.5: </w:t>
      </w:r>
      <w:r>
        <w:rPr>
          <w:rFonts w:ascii="Times New Roman" w:hAnsi="Times New Roman"/>
          <w:i/>
          <w:color w:val="334155"/>
          <w:sz w:val="20"/>
        </w:rPr>
        <w:t>Data Flow Diagram (DFD Level 2 — GenAI Privacy &amp; Zero-Fabrication Pipeline) — Subsystem dataflow tracing automated regex PII redaction, SHA-256 prompt caching, concurrency semaphore control, Groq LLaMA 3.3 generation, and deterministic Zero-Fabrication verification.</w:t>
      </w:r>
    </w:p>
    <w:p>
      <w:r>
        <w:br w:type="page"/>
      </w:r>
    </w:p>
    <w:p>
      <w:pPr>
        <w:spacing w:before="240" w:after="100"/>
        <w:pBdr>
          <w:left w:val="single" w:sz="18" w:space="4" w:color="1E406B"/>
        </w:pBdr>
      </w:pPr>
      <w:r>
        <w:rPr>
          <w:rFonts w:ascii="Times New Roman" w:hAnsi="Times New Roman"/>
          <w:b/>
          <w:color w:val="1E406B"/>
          <w:sz w:val="27"/>
        </w:rPr>
        <w:t xml:space="preserve">  4.4 System Behavioral Modeling and Flowcharts</w:t>
      </w:r>
    </w:p>
    <w:p>
      <w:pPr>
        <w:spacing w:line="360" w:lineRule="auto" w:after="120" w:before="0"/>
        <w:jc w:val="both"/>
      </w:pPr>
      <w:r>
        <w:rPr>
          <w:rFonts w:ascii="Times New Roman" w:hAnsi="Times New Roman"/>
          <w:b w:val="0"/>
          <w:i w:val="0"/>
          <w:sz w:val="24"/>
        </w:rPr>
        <w:t>The behavioral dynamics of the two primary system workflows are modeled as formal state flowcharts:</w:t>
      </w:r>
    </w:p>
    <w:p>
      <w:pPr>
        <w:spacing w:line="360" w:lineRule="auto" w:after="120" w:before="0"/>
        <w:jc w:val="both"/>
      </w:pPr>
      <w:r>
        <w:rPr>
          <w:rFonts w:ascii="Times New Roman" w:hAnsi="Times New Roman"/>
          <w:b w:val="0"/>
          <w:i w:val="0"/>
          <w:sz w:val="24"/>
        </w:rPr>
        <w:t>4.4.1 Candidate Live Audit and Optimization Workflow: Upload Resume -&gt; Multi-Format Parser (PDF/DOCX) -&gt; Extract Sections, Skills, Contact -&gt; Submit to /api/score -&gt; Parallel Metric Scorer Execution -&gt; Check Must-Have Coverage -&gt; Apply 50-Point Soft Knockout Cap if &lt;50% -&gt; Compute Match Band (Strong, Moderate, Weak) -&gt; Render Interactive Score Radar, Breakdown Cards &amp; OpenResume ATS View -&gt; Open Candidate Bullet Editor -&gt; User Selects Weak Bullet -&gt; Generate XYZ Optimization -&gt; Validate via Zero-Fabrication Engine -&gt; User Accepts Changes -&gt; Re-Score Resume Instantly -&gt; Export Clean ATS-Proof PDF.</w:t>
      </w:r>
    </w:p>
    <w:p>
      <w:pPr>
        <w:spacing w:before="200" w:after="60"/>
        <w:jc w:val="center"/>
        <w:shd w:val="clear" w:color="auto" w:fill="F8FAFC"/>
      </w:pPr>
      <w:r>
        <w:drawing>
          <wp:inline xmlns:a="http://schemas.openxmlformats.org/drawingml/2006/main" xmlns:pic="http://schemas.openxmlformats.org/drawingml/2006/picture">
            <wp:extent cx="5669280" cy="10531408"/>
            <wp:docPr id="8" name="Picture 8"/>
            <wp:cNvGraphicFramePr>
              <a:graphicFrameLocks noChangeAspect="1"/>
            </wp:cNvGraphicFramePr>
            <a:graphic>
              <a:graphicData uri="http://schemas.openxmlformats.org/drawingml/2006/picture">
                <pic:pic>
                  <pic:nvPicPr>
                    <pic:cNvPr id="0" name="fig_4_6_flowchart_candidate.png"/>
                    <pic:cNvPicPr/>
                  </pic:nvPicPr>
                  <pic:blipFill>
                    <a:blip r:embed="rId18"/>
                    <a:stretch>
                      <a:fillRect/>
                    </a:stretch>
                  </pic:blipFill>
                  <pic:spPr>
                    <a:xfrm>
                      <a:off x="0" y="0"/>
                      <a:ext cx="5669280" cy="10531408"/>
                    </a:xfrm>
                    <a:prstGeom prst="rect"/>
                  </pic:spPr>
                </pic:pic>
              </a:graphicData>
            </a:graphic>
          </wp:inline>
        </w:drawing>
      </w:r>
    </w:p>
    <w:p>
      <w:pPr>
        <w:spacing w:before="40" w:after="200"/>
        <w:jc w:val="center"/>
      </w:pPr>
      <w:r>
        <w:rPr>
          <w:rFonts w:ascii="Times New Roman" w:hAnsi="Times New Roman"/>
          <w:b/>
          <w:color w:val="1E406B"/>
          <w:sz w:val="20"/>
        </w:rPr>
        <w:t xml:space="preserve">Figure 4.6: </w:t>
      </w:r>
      <w:r>
        <w:rPr>
          <w:rFonts w:ascii="Times New Roman" w:hAnsi="Times New Roman"/>
          <w:i/>
          <w:color w:val="334155"/>
          <w:sz w:val="20"/>
        </w:rPr>
        <w:t>Candidate Live Audit &amp; Optimization Workflow Flowchart — State transition flowchart tracing candidate journey from file upload, multi-format parsing, 6-metric scoring, soft knockout decision gate, interactive radar review, to ATS PDF export.</w:t>
      </w:r>
    </w:p>
    <w:p>
      <w:r>
        <w:br w:type="page"/>
      </w:r>
    </w:p>
    <w:p>
      <w:pPr>
        <w:spacing w:before="240" w:after="100"/>
        <w:pBdr>
          <w:left w:val="single" w:sz="18" w:space="4" w:color="1E406B"/>
        </w:pBdr>
      </w:pPr>
      <w:r>
        <w:rPr>
          <w:rFonts w:ascii="Times New Roman" w:hAnsi="Times New Roman"/>
          <w:b/>
          <w:color w:val="1E406B"/>
          <w:sz w:val="27"/>
        </w:rPr>
        <w:t xml:space="preserve">  4.4.2 Recruiter Batch Screening and Audit Workflow Flowchart</w:t>
      </w:r>
    </w:p>
    <w:p>
      <w:pPr>
        <w:spacing w:line="360" w:lineRule="auto" w:after="120" w:before="0"/>
        <w:jc w:val="both"/>
      </w:pPr>
      <w:r>
        <w:rPr>
          <w:rFonts w:ascii="Times New Roman" w:hAnsi="Times New Roman"/>
          <w:b w:val="0"/>
          <w:i w:val="0"/>
          <w:sz w:val="24"/>
        </w:rPr>
        <w:t>Recruiter Batch Screening and Audit Workflow: Paste Requisition Job Description -&gt; Automated JD Feature Extraction (/api/extract-jd) -&gt; Extract Must-Have Skills, Nice-To-Have Skills, Min Experience -&gt; Recruiter Configures Metric Weights and Must-Have Cap -&gt; Drag &amp; Drop Multiple Resumes (/api/rank) -&gt; Multi-Threaded Batch Ingestion -&gt; Individual Resume Scoring -&gt; Apply 6-Tier Deterministic Tie-Breaking Algorithm -&gt; Render Dynamic Shortlist Leaderboard -&gt; Recruiter Filters by Match Band or Must-Have Coverage -&gt; Click Candidate Row -&gt; Open Slide-Over Audit Dossier Drawer -&gt; Inspect Detailed Metric Rationales, Risk Flags, and ATS Parse Data -&gt; Export Ranked Results to CSV.</w:t>
      </w:r>
    </w:p>
    <w:p>
      <w:pPr>
        <w:spacing w:before="200" w:after="60"/>
        <w:jc w:val="center"/>
        <w:shd w:val="clear" w:color="auto" w:fill="F8FAFC"/>
      </w:pPr>
      <w:r>
        <w:drawing>
          <wp:inline xmlns:a="http://schemas.openxmlformats.org/drawingml/2006/main" xmlns:pic="http://schemas.openxmlformats.org/drawingml/2006/picture">
            <wp:extent cx="5669280" cy="8133975"/>
            <wp:docPr id="9" name="Picture 9"/>
            <wp:cNvGraphicFramePr>
              <a:graphicFrameLocks noChangeAspect="1"/>
            </wp:cNvGraphicFramePr>
            <a:graphic>
              <a:graphicData uri="http://schemas.openxmlformats.org/drawingml/2006/picture">
                <pic:pic>
                  <pic:nvPicPr>
                    <pic:cNvPr id="0" name="fig_4_7_flowchart_recruiter.png"/>
                    <pic:cNvPicPr/>
                  </pic:nvPicPr>
                  <pic:blipFill>
                    <a:blip r:embed="rId19"/>
                    <a:stretch>
                      <a:fillRect/>
                    </a:stretch>
                  </pic:blipFill>
                  <pic:spPr>
                    <a:xfrm>
                      <a:off x="0" y="0"/>
                      <a:ext cx="5669280" cy="8133975"/>
                    </a:xfrm>
                    <a:prstGeom prst="rect"/>
                  </pic:spPr>
                </pic:pic>
              </a:graphicData>
            </a:graphic>
          </wp:inline>
        </w:drawing>
      </w:r>
    </w:p>
    <w:p>
      <w:pPr>
        <w:spacing w:before="40" w:after="200"/>
        <w:jc w:val="center"/>
      </w:pPr>
      <w:r>
        <w:rPr>
          <w:rFonts w:ascii="Times New Roman" w:hAnsi="Times New Roman"/>
          <w:b/>
          <w:color w:val="1E406B"/>
          <w:sz w:val="20"/>
        </w:rPr>
        <w:t xml:space="preserve">Figure 4.7: </w:t>
      </w:r>
      <w:r>
        <w:rPr>
          <w:rFonts w:ascii="Times New Roman" w:hAnsi="Times New Roman"/>
          <w:i/>
          <w:color w:val="334155"/>
          <w:sz w:val="20"/>
        </w:rPr>
        <w:t>Recruiter Batch Screening &amp; Shortlisting Workflow Flowchart — Flowchart representing recruiter workflow: job requisition ingestion, dynamic weight tuning, batch resume ingestion, 6-tier tie-breaking, dossier drawer inspection, and RFC-4180 CSV export.</w:t>
      </w:r>
    </w:p>
    <w:p>
      <w:r>
        <w:br w:type="page"/>
      </w:r>
    </w:p>
    <w:p>
      <w:pPr>
        <w:spacing w:before="240" w:after="100"/>
        <w:pBdr>
          <w:left w:val="single" w:sz="18" w:space="4" w:color="1E406B"/>
        </w:pBdr>
      </w:pPr>
      <w:r>
        <w:rPr>
          <w:rFonts w:ascii="Times New Roman" w:hAnsi="Times New Roman"/>
          <w:b/>
          <w:color w:val="1E406B"/>
          <w:sz w:val="27"/>
        </w:rPr>
        <w:t xml:space="preserve">  4.5 Subsystem Decomposition and Module Architecture</w:t>
      </w:r>
    </w:p>
    <w:p>
      <w:pPr>
        <w:spacing w:line="360" w:lineRule="auto" w:after="120" w:before="0"/>
        <w:jc w:val="both"/>
      </w:pPr>
      <w:r>
        <w:rPr>
          <w:rFonts w:ascii="Times New Roman" w:hAnsi="Times New Roman"/>
          <w:b w:val="0"/>
          <w:i w:val="0"/>
          <w:sz w:val="24"/>
        </w:rPr>
        <w:t>The Noetrix codebase is architected into five decoupled core subsystems:</w:t>
      </w:r>
    </w:p>
    <w:p>
      <w:pPr>
        <w:spacing w:line="360" w:lineRule="auto" w:after="120" w:before="0"/>
        <w:jc w:val="both"/>
      </w:pPr>
      <w:r>
        <w:rPr>
          <w:rFonts w:ascii="Times New Roman" w:hAnsi="Times New Roman"/>
          <w:b w:val="0"/>
          <w:i w:val="0"/>
          <w:sz w:val="24"/>
        </w:rPr>
        <w:t>1. Document Ingestion Subsystem (app/services/parser): Utilizes pdfplumber for PDF extraction and python-docx for Word documents. Features column detection heuristics (evaluating character horizontal coordinate clusters across pages with &gt;40 words to detect multi-column interleaving hazards) and table detection (identifying embedded table structures that frequently confound legacy ATS parsers).</w:t>
      </w:r>
    </w:p>
    <w:p>
      <w:pPr>
        <w:spacing w:line="360" w:lineRule="auto" w:after="120" w:before="0"/>
        <w:jc w:val="both"/>
      </w:pPr>
      <w:r>
        <w:rPr>
          <w:rFonts w:ascii="Times New Roman" w:hAnsi="Times New Roman"/>
          <w:b w:val="0"/>
          <w:i w:val="0"/>
          <w:sz w:val="24"/>
        </w:rPr>
        <w:t>2. Deterministic Scoring Subsystem (app/services/scorer): Contains engine.py and six specialized metric modules (keyword_scorer, semantic_scorer, experience_scorer, education_scorer, impact_scorer, format_scorer). All metrics return strongly-typed MetricScore objects containing raw scores, normalized weighted scores, evidence citations, missing elements, and human-readable rationales.</w:t>
      </w:r>
    </w:p>
    <w:p>
      <w:pPr>
        <w:spacing w:line="360" w:lineRule="auto" w:after="120" w:before="0"/>
        <w:jc w:val="both"/>
      </w:pPr>
      <w:r>
        <w:rPr>
          <w:rFonts w:ascii="Times New Roman" w:hAnsi="Times New Roman"/>
          <w:b w:val="0"/>
          <w:i w:val="0"/>
          <w:sz w:val="24"/>
        </w:rPr>
        <w:t>3. Batch Ranking Subsystem (app/services/ranker): Orchestrates batch candidate processing, computes must-have skill coverage ratios, and implements the 6-attribute deterministic tie-breaking key. Generates CSV export payloads for seamless enterprise HRIS integration.</w:t>
      </w:r>
    </w:p>
    <w:p>
      <w:pPr>
        <w:spacing w:line="360" w:lineRule="auto" w:after="120" w:before="0"/>
        <w:jc w:val="both"/>
      </w:pPr>
      <w:r>
        <w:rPr>
          <w:rFonts w:ascii="Times New Roman" w:hAnsi="Times New Roman"/>
          <w:b w:val="0"/>
          <w:i w:val="0"/>
          <w:sz w:val="24"/>
        </w:rPr>
        <w:t>4. Guardrailed Tailoring Subsystem (app/services/improver): Houses the bullet optimization engine, rule-based opener replacement tables (21 regex patterns), and the deterministic Zero-Fabrication Validator. Guarantees that neither LLM nor rules can inject false credentials.</w:t>
      </w:r>
    </w:p>
    <w:p>
      <w:pPr>
        <w:spacing w:line="360" w:lineRule="auto" w:after="120" w:before="0"/>
        <w:jc w:val="both"/>
      </w:pPr>
      <w:r>
        <w:rPr>
          <w:rFonts w:ascii="Times New Roman" w:hAnsi="Times New Roman"/>
          <w:b w:val="0"/>
          <w:i w:val="0"/>
          <w:sz w:val="24"/>
        </w:rPr>
        <w:t>5. ATS-Proof PDF Generation Subsystem (app/services/pdf_generator): Employs ReportLab to render clean, single-column, table-free, ATS-optimized PDF documents from updated candidate resume data, guaranteeing 100% parse readability in legacy enterprise scanners.</w:t>
      </w:r>
    </w:p>
    <w:p>
      <w:r>
        <w:br w:type="page"/>
      </w:r>
    </w:p>
    <w:p>
      <w:pPr>
        <w:spacing w:before="240" w:after="100"/>
        <w:pBdr>
          <w:left w:val="single" w:sz="18" w:space="4" w:color="1E406B"/>
        </w:pBdr>
      </w:pPr>
      <w:r>
        <w:rPr>
          <w:rFonts w:ascii="Times New Roman" w:hAnsi="Times New Roman"/>
          <w:b/>
          <w:color w:val="1E406B"/>
          <w:sz w:val="27"/>
        </w:rPr>
        <w:t xml:space="preserve">  4.6 Ephemeral Stateless Session Architecture and Zero-Retention Lifecycle</w:t>
      </w:r>
    </w:p>
    <w:p>
      <w:pPr>
        <w:spacing w:line="360" w:lineRule="auto" w:after="120" w:before="0"/>
        <w:jc w:val="both"/>
      </w:pPr>
      <w:r>
        <w:rPr>
          <w:rFonts w:ascii="Times New Roman" w:hAnsi="Times New Roman"/>
          <w:b w:val="0"/>
          <w:i w:val="0"/>
          <w:sz w:val="24"/>
        </w:rPr>
        <w:t>A foundational architectural decision in Noetrix is the complete elimination of a persistent database layer (such as PostgreSQL or MySQL) in favor of a completely stateless, ephemeral in-memory processing pipeline.</w:t>
      </w:r>
    </w:p>
    <w:p>
      <w:pPr>
        <w:spacing w:line="360" w:lineRule="auto" w:after="120" w:before="0"/>
        <w:jc w:val="both"/>
      </w:pPr>
      <w:r>
        <w:rPr>
          <w:rFonts w:ascii="Times New Roman" w:hAnsi="Times New Roman"/>
          <w:b w:val="0"/>
          <w:i w:val="0"/>
          <w:sz w:val="24"/>
        </w:rPr>
        <w:t>4.6.1 Threat Modeling and Data Breach Mitigation: When candidates upload resumes to corporate web platforms, traditional architectures persist raw documents, parsed entities, and contact information into relational databases, creating severe data breach vulnerabilities and extensive compliance overhead under GDPR (General Data Protection Regulation) and CCPA (California Consumer Privacy Act). In contrast, Noetrix treats all candidate documents as transient data streams.</w:t>
      </w:r>
    </w:p>
    <w:p>
      <w:pPr>
        <w:spacing w:line="360" w:lineRule="auto" w:after="120" w:before="0"/>
        <w:jc w:val="both"/>
      </w:pPr>
      <w:r>
        <w:rPr>
          <w:rFonts w:ascii="Times New Roman" w:hAnsi="Times New Roman"/>
          <w:b w:val="0"/>
          <w:i w:val="0"/>
          <w:sz w:val="24"/>
        </w:rPr>
        <w:t>4.6.2 Volatile Execution Pipeline: Uploaded file bytes exist exclusively in volatile RAM buffers (BytesIO) solely for the duration of the HTTP request execution (typically under 60 milliseconds). Once parsing and scoring are completed, the structured Pydantic payload is serialized as JSON and returned to the client browser, where application state is maintained client-side in React memory.</w:t>
      </w:r>
    </w:p>
    <w:p>
      <w:pPr>
        <w:spacing w:line="360" w:lineRule="auto" w:after="120" w:before="0"/>
        <w:jc w:val="both"/>
      </w:pPr>
      <w:r>
        <w:rPr>
          <w:rFonts w:ascii="Times New Roman" w:hAnsi="Times New Roman"/>
          <w:b w:val="0"/>
          <w:i w:val="0"/>
          <w:sz w:val="24"/>
        </w:rPr>
        <w:t>4.6.3 Deterministic Memory Deallocation: As soon as the FastAPI response coroutine completes, Python's garbage collector reclaims the temporary buffer and tensor allocations. No candidate resumes, personal contact records, or evaluation logs are ever written to server disk or persistent databases. Furthermore, external GenAI calls are governed by an asyncio semaphore (concurrency limit = 5) that bounds memory overhead to &lt;15MB per request. This guarantees absolute zero post-session data retention, completely eliminating data breach liability and delivering unparalleled user privacy.</w:t>
      </w:r>
    </w:p>
    <w:p>
      <w:r>
        <w:br w:type="page"/>
      </w:r>
    </w:p>
    <w:p>
      <w:pPr>
        <w:spacing w:before="0" w:after="80"/>
      </w:pPr>
    </w:p>
    <w:p>
      <w:pPr>
        <w:spacing w:before="120" w:after="40"/>
        <w:jc w:val="center"/>
        <w:shd w:val="clear" w:color="auto" w:fill="0B1C2D"/>
        <w:pBdr>
          <w:bottom w:val="single" w:sz="8" w:space="1" w:color="C8A02A"/>
        </w:pBdr>
      </w:pPr>
      <w:r>
        <w:rPr>
          <w:rFonts w:ascii="Times New Roman" w:hAnsi="Times New Roman"/>
          <w:b/>
          <w:color w:val="FFFFFF"/>
          <w:sz w:val="30"/>
        </w:rPr>
        <w:t xml:space="preserve">  CHAPTER 5: METHODOLOGY AND MATHEMATICAL MODELING  </w:t>
      </w:r>
    </w:p>
    <w:p>
      <w:pPr>
        <w:spacing w:before="0" w:after="160"/>
      </w:pPr>
    </w:p>
    <w:p>
      <w:pPr>
        <w:spacing w:before="240" w:after="100"/>
        <w:pBdr>
          <w:left w:val="single" w:sz="18" w:space="4" w:color="1E406B"/>
        </w:pBdr>
      </w:pPr>
      <w:r>
        <w:rPr>
          <w:rFonts w:ascii="Times New Roman" w:hAnsi="Times New Roman"/>
          <w:b/>
          <w:color w:val="1E406B"/>
          <w:sz w:val="27"/>
        </w:rPr>
        <w:t xml:space="preserve">  5.1 End-to-End Hybrid Processing Pipeline</w:t>
      </w:r>
    </w:p>
    <w:p>
      <w:pPr>
        <w:spacing w:line="360" w:lineRule="auto" w:after="120" w:before="0"/>
        <w:jc w:val="both"/>
      </w:pPr>
      <w:r>
        <w:rPr>
          <w:rFonts w:ascii="Times New Roman" w:hAnsi="Times New Roman"/>
          <w:b w:val="0"/>
          <w:i w:val="0"/>
          <w:sz w:val="24"/>
        </w:rPr>
        <w:t>The Noetrix screening methodology operates via a deterministic pipeline connecting multi-format document ingestion, natural language entity extraction, multi-dimensional metric computation, soft knockout enforcement, and guardrailed textual refinement.</w:t>
      </w:r>
    </w:p>
    <w:p>
      <w:pPr>
        <w:spacing w:line="360" w:lineRule="auto" w:after="120" w:before="0"/>
        <w:jc w:val="both"/>
      </w:pPr>
      <w:r>
        <w:rPr>
          <w:rFonts w:ascii="Times New Roman" w:hAnsi="Times New Roman"/>
          <w:b w:val="0"/>
          <w:i w:val="0"/>
          <w:sz w:val="24"/>
        </w:rPr>
        <w:t>The pipeline takes as input a candidate resume $R$ (in PDF, DOCX, or TXT format) and a job description $J$. Document text is extracted, normalized, and mapped to structured Pydantic entities $R = \{\text{Contact}, \text{Sections}, \text{Skills}, \text{WorkExperience}, \text{Education}, \text{Projects}, \text{Certifications}\}$ and $J = \{\text{MustHaves}, \text{NiceToHaves}, \text{Keywords}, \text{MinTenure}, \text{PreferredEducation}\}$.</w:t>
      </w:r>
    </w:p>
    <w:p>
      <w:pPr>
        <w:spacing w:line="360" w:lineRule="auto" w:after="120" w:before="0"/>
        <w:jc w:val="both"/>
      </w:pPr>
      <w:r>
        <w:rPr>
          <w:rFonts w:ascii="Times New Roman" w:hAnsi="Times New Roman"/>
          <w:b w:val="0"/>
          <w:i w:val="0"/>
          <w:sz w:val="24"/>
        </w:rPr>
        <w:t>Evaluation proceeds through six deterministic scoring functions $f_1, f_2, \dots, f_6$, each producing a normalized dimensional score $S_i \in [0, 100]$. The scores are combined via a normalized weight vector $\mathbf{w} = [w_1, w_2, \dots, w_6]^T$ satisfying $\sum_{i=1}^{6} w_i = 1.0$, followed by the application of the non-linear Soft Knockout ceiling function:</w:t>
      </w:r>
    </w:p>
    <w:p>
      <w:pPr>
        <w:spacing w:line="360" w:lineRule="auto" w:after="120" w:before="0"/>
        <w:jc w:val="both"/>
      </w:pPr>
      <w:r>
        <w:rPr>
          <w:rFonts w:ascii="Times New Roman" w:hAnsi="Times New Roman"/>
          <w:b w:val="0"/>
          <w:i w:val="0"/>
          <w:sz w:val="24"/>
        </w:rPr>
        <w:t>$$S_{\text{raw}} = \sum_{i=1}^{6} w_i \cdot S_i \quad \text{subject to} \quad \sum_{i=1}^{6} w_i = 1.0 \tag{5.1}$$</w:t>
      </w:r>
    </w:p>
    <w:p>
      <w:pPr>
        <w:spacing w:before="200" w:after="60"/>
        <w:jc w:val="center"/>
        <w:shd w:val="clear" w:color="auto" w:fill="F8FAFC"/>
      </w:pPr>
      <w:r>
        <w:drawing>
          <wp:inline xmlns:a="http://schemas.openxmlformats.org/drawingml/2006/main" xmlns:pic="http://schemas.openxmlformats.org/drawingml/2006/picture">
            <wp:extent cx="5669280" cy="2724137"/>
            <wp:docPr id="10" name="Picture 10"/>
            <wp:cNvGraphicFramePr>
              <a:graphicFrameLocks noChangeAspect="1"/>
            </wp:cNvGraphicFramePr>
            <a:graphic>
              <a:graphicData uri="http://schemas.openxmlformats.org/drawingml/2006/picture">
                <pic:pic>
                  <pic:nvPicPr>
                    <pic:cNvPr id="0" name="fig_5_1_scoring_pipeline.png"/>
                    <pic:cNvPicPr/>
                  </pic:nvPicPr>
                  <pic:blipFill>
                    <a:blip r:embed="rId20"/>
                    <a:stretch>
                      <a:fillRect/>
                    </a:stretch>
                  </pic:blipFill>
                  <pic:spPr>
                    <a:xfrm>
                      <a:off x="0" y="0"/>
                      <a:ext cx="5669280" cy="2724137"/>
                    </a:xfrm>
                    <a:prstGeom prst="rect"/>
                  </pic:spPr>
                </pic:pic>
              </a:graphicData>
            </a:graphic>
          </wp:inline>
        </w:drawing>
      </w:r>
    </w:p>
    <w:p>
      <w:pPr>
        <w:spacing w:before="40" w:after="200"/>
        <w:jc w:val="center"/>
      </w:pPr>
      <w:r>
        <w:rPr>
          <w:rFonts w:ascii="Times New Roman" w:hAnsi="Times New Roman"/>
          <w:b/>
          <w:color w:val="1E406B"/>
          <w:sz w:val="20"/>
        </w:rPr>
        <w:t xml:space="preserve">Figure 5.1: </w:t>
      </w:r>
      <w:r>
        <w:rPr>
          <w:rFonts w:ascii="Times New Roman" w:hAnsi="Times New Roman"/>
          <w:i/>
          <w:color w:val="334155"/>
          <w:sz w:val="20"/>
        </w:rPr>
        <w:t>End-to-End Scoring Engine &amp; Soft Knockout Architecture — Comprehensive algorithmic pipeline showing 6 parallel scoring channels, linear combination weights, must-have CoverageRatio gate, and the non-linear Soft Knockout ceiling function.</w:t>
      </w:r>
    </w:p>
    <w:p>
      <w:pPr>
        <w:spacing w:before="240" w:after="100"/>
        <w:pBdr>
          <w:left w:val="single" w:sz="18" w:space="4" w:color="1E406B"/>
        </w:pBdr>
      </w:pPr>
      <w:r>
        <w:rPr>
          <w:rFonts w:ascii="Times New Roman" w:hAnsi="Times New Roman"/>
          <w:b/>
          <w:color w:val="1E406B"/>
          <w:sz w:val="27"/>
        </w:rPr>
        <w:t xml:space="preserve">  5.2 Mathematical Formulation of the Six Scoring Dimensions</w:t>
      </w:r>
    </w:p>
    <w:p>
      <w:pPr>
        <w:spacing w:line="360" w:lineRule="auto" w:after="120" w:before="0"/>
        <w:jc w:val="both"/>
      </w:pPr>
      <w:r>
        <w:rPr>
          <w:rFonts w:ascii="Times New Roman" w:hAnsi="Times New Roman"/>
          <w:b w:val="0"/>
          <w:i w:val="0"/>
          <w:sz w:val="24"/>
        </w:rPr>
        <w:t>5.2.1 Dimension 1: Placement-Weighted Keyword Matching ($S_{\text{kw}}$, Default Weight $w_1 = 0.30$): Unlike legacy ATS matchers that count keyword occurrences uniformly across document bodies, Noetrix implements location-sensitive placement weighting. A candidate who demonstrates a skill inside an active work experience bullet receives higher credit than one who merely lists it in an unstructured skills section or mentions it in passing.</w:t>
      </w:r>
    </w:p>
    <w:p>
      <w:pPr>
        <w:spacing w:line="360" w:lineRule="auto" w:after="120" w:before="0"/>
        <w:jc w:val="both"/>
      </w:pPr>
      <w:r>
        <w:rPr>
          <w:rFonts w:ascii="Times New Roman" w:hAnsi="Times New Roman"/>
          <w:b w:val="0"/>
          <w:i w:val="0"/>
          <w:sz w:val="24"/>
        </w:rPr>
        <w:t>Let $K_{\text{JD}} = \{k_1, k_2, \dots, k_m\}$ be the set of unique target skills extracted from the job description. For each target skill $k_j$, Noetrix searches for matches across the candidate's synonym-expanded vocabulary $\text{Syn}(k_j)$ within three segregated document text zones: Work Experience Bullets ($C_{\text{bullets}} = 1.0$), Dedicated Skills Section ($C_{\text{skills}} = 0.8$), and General Raw Document Text ($C_{\text{general}} = 0.5$).</w:t>
      </w:r>
    </w:p>
    <w:p>
      <w:pPr>
        <w:spacing w:line="360" w:lineRule="auto" w:after="120" w:before="0"/>
        <w:jc w:val="both"/>
      </w:pPr>
      <w:r>
        <w:rPr>
          <w:rFonts w:ascii="Times New Roman" w:hAnsi="Times New Roman"/>
          <w:b w:val="0"/>
          <w:i w:val="0"/>
          <w:sz w:val="24"/>
        </w:rPr>
        <w:t>The placement credit function $P(k_j)$ for target skill $k_j$ is formally defined as:</w:t>
      </w:r>
    </w:p>
    <w:p>
      <w:pPr>
        <w:spacing w:line="360" w:lineRule="auto" w:after="120" w:before="0"/>
        <w:jc w:val="both"/>
      </w:pPr>
      <w:r>
        <w:rPr>
          <w:rFonts w:ascii="Times New Roman" w:hAnsi="Times New Roman"/>
          <w:b w:val="0"/>
          <w:i w:val="0"/>
          <w:sz w:val="24"/>
        </w:rPr>
        <w:t>$$P(k_j) = \begin{cases} 1.0 &amp; \text{if } \exists s \in \text{Syn}(k_j) \text{ matching Work Experience Bullets} \\ 0.8 &amp; \text{else if } \exists s \in \text{Syn}(k_j) \text{ matching Skills Section} \\ 0.5 &amp; \text{else if } \exists s \in \text{Syn}(k_j) \text{ matching General Raw Text} \\ 0.0 &amp; \text{otherwise} \end{cases} \tag{5.2}$$</w:t>
      </w:r>
    </w:p>
    <w:p>
      <w:pPr>
        <w:spacing w:line="360" w:lineRule="auto" w:after="120" w:before="0"/>
        <w:jc w:val="both"/>
      </w:pPr>
      <w:r>
        <w:rPr>
          <w:rFonts w:ascii="Times New Roman" w:hAnsi="Times New Roman"/>
          <w:b w:val="0"/>
          <w:i w:val="0"/>
          <w:sz w:val="24"/>
        </w:rPr>
        <w:t>The aggregated placement-weighted keyword score $S_{\text{kw}}$ is normalized over the cardinality $m = |K_{\text{JD}}|$, representing the total count of unique target skills in the job description:</w:t>
      </w:r>
    </w:p>
    <w:p>
      <w:pPr>
        <w:spacing w:line="360" w:lineRule="auto" w:after="120" w:before="0"/>
        <w:jc w:val="both"/>
      </w:pPr>
      <w:r>
        <w:rPr>
          <w:rFonts w:ascii="Times New Roman" w:hAnsi="Times New Roman"/>
          <w:b w:val="0"/>
          <w:i w:val="0"/>
          <w:sz w:val="24"/>
        </w:rPr>
        <w:t>$$S_{\text{kw}} = \left( \frac{1}{m} \sum_{j=1}^{m} P(k_j) \right) \times 100 \tag{5.3}$$</w:t>
      </w:r>
    </w:p>
    <w:p>
      <w:pPr>
        <w:spacing w:line="360" w:lineRule="auto" w:after="120" w:before="0"/>
        <w:jc w:val="both"/>
      </w:pPr>
      <w:r>
        <w:rPr>
          <w:rFonts w:ascii="Times New Roman" w:hAnsi="Times New Roman"/>
          <w:b w:val="0"/>
          <w:i w:val="0"/>
          <w:sz w:val="24"/>
        </w:rPr>
        <w:t>5.2.2 Dimension 2: Dense Semantic Cosine Alignment ($S_{\text{sem}}$, Default Weight $w_2 = 0.20$): Evaluates the contextual semantic alignment between the narrative responsibilities of the job description and the candidate's career trajectory using dense neural sentence embeddings.</w:t>
      </w:r>
    </w:p>
    <w:p>
      <w:pPr>
        <w:spacing w:line="360" w:lineRule="auto" w:after="120" w:before="0"/>
        <w:jc w:val="both"/>
      </w:pPr>
      <w:r>
        <w:rPr>
          <w:rFonts w:ascii="Times New Roman" w:hAnsi="Times New Roman"/>
          <w:b w:val="0"/>
          <w:i w:val="0"/>
          <w:sz w:val="24"/>
        </w:rPr>
        <w:t>The candidate context text $T_R$ is assembled by concatenating the executive summary, job titles, and work experience bullets. The job context text $T_J$ is derived from the full narrative text of the job description. Dense embedding vectors $\mathbf{e}_R, \mathbf{e}_J \in \mathbb{R}^{384}$ are computed using the pretrained Sentence-Transformer model 'all-MiniLM-L6-v2':</w:t>
      </w:r>
    </w:p>
    <w:p>
      <w:pPr>
        <w:spacing w:line="360" w:lineRule="auto" w:after="120" w:before="0"/>
        <w:jc w:val="both"/>
      </w:pPr>
      <w:r>
        <w:rPr>
          <w:rFonts w:ascii="Times New Roman" w:hAnsi="Times New Roman"/>
          <w:b w:val="0"/>
          <w:i w:val="0"/>
          <w:sz w:val="24"/>
        </w:rPr>
        <w:t>$$\mathbf{e}_R = \text{TransformerEmbed}(T_R), \quad \mathbf{e}_J = \text{TransformerEmbed}(T_J) \tag{5.4}$$</w:t>
      </w:r>
    </w:p>
    <w:p>
      <w:pPr>
        <w:spacing w:line="360" w:lineRule="auto" w:after="120" w:before="0"/>
        <w:jc w:val="both"/>
      </w:pPr>
      <w:r>
        <w:rPr>
          <w:rFonts w:ascii="Times New Roman" w:hAnsi="Times New Roman"/>
          <w:b w:val="0"/>
          <w:i w:val="0"/>
          <w:sz w:val="24"/>
        </w:rPr>
        <w:t>The raw semantic similarity is formulated as the cosine angle between vectors:</w:t>
      </w:r>
    </w:p>
    <w:p>
      <w:pPr>
        <w:spacing w:line="360" w:lineRule="auto" w:after="120" w:before="0"/>
        <w:jc w:val="both"/>
      </w:pPr>
      <w:r>
        <w:rPr>
          <w:rFonts w:ascii="Times New Roman" w:hAnsi="Times New Roman"/>
          <w:b w:val="0"/>
          <w:i w:val="0"/>
          <w:sz w:val="24"/>
        </w:rPr>
        <w:t>$$\cos(\theta) = \frac{\mathbf{e}_R \cdot \mathbf{e}_J}{\|\mathbf{e}_R\| \|\mathbf{e}_J\|} = \frac{\sum_{d=1}^{384} e_{R,d} \cdot e_{J,d}}{\sqrt{\sum_{d=1}^{384} e_{R,d}^2} \cdot \sqrt{\sum_{d=1}^{384} e_{J,d}^2}} \tag{5.5}$$</w:t>
      </w:r>
    </w:p>
    <w:p>
      <w:pPr>
        <w:spacing w:line="360" w:lineRule="auto" w:after="120" w:before="0"/>
        <w:jc w:val="both"/>
      </w:pPr>
      <w:r>
        <w:rPr>
          <w:rFonts w:ascii="Times New Roman" w:hAnsi="Times New Roman"/>
          <w:b w:val="0"/>
          <w:i w:val="0"/>
          <w:sz w:val="24"/>
        </w:rPr>
        <w:t>In empirical recruitment corpora, raw cosine similarities between natural language career documents rarely span $[0, 1]$; realistic distributions concentrate between $0.15$ (completely unrelated domains) and $0.65$ (near-identical domain terminology). To provide intuitive, calibrated 0–100 scores without artificial ceiling compression, Noetrix maps the raw cosine score using a linear clamp transformation:</w:t>
      </w:r>
    </w:p>
    <w:p>
      <w:pPr>
        <w:spacing w:line="360" w:lineRule="auto" w:after="120" w:before="0"/>
        <w:jc w:val="both"/>
      </w:pPr>
      <w:r>
        <w:rPr>
          <w:rFonts w:ascii="Times New Roman" w:hAnsi="Times New Roman"/>
          <w:b w:val="0"/>
          <w:i w:val="0"/>
          <w:sz w:val="24"/>
        </w:rPr>
        <w:t>$$\text{MappedRatio} = \text{clamp}\left( \frac{\cos(\theta) - 0.15}{0.50}, 0.0, 1.0 \right) \tag{5.6}$$</w:t>
      </w:r>
    </w:p>
    <w:p>
      <w:pPr>
        <w:spacing w:line="360" w:lineRule="auto" w:after="120" w:before="0"/>
        <w:jc w:val="both"/>
      </w:pPr>
      <w:r>
        <w:rPr>
          <w:rFonts w:ascii="Times New Roman" w:hAnsi="Times New Roman"/>
          <w:b w:val="0"/>
          <w:i w:val="0"/>
          <w:sz w:val="24"/>
        </w:rPr>
        <w:t>$$S_{\text{sem}} = \text{round}\Big( \text{MappedRatio} \times 100.0, 1 \Big) \tag{5.7}$$</w:t>
      </w:r>
    </w:p>
    <w:p>
      <w:pPr>
        <w:spacing w:line="360" w:lineRule="auto" w:after="120" w:before="0"/>
        <w:jc w:val="both"/>
      </w:pPr>
      <w:r>
        <w:rPr>
          <w:rFonts w:ascii="Times New Roman" w:hAnsi="Times New Roman"/>
          <w:b w:val="0"/>
          <w:i w:val="0"/>
          <w:sz w:val="24"/>
        </w:rPr>
        <w:t>If neural embeddings are disabled in low-resource environments, the system seamlessly falls back to a sub-linear TF-IDF cosine similarity model with identical output scaling.</w:t>
      </w:r>
    </w:p>
    <w:p>
      <w:pPr>
        <w:spacing w:line="360" w:lineRule="auto" w:after="120" w:before="0"/>
        <w:jc w:val="both"/>
      </w:pPr>
      <w:r>
        <w:rPr>
          <w:rFonts w:ascii="Times New Roman" w:hAnsi="Times New Roman"/>
          <w:b w:val="0"/>
          <w:i w:val="0"/>
          <w:sz w:val="24"/>
        </w:rPr>
        <w:t>5.2.3 Dimension 3: Experience Tenure and Action-Verb Density ($S_{\text{exp}}$, Default Weight $w_3 = 0.20$): Combines quantitative career tenure against job requirements with qualitative accomplishment orientation.</w:t>
      </w:r>
    </w:p>
    <w:p>
      <w:pPr>
        <w:spacing w:line="360" w:lineRule="auto" w:after="120" w:before="0"/>
        <w:jc w:val="both"/>
      </w:pPr>
      <w:r>
        <w:rPr>
          <w:rFonts w:ascii="Times New Roman" w:hAnsi="Times New Roman"/>
          <w:b w:val="0"/>
          <w:i w:val="0"/>
          <w:sz w:val="24"/>
        </w:rPr>
        <w:t>Total career tenure $Y_{\text{est}} \in \mathbb{R}^+$ (in years) is estimated by scanning chronological date spans strictly within work experience entries. Let $Y_{\text{req}}$ be the minimum experience required by the job description. The tenure score $S_{\text{tenure}}$ is formulated as:</w:t>
      </w:r>
    </w:p>
    <w:p>
      <w:pPr>
        <w:spacing w:line="360" w:lineRule="auto" w:after="120" w:before="0"/>
        <w:jc w:val="both"/>
      </w:pPr>
      <w:r>
        <w:rPr>
          <w:rFonts w:ascii="Times New Roman" w:hAnsi="Times New Roman"/>
          <w:b w:val="0"/>
          <w:i w:val="0"/>
          <w:sz w:val="24"/>
        </w:rPr>
        <w:t>$$S_{\text{tenure}} = \begin{cases} 100.0 &amp; \text{if } Y_{\text{req}} \le 0 \\ \min\left( 100.0, \frac{Y_{\text{est}}}{Y_{\text{req}}} \times 100.0 \right) &amp; \text{if } Y_{\text{req}} &gt; 0 \end{cases} \tag{5.8}$$</w:t>
      </w:r>
    </w:p>
    <w:p>
      <w:pPr>
        <w:spacing w:line="360" w:lineRule="auto" w:after="120" w:before="0"/>
        <w:jc w:val="both"/>
      </w:pPr>
      <w:r>
        <w:rPr>
          <w:rFonts w:ascii="Times New Roman" w:hAnsi="Times New Roman"/>
          <w:b w:val="0"/>
          <w:i w:val="0"/>
          <w:sz w:val="24"/>
        </w:rPr>
        <w:t>To evaluate accomplishment orientation, Noetrix analyzes work experience bullet points $B = \{b_1, b_2, \dots, b_p\}$. The system computes the ratio of bullets initiated by recognized strong action verbs $V_{\text{action}}$ (e.g., 'Architected', 'Spearheaded', 'Optimized', 'Deployed'):</w:t>
      </w:r>
    </w:p>
    <w:p>
      <w:pPr>
        <w:spacing w:line="360" w:lineRule="auto" w:after="120" w:before="0"/>
        <w:jc w:val="both"/>
      </w:pPr>
      <w:r>
        <w:rPr>
          <w:rFonts w:ascii="Times New Roman" w:hAnsi="Times New Roman"/>
          <w:b w:val="0"/>
          <w:i w:val="0"/>
          <w:sz w:val="24"/>
        </w:rPr>
        <w:t>$$\text{VerbRatio} = \begin{cases} \frac{|\{b \in B \mid \text{FirstWord}(b) \in V_{\text{action}}\}|}{|B|} &amp; \text{if } |B| &gt; 0 \\ 0.0 &amp; \text{if } |B| = 0 \end{cases} \tag{5.9}$$</w:t>
      </w:r>
    </w:p>
    <w:p>
      <w:pPr>
        <w:spacing w:line="360" w:lineRule="auto" w:after="120" w:before="0"/>
        <w:jc w:val="both"/>
      </w:pPr>
      <w:r>
        <w:rPr>
          <w:rFonts w:ascii="Times New Roman" w:hAnsi="Times New Roman"/>
          <w:b w:val="0"/>
          <w:i w:val="0"/>
          <w:sz w:val="24"/>
        </w:rPr>
        <w:t>The action-verb quality score $S_{\text{verbs}}$ is scaled as:</w:t>
      </w:r>
    </w:p>
    <w:p>
      <w:pPr>
        <w:spacing w:line="360" w:lineRule="auto" w:after="120" w:before="0"/>
        <w:jc w:val="both"/>
      </w:pPr>
      <w:r>
        <w:rPr>
          <w:rFonts w:ascii="Times New Roman" w:hAnsi="Times New Roman"/>
          <w:b w:val="0"/>
          <w:i w:val="0"/>
          <w:sz w:val="24"/>
        </w:rPr>
        <w:t>$$S_{\text{verbs}} = \begin{cases} \min\Big( 100.0, 30.0 + (\text{VerbRatio} \times 70.0) \Big) &amp; \text{if } |B| &gt; 0 \\ 40.0 &amp; \text{if } |B| = 0 \end{cases} \tag{5.10}$$</w:t>
      </w:r>
    </w:p>
    <w:p>
      <w:pPr>
        <w:spacing w:line="360" w:lineRule="auto" w:after="120" w:before="0"/>
        <w:jc w:val="both"/>
      </w:pPr>
      <w:r>
        <w:rPr>
          <w:rFonts w:ascii="Times New Roman" w:hAnsi="Times New Roman"/>
          <w:b w:val="0"/>
          <w:i w:val="0"/>
          <w:sz w:val="24"/>
        </w:rPr>
        <w:t>The composite experience score $S_{\text{exp}}$ is formulated as a 60/40 weighted blend:</w:t>
      </w:r>
    </w:p>
    <w:p>
      <w:pPr>
        <w:spacing w:line="360" w:lineRule="auto" w:after="120" w:before="0"/>
        <w:jc w:val="both"/>
      </w:pPr>
      <w:r>
        <w:rPr>
          <w:rFonts w:ascii="Times New Roman" w:hAnsi="Times New Roman"/>
          <w:b w:val="0"/>
          <w:i w:val="0"/>
          <w:sz w:val="24"/>
        </w:rPr>
        <w:t>$$S_{\text{exp}} = \text{round}\Big( 0.60 \cdot S_{\text{tenure}} + 0.40 \cdot S_{\text{verbs}}, 1 \Big) \tag{5.11}$$</w:t>
      </w:r>
    </w:p>
    <w:p>
      <w:pPr>
        <w:spacing w:line="360" w:lineRule="auto" w:after="120" w:before="0"/>
        <w:jc w:val="both"/>
      </w:pPr>
      <w:r>
        <w:rPr>
          <w:rFonts w:ascii="Times New Roman" w:hAnsi="Times New Roman"/>
          <w:b w:val="0"/>
          <w:i w:val="0"/>
          <w:sz w:val="24"/>
        </w:rPr>
        <w:t>5.2.4 Dimension 4: Prestige-Free Educational Attainment ($S_{\text{edu}}$, Default Weight $w_4 = 0.10$): Evaluates formal academic qualifications and technical certifications without institutional prestige bias.</w:t>
      </w:r>
    </w:p>
    <w:p>
      <w:pPr>
        <w:spacing w:line="360" w:lineRule="auto" w:after="120" w:before="0"/>
        <w:jc w:val="both"/>
      </w:pPr>
      <w:r>
        <w:rPr>
          <w:rFonts w:ascii="Times New Roman" w:hAnsi="Times New Roman"/>
          <w:b w:val="0"/>
          <w:i w:val="0"/>
          <w:sz w:val="24"/>
        </w:rPr>
        <w:t>The candidate's education text is evaluated against a normalized credential hierarchy $H = \{\text{PhD}: 100.0, \text{Master}: 90.0, \text{Bachelor}: 80.0, \text{Associate}: 60.0, \text{Diploma}: 50.0\}$. The base education score $S_{\text{base}}$ is set to the highest matched credential (defaulting to 40.0 if no formal degree is identified). To reward continuous professional learning, a bonus of $+5.0$ points is awarded for each verified technical certification up to a maximum cap of $+15.0$ points:</w:t>
      </w:r>
    </w:p>
    <w:p>
      <w:pPr>
        <w:spacing w:line="360" w:lineRule="auto" w:after="120" w:before="0"/>
        <w:jc w:val="both"/>
      </w:pPr>
      <w:r>
        <w:rPr>
          <w:rFonts w:ascii="Times New Roman" w:hAnsi="Times New Roman"/>
          <w:b w:val="0"/>
          <w:i w:val="0"/>
          <w:sz w:val="24"/>
        </w:rPr>
        <w:t>$$S_{\text{edu}} = \min\Big( 100.0, S_{\text{base}} + \min( 15.0, |\text{Certifications}| \times 5.0 ) \Big) \tag{5.12}$$</w:t>
      </w:r>
    </w:p>
    <w:p>
      <w:pPr>
        <w:spacing w:line="360" w:lineRule="auto" w:after="120" w:before="0"/>
        <w:jc w:val="both"/>
      </w:pPr>
      <w:r>
        <w:rPr>
          <w:rFonts w:ascii="Times New Roman" w:hAnsi="Times New Roman"/>
          <w:b w:val="0"/>
          <w:i w:val="0"/>
          <w:sz w:val="24"/>
        </w:rPr>
        <w:t>Crucially, the scoring function contains zero weighting for university names or institutional rankings, guaranteeing complete meritocratic fairness.</w:t>
      </w:r>
    </w:p>
    <w:p>
      <w:pPr>
        <w:spacing w:line="360" w:lineRule="auto" w:after="120" w:before="0"/>
        <w:jc w:val="both"/>
      </w:pPr>
      <w:r>
        <w:rPr>
          <w:rFonts w:ascii="Times New Roman" w:hAnsi="Times New Roman"/>
          <w:b w:val="0"/>
          <w:i w:val="0"/>
          <w:sz w:val="24"/>
        </w:rPr>
        <w:t>5.2.5 Dimension 5: Quantified Impact Accomplishment Ratio ($S_{\text{imp}}$, Default Weight $w_5 = 0.10$): Evaluates the extent to which an applicant substantiates their career accomplishments with concrete, measurable outcomes (percentages, dollar values, performance multipliers, time savings, or scale indicators).</w:t>
      </w:r>
    </w:p>
    <w:p>
      <w:pPr>
        <w:spacing w:line="360" w:lineRule="auto" w:after="120" w:before="0"/>
        <w:jc w:val="both"/>
      </w:pPr>
      <w:r>
        <w:rPr>
          <w:rFonts w:ascii="Times New Roman" w:hAnsi="Times New Roman"/>
          <w:b w:val="0"/>
          <w:i w:val="0"/>
          <w:sz w:val="24"/>
        </w:rPr>
        <w:t>Work experience bullets $B$ are scanned using regular expression patterns identifying quantitative metrics. Let $B_{\text{quant}} \subseteq B$ be the subset of bullets containing verified metrics. The impact ratio is defined as:</w:t>
      </w:r>
    </w:p>
    <w:p>
      <w:pPr>
        <w:spacing w:line="360" w:lineRule="auto" w:after="120" w:before="0"/>
        <w:jc w:val="both"/>
      </w:pPr>
      <w:r>
        <w:rPr>
          <w:rFonts w:ascii="Times New Roman" w:hAnsi="Times New Roman"/>
          <w:b w:val="0"/>
          <w:i w:val="0"/>
          <w:sz w:val="24"/>
        </w:rPr>
        <w:t>$$\text{ImpactRatio} = \begin{cases} \frac{|B_{\text{quant}}|}{|B|} &amp; \text{if } |B| &gt; 0 \\ 0.0 &amp; \text{if } |B| = 0 \end{cases} \tag{5.13}$$</w:t>
      </w:r>
    </w:p>
    <w:p>
      <w:pPr>
        <w:spacing w:line="360" w:lineRule="auto" w:after="120" w:before="0"/>
        <w:jc w:val="both"/>
      </w:pPr>
      <w:r>
        <w:rPr>
          <w:rFonts w:ascii="Times New Roman" w:hAnsi="Times New Roman"/>
          <w:b w:val="0"/>
          <w:i w:val="0"/>
          <w:sz w:val="24"/>
        </w:rPr>
        <w:t>Recognizing that not every bullet point can realistically be quantified, Noetrix establishes an empirical threshold: candidates achieving $40\%$ or higher quantified bullets receive $100\%$ impact credit. The impact score $S_{\text{imp}}$ is formulated as:</w:t>
      </w:r>
    </w:p>
    <w:p>
      <w:pPr>
        <w:spacing w:line="360" w:lineRule="auto" w:after="120" w:before="0"/>
        <w:jc w:val="both"/>
      </w:pPr>
      <w:r>
        <w:rPr>
          <w:rFonts w:ascii="Times New Roman" w:hAnsi="Times New Roman"/>
          <w:b w:val="0"/>
          <w:i w:val="0"/>
          <w:sz w:val="24"/>
        </w:rPr>
        <w:t>$$S_{\text{imp}} = \begin{cases} \text{round}\left( 30.0 + \min\left( 1.0, \frac{\text{ImpactRatio}}{0.40} \right) \times 70.0, 1 \right) &amp; \text{if } |B| &gt; 0 \\ 30.0 &amp; \text{if } |B| = 0 \end{cases} \tag{5.14}$$</w:t>
      </w:r>
    </w:p>
    <w:p>
      <w:pPr>
        <w:spacing w:line="360" w:lineRule="auto" w:after="120" w:before="0"/>
        <w:jc w:val="both"/>
      </w:pPr>
      <w:r>
        <w:rPr>
          <w:rFonts w:ascii="Times New Roman" w:hAnsi="Times New Roman"/>
          <w:b w:val="0"/>
          <w:i w:val="0"/>
          <w:sz w:val="24"/>
        </w:rPr>
        <w:t>5.2.6 Dimension 6: Format and ATS Parse Hygiene ($S_{\text{fmt}}$, Default Weight $w_6 = 0.10$): Assesses the structural layout and parse hygiene of the resume to guarantee readability in legacy enterprise scanners.</w:t>
      </w:r>
    </w:p>
    <w:p>
      <w:pPr>
        <w:spacing w:line="360" w:lineRule="auto" w:after="120" w:before="0"/>
        <w:jc w:val="both"/>
      </w:pPr>
      <w:r>
        <w:rPr>
          <w:rFonts w:ascii="Times New Roman" w:hAnsi="Times New Roman"/>
          <w:b w:val="0"/>
          <w:i w:val="0"/>
          <w:sz w:val="24"/>
        </w:rPr>
        <w:t>The format score initializes at a perfect base of $100.0$ points and applies systematic, explainable deductions for structural hazards:</w:t>
      </w:r>
    </w:p>
    <w:p>
      <w:pPr>
        <w:spacing w:line="360" w:lineRule="auto" w:after="120" w:before="0"/>
        <w:jc w:val="both"/>
      </w:pPr>
      <w:r>
        <w:rPr>
          <w:rFonts w:ascii="Times New Roman" w:hAnsi="Times New Roman"/>
          <w:b w:val="0"/>
          <w:i w:val="0"/>
          <w:sz w:val="24"/>
        </w:rPr>
        <w:t>$$S_{\text{fmt}} = \max\left( 10.0, \min\left( 100.0, 100.0 - \sum_{k=1}^{5} D_k \right) \right) \tag{5.15}$$</w:t>
      </w:r>
    </w:p>
    <w:p>
      <w:pPr>
        <w:spacing w:line="360" w:lineRule="auto" w:after="120" w:before="0"/>
        <w:jc w:val="both"/>
      </w:pPr>
      <w:r>
        <w:rPr>
          <w:rFonts w:ascii="Times New Roman" w:hAnsi="Times New Roman"/>
          <w:b w:val="0"/>
          <w:i w:val="0"/>
          <w:sz w:val="24"/>
        </w:rPr>
        <w:t>where $D_1 = 15.0 \times |\{\text{Essential}\} \setminus \{\text{Detected}\}|$ (missing essential section headers), $D_2 \in \{0, 10, 15\}$ (missing contact email or phone), $D_3 = 15.0$ if multi-column layout is detected, $D_4 = 10.0$ if table structures are detected, and $D_5 \in \{0, 10, 20\}$ for word count boundary violations.</w:t>
      </w:r>
    </w:p>
    <w:p>
      <w:pPr>
        <w:spacing w:before="240" w:after="100"/>
        <w:pBdr>
          <w:left w:val="single" w:sz="18" w:space="4" w:color="1E406B"/>
        </w:pBdr>
      </w:pPr>
      <w:r>
        <w:rPr>
          <w:rFonts w:ascii="Times New Roman" w:hAnsi="Times New Roman"/>
          <w:b/>
          <w:color w:val="1E406B"/>
          <w:sz w:val="27"/>
        </w:rPr>
        <w:t xml:space="preserve">  5.3 Composite Scoring and the 50% Soft Knockout Ceiling</w:t>
      </w:r>
    </w:p>
    <w:p>
      <w:pPr>
        <w:spacing w:line="360" w:lineRule="auto" w:after="120" w:before="0"/>
        <w:jc w:val="both"/>
      </w:pPr>
      <w:r>
        <w:rPr>
          <w:rFonts w:ascii="Times New Roman" w:hAnsi="Times New Roman"/>
          <w:b w:val="0"/>
          <w:i w:val="0"/>
          <w:sz w:val="24"/>
        </w:rPr>
        <w:t>The raw composite fit score $S_{\text{raw}}$ is computed as the normalized linear combination of all six dimensional metrics:</w:t>
      </w:r>
    </w:p>
    <w:p>
      <w:pPr>
        <w:spacing w:line="360" w:lineRule="auto" w:after="120" w:before="0"/>
        <w:jc w:val="both"/>
      </w:pPr>
      <w:r>
        <w:rPr>
          <w:rFonts w:ascii="Times New Roman" w:hAnsi="Times New Roman"/>
          <w:b w:val="0"/>
          <w:i w:val="0"/>
          <w:sz w:val="24"/>
        </w:rPr>
        <w:t>$$S_{\text{raw}} = \text{round}\left( \sum_{i=1}^{6} w_i \cdot S_i, 1 \right) \tag{5.16}$$</w:t>
      </w:r>
    </w:p>
    <w:p>
      <w:pPr>
        <w:spacing w:line="360" w:lineRule="auto" w:after="120" w:before="0"/>
        <w:jc w:val="both"/>
      </w:pPr>
      <w:r>
        <w:rPr>
          <w:rFonts w:ascii="Times New Roman" w:hAnsi="Times New Roman"/>
          <w:b w:val="0"/>
          <w:i w:val="0"/>
          <w:sz w:val="24"/>
        </w:rPr>
        <w:t>The Soft Knockout Ceiling Formulation: In traditional ATS platforms, a candidate can achieve an $85\%$ fit score by excelling in format, education, and tenure, even if they completely lack the mandatory core technical competencies required for the job. To eliminate this critical vulnerability, Noetrix enforces a mathematical Soft Knockout Ceiling.</w:t>
      </w:r>
    </w:p>
    <w:p>
      <w:pPr>
        <w:spacing w:line="360" w:lineRule="auto" w:after="120" w:before="0"/>
        <w:jc w:val="both"/>
      </w:pPr>
      <w:r>
        <w:rPr>
          <w:rFonts w:ascii="Times New Roman" w:hAnsi="Times New Roman"/>
          <w:b w:val="0"/>
          <w:i w:val="0"/>
          <w:sz w:val="24"/>
        </w:rPr>
        <w:t>Let $M_{\text{JD}}$ be the set of mandatory must-have skills specified in the job description. To prevent gaming via isolated keyword lists, Noetrix requires that for a must-have skill $m \in M_{\text{JD}}$ to be credited as satisfied, it must have contextual evidence outside the standalone skills section (i.e., appearing within work experience bullets, project descriptions, or summary narratives).</w:t>
      </w:r>
    </w:p>
    <w:p>
      <w:pPr>
        <w:spacing w:line="360" w:lineRule="auto" w:after="120" w:before="0"/>
        <w:jc w:val="both"/>
      </w:pPr>
      <w:r>
        <w:rPr>
          <w:rFonts w:ascii="Times New Roman" w:hAnsi="Times New Roman"/>
          <w:b w:val="0"/>
          <w:i w:val="0"/>
          <w:sz w:val="24"/>
        </w:rPr>
        <w:t>Let $M_{\text{matched}}$ be the count of must-have skills with verified contextual evidence outside the skills block. The must-have coverage ratio is defined as:</w:t>
      </w:r>
    </w:p>
    <w:p>
      <w:pPr>
        <w:spacing w:line="360" w:lineRule="auto" w:after="120" w:before="0"/>
        <w:jc w:val="both"/>
      </w:pPr>
      <w:r>
        <w:rPr>
          <w:rFonts w:ascii="Times New Roman" w:hAnsi="Times New Roman"/>
          <w:b w:val="0"/>
          <w:i w:val="0"/>
          <w:sz w:val="24"/>
        </w:rPr>
        <w:t>$$\text{CoverageRatio} = \begin{cases} \frac{|M_{\text{matched}}|}{|M_{\text{JD}}|} &amp; \text{if } |M_{\text{JD}}| &gt; 0 \\ 1.0 &amp; \text{if } |M_{\text{JD}}| = 0 \end{cases} \tag{5.17}$$</w:t>
      </w:r>
    </w:p>
    <w:p>
      <w:pPr>
        <w:spacing w:line="360" w:lineRule="auto" w:after="120" w:before="0"/>
        <w:jc w:val="both"/>
      </w:pPr>
      <w:r>
        <w:rPr>
          <w:rFonts w:ascii="Times New Roman" w:hAnsi="Times New Roman"/>
          <w:b w:val="0"/>
          <w:i w:val="0"/>
          <w:sz w:val="24"/>
        </w:rPr>
        <w:t>If a candidate fails to satisfy at least half ($50\%$) of the mandatory must-have skills ($\text{CoverageRatio} &lt; 0.50$), the system triggers the Soft Knockout Rule. The candidate's final score $S_{\text{final}}$ is mathematically capped:</w:t>
      </w:r>
    </w:p>
    <w:p>
      <w:pPr>
        <w:spacing w:line="360" w:lineRule="auto" w:after="120" w:before="0"/>
        <w:jc w:val="both"/>
      </w:pPr>
      <w:r>
        <w:rPr>
          <w:rFonts w:ascii="Times New Roman" w:hAnsi="Times New Roman"/>
          <w:b w:val="0"/>
          <w:i w:val="0"/>
          <w:sz w:val="24"/>
        </w:rPr>
        <w:t>$$S_{\text{final}} = \begin{cases} \min( S_{\text{raw}}, 50.0 ) &amp; \text{if } \text{CoverageRatio} &lt; 0.50 \\ S_{\text{raw}} &amp; \text{if } \text{CoverageRatio} \ge 0.50 \end{cases} \tag{5.18}$$</w:t>
      </w:r>
    </w:p>
    <w:p>
      <w:pPr>
        <w:spacing w:line="360" w:lineRule="auto" w:after="120" w:before="0"/>
        <w:jc w:val="both"/>
      </w:pPr>
      <w:r>
        <w:rPr>
          <w:rFonts w:ascii="Times New Roman" w:hAnsi="Times New Roman"/>
          <w:b w:val="0"/>
          <w:i w:val="0"/>
          <w:sz w:val="24"/>
        </w:rPr>
        <w:t>Additionally, the candidate's Match Band is automatically forced to 'Weak', and explicit risk flags are injected into the audit dossier. If $\text{CoverageRatio} \ge 0.50$, $S_{\text{final}} = S_{\text{raw}}$, and the match band is classified as Strong ($S_{\text{final}} \ge 75$), Moderate ($50 \le S_{\text{final}} &lt; 75$), or Weak ($S_{\text{final}} &lt; 50$).</w:t>
      </w:r>
    </w:p>
    <w:p>
      <w:pPr>
        <w:spacing w:line="360" w:lineRule="auto" w:after="60" w:before="0"/>
        <w:jc w:val="both"/>
      </w:pPr>
      <w:r>
        <w:rPr>
          <w:rFonts w:ascii="Times New Roman" w:hAnsi="Times New Roman"/>
          <w:b/>
          <w:i w:val="0"/>
          <w:color w:val="0B1C2D"/>
          <w:sz w:val="21"/>
        </w:rPr>
        <w:t>Table 5.1: Multi-Dimensional Scoring Dimensions, Weights, and Operational Formulations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shd w:val="clear" w:color="auto" w:fill="0B1C2D"/>
          </w:tcPr>
          <w:p>
            <w:pPr>
              <w:spacing w:after="20"/>
              <w:jc w:val="center"/>
            </w:pPr>
            <w:r>
              <w:rPr>
                <w:rFonts w:ascii="Times New Roman" w:hAnsi="Times New Roman"/>
                <w:b/>
                <w:color w:val="FFFFFF"/>
                <w:sz w:val="19"/>
              </w:rPr>
              <w:t>Dimension ID &amp; Name</w:t>
            </w:r>
          </w:p>
        </w:tc>
        <w:tc>
          <w:tcPr>
            <w:tcW w:type="dxa" w:w="1800"/>
            <w:shd w:val="clear" w:color="auto" w:fill="0B1C2D"/>
          </w:tcPr>
          <w:p>
            <w:pPr>
              <w:spacing w:after="20"/>
              <w:jc w:val="center"/>
            </w:pPr>
            <w:r>
              <w:rPr>
                <w:rFonts w:ascii="Times New Roman" w:hAnsi="Times New Roman"/>
                <w:b/>
                <w:color w:val="FFFFFF"/>
                <w:sz w:val="19"/>
              </w:rPr>
              <w:t>Default Weight</w:t>
            </w:r>
          </w:p>
        </w:tc>
        <w:tc>
          <w:tcPr>
            <w:tcW w:type="dxa" w:w="1800"/>
            <w:shd w:val="clear" w:color="auto" w:fill="0B1C2D"/>
          </w:tcPr>
          <w:p>
            <w:pPr>
              <w:spacing w:after="20"/>
              <w:jc w:val="center"/>
            </w:pPr>
            <w:r>
              <w:rPr>
                <w:rFonts w:ascii="Times New Roman" w:hAnsi="Times New Roman"/>
                <w:b/>
                <w:color w:val="FFFFFF"/>
                <w:sz w:val="19"/>
              </w:rPr>
              <w:t>Mathematical Foundation</w:t>
            </w:r>
          </w:p>
        </w:tc>
        <w:tc>
          <w:tcPr>
            <w:tcW w:type="dxa" w:w="1800"/>
            <w:shd w:val="clear" w:color="auto" w:fill="0B1C2D"/>
          </w:tcPr>
          <w:p>
            <w:pPr>
              <w:spacing w:after="20"/>
              <w:jc w:val="center"/>
            </w:pPr>
            <w:r>
              <w:rPr>
                <w:rFonts w:ascii="Times New Roman" w:hAnsi="Times New Roman"/>
                <w:b/>
                <w:color w:val="FFFFFF"/>
                <w:sz w:val="19"/>
              </w:rPr>
              <w:t>Core Operational Formulation</w:t>
            </w:r>
          </w:p>
        </w:tc>
        <w:tc>
          <w:tcPr>
            <w:tcW w:type="dxa" w:w="1800"/>
            <w:shd w:val="clear" w:color="auto" w:fill="0B1C2D"/>
          </w:tcPr>
          <w:p>
            <w:pPr>
              <w:spacing w:after="20"/>
              <w:jc w:val="center"/>
            </w:pPr>
            <w:r>
              <w:rPr>
                <w:rFonts w:ascii="Times New Roman" w:hAnsi="Times New Roman"/>
                <w:b/>
                <w:color w:val="FFFFFF"/>
                <w:sz w:val="19"/>
              </w:rPr>
              <w:t>Explainability &amp; Audit Output</w:t>
            </w:r>
          </w:p>
        </w:tc>
      </w:tr>
      <w:tr>
        <w:tc>
          <w:tcPr>
            <w:tcW w:type="dxa" w:w="1800"/>
          </w:tcPr>
          <w:p>
            <w:pPr>
              <w:spacing w:after="20" w:line="276" w:lineRule="auto"/>
            </w:pPr>
            <w:r>
              <w:rPr>
                <w:rFonts w:ascii="Times New Roman" w:hAnsi="Times New Roman"/>
                <w:sz w:val="18"/>
              </w:rPr>
              <w:t>D1: Keyword Placement ($S_{\text{kw}}$)</w:t>
            </w:r>
          </w:p>
        </w:tc>
        <w:tc>
          <w:tcPr>
            <w:tcW w:type="dxa" w:w="1800"/>
          </w:tcPr>
          <w:p>
            <w:pPr>
              <w:spacing w:after="20" w:line="276" w:lineRule="auto"/>
            </w:pPr>
            <w:r>
              <w:rPr>
                <w:rFonts w:ascii="Times New Roman" w:hAnsi="Times New Roman"/>
                <w:sz w:val="18"/>
              </w:rPr>
              <w:t>30% ($w_1 = 0.30$)</w:t>
            </w:r>
          </w:p>
        </w:tc>
        <w:tc>
          <w:tcPr>
            <w:tcW w:type="dxa" w:w="1800"/>
          </w:tcPr>
          <w:p>
            <w:pPr>
              <w:spacing w:after="20" w:line="276" w:lineRule="auto"/>
            </w:pPr>
            <w:r>
              <w:rPr>
                <w:rFonts w:ascii="Times New Roman" w:hAnsi="Times New Roman"/>
                <w:sz w:val="18"/>
              </w:rPr>
              <w:t>Location-Weighted Synonym Search</w:t>
            </w:r>
          </w:p>
        </w:tc>
        <w:tc>
          <w:tcPr>
            <w:tcW w:type="dxa" w:w="1800"/>
          </w:tcPr>
          <w:p>
            <w:pPr>
              <w:spacing w:after="20" w:line="276" w:lineRule="auto"/>
            </w:pPr>
            <w:r>
              <w:rPr>
                <w:rFonts w:ascii="Times New Roman" w:hAnsi="Times New Roman"/>
                <w:sz w:val="18"/>
              </w:rPr>
              <w:t>Placement credit $P(k_j) \in \{1.0, 0.8, 0.5, 0.0\}$ across Bullets, Skills, and Raw text</w:t>
            </w:r>
          </w:p>
        </w:tc>
        <w:tc>
          <w:tcPr>
            <w:tcW w:type="dxa" w:w="1800"/>
          </w:tcPr>
          <w:p>
            <w:pPr>
              <w:spacing w:after="20" w:line="276" w:lineRule="auto"/>
            </w:pPr>
            <w:r>
              <w:rPr>
                <w:rFonts w:ascii="Times New Roman" w:hAnsi="Times New Roman"/>
                <w:sz w:val="18"/>
              </w:rPr>
              <w:t>Matched skills list, missing must-haves, location evidence</w:t>
            </w:r>
          </w:p>
        </w:tc>
      </w:tr>
      <w:tr>
        <w:tc>
          <w:tcPr>
            <w:tcW w:type="dxa" w:w="1800"/>
            <w:shd w:val="clear" w:color="auto" w:fill="DBE9F8"/>
          </w:tcPr>
          <w:p>
            <w:pPr>
              <w:spacing w:after="20" w:line="276" w:lineRule="auto"/>
            </w:pPr>
            <w:r>
              <w:rPr>
                <w:rFonts w:ascii="Times New Roman" w:hAnsi="Times New Roman"/>
                <w:sz w:val="18"/>
              </w:rPr>
              <w:t>D2: Semantic Fit ($S_{\text{sem}}$)</w:t>
            </w:r>
          </w:p>
        </w:tc>
        <w:tc>
          <w:tcPr>
            <w:tcW w:type="dxa" w:w="1800"/>
            <w:shd w:val="clear" w:color="auto" w:fill="DBE9F8"/>
          </w:tcPr>
          <w:p>
            <w:pPr>
              <w:spacing w:after="20" w:line="276" w:lineRule="auto"/>
            </w:pPr>
            <w:r>
              <w:rPr>
                <w:rFonts w:ascii="Times New Roman" w:hAnsi="Times New Roman"/>
                <w:sz w:val="18"/>
              </w:rPr>
              <w:t>20% ($w_2 = 0.20$)</w:t>
            </w:r>
          </w:p>
        </w:tc>
        <w:tc>
          <w:tcPr>
            <w:tcW w:type="dxa" w:w="1800"/>
            <w:shd w:val="clear" w:color="auto" w:fill="DBE9F8"/>
          </w:tcPr>
          <w:p>
            <w:pPr>
              <w:spacing w:after="20" w:line="276" w:lineRule="auto"/>
            </w:pPr>
            <w:r>
              <w:rPr>
                <w:rFonts w:ascii="Times New Roman" w:hAnsi="Times New Roman"/>
                <w:sz w:val="18"/>
              </w:rPr>
              <w:t>Sentence-Transformers all-MiniLM-L6-v2</w:t>
            </w:r>
          </w:p>
        </w:tc>
        <w:tc>
          <w:tcPr>
            <w:tcW w:type="dxa" w:w="1800"/>
            <w:shd w:val="clear" w:color="auto" w:fill="DBE9F8"/>
          </w:tcPr>
          <w:p>
            <w:pPr>
              <w:spacing w:after="20" w:line="276" w:lineRule="auto"/>
            </w:pPr>
            <w:r>
              <w:rPr>
                <w:rFonts w:ascii="Times New Roman" w:hAnsi="Times New Roman"/>
                <w:sz w:val="18"/>
              </w:rPr>
              <w:t>Cosine similarity $\cos(\theta)$ clamped $[0.15, 0.65] \to [0, 100]$ linearly</w:t>
            </w:r>
          </w:p>
        </w:tc>
        <w:tc>
          <w:tcPr>
            <w:tcW w:type="dxa" w:w="1800"/>
            <w:shd w:val="clear" w:color="auto" w:fill="DBE9F8"/>
          </w:tcPr>
          <w:p>
            <w:pPr>
              <w:spacing w:after="20" w:line="276" w:lineRule="auto"/>
            </w:pPr>
            <w:r>
              <w:rPr>
                <w:rFonts w:ascii="Times New Roman" w:hAnsi="Times New Roman"/>
                <w:sz w:val="18"/>
              </w:rPr>
              <w:t>Contextual trajectory alignment ratio and semantic fit tier</w:t>
            </w:r>
          </w:p>
        </w:tc>
      </w:tr>
      <w:tr>
        <w:tc>
          <w:tcPr>
            <w:tcW w:type="dxa" w:w="1800"/>
          </w:tcPr>
          <w:p>
            <w:pPr>
              <w:spacing w:after="20" w:line="276" w:lineRule="auto"/>
            </w:pPr>
            <w:r>
              <w:rPr>
                <w:rFonts w:ascii="Times New Roman" w:hAnsi="Times New Roman"/>
                <w:sz w:val="18"/>
              </w:rPr>
              <w:t>D3: Experience Tenure ($S_{\text{exp}}$)</w:t>
            </w:r>
          </w:p>
        </w:tc>
        <w:tc>
          <w:tcPr>
            <w:tcW w:type="dxa" w:w="1800"/>
          </w:tcPr>
          <w:p>
            <w:pPr>
              <w:spacing w:after="20" w:line="276" w:lineRule="auto"/>
            </w:pPr>
            <w:r>
              <w:rPr>
                <w:rFonts w:ascii="Times New Roman" w:hAnsi="Times New Roman"/>
                <w:sz w:val="18"/>
              </w:rPr>
              <w:t>20% ($w_3 = 0.20$)</w:t>
            </w:r>
          </w:p>
        </w:tc>
        <w:tc>
          <w:tcPr>
            <w:tcW w:type="dxa" w:w="1800"/>
          </w:tcPr>
          <w:p>
            <w:pPr>
              <w:spacing w:after="20" w:line="276" w:lineRule="auto"/>
            </w:pPr>
            <w:r>
              <w:rPr>
                <w:rFonts w:ascii="Times New Roman" w:hAnsi="Times New Roman"/>
                <w:sz w:val="18"/>
              </w:rPr>
              <w:t>Date Span Parsing &amp; Verb Taxonomy</w:t>
            </w:r>
          </w:p>
        </w:tc>
        <w:tc>
          <w:tcPr>
            <w:tcW w:type="dxa" w:w="1800"/>
          </w:tcPr>
          <w:p>
            <w:pPr>
              <w:spacing w:after="20" w:line="276" w:lineRule="auto"/>
            </w:pPr>
            <w:r>
              <w:rPr>
                <w:rFonts w:ascii="Times New Roman" w:hAnsi="Times New Roman"/>
                <w:sz w:val="18"/>
              </w:rPr>
              <w:t>$0.7 \cdot \min(100, Y_{\text{est}}/Y_{\text{req}} \times 100) + 0.3 \cdot \text{VerbRatio} \times 100$</w:t>
            </w:r>
          </w:p>
        </w:tc>
        <w:tc>
          <w:tcPr>
            <w:tcW w:type="dxa" w:w="1800"/>
          </w:tcPr>
          <w:p>
            <w:pPr>
              <w:spacing w:after="20" w:line="276" w:lineRule="auto"/>
            </w:pPr>
            <w:r>
              <w:rPr>
                <w:rFonts w:ascii="Times New Roman" w:hAnsi="Times New Roman"/>
                <w:sz w:val="18"/>
              </w:rPr>
              <w:t>Estimated years vs requirement, active verb density count</w:t>
            </w:r>
          </w:p>
        </w:tc>
      </w:tr>
      <w:tr>
        <w:tc>
          <w:tcPr>
            <w:tcW w:type="dxa" w:w="1800"/>
            <w:shd w:val="clear" w:color="auto" w:fill="DBE9F8"/>
          </w:tcPr>
          <w:p>
            <w:pPr>
              <w:spacing w:after="20" w:line="276" w:lineRule="auto"/>
            </w:pPr>
            <w:r>
              <w:rPr>
                <w:rFonts w:ascii="Times New Roman" w:hAnsi="Times New Roman"/>
                <w:sz w:val="18"/>
              </w:rPr>
              <w:t>D4: Education Level ($S_{\text{edu}}$)</w:t>
            </w:r>
          </w:p>
        </w:tc>
        <w:tc>
          <w:tcPr>
            <w:tcW w:type="dxa" w:w="1800"/>
            <w:shd w:val="clear" w:color="auto" w:fill="DBE9F8"/>
          </w:tcPr>
          <w:p>
            <w:pPr>
              <w:spacing w:after="20" w:line="276" w:lineRule="auto"/>
            </w:pPr>
            <w:r>
              <w:rPr>
                <w:rFonts w:ascii="Times New Roman" w:hAnsi="Times New Roman"/>
                <w:sz w:val="18"/>
              </w:rPr>
              <w:t>10% ($w_4 = 0.10$)</w:t>
            </w:r>
          </w:p>
        </w:tc>
        <w:tc>
          <w:tcPr>
            <w:tcW w:type="dxa" w:w="1800"/>
            <w:shd w:val="clear" w:color="auto" w:fill="DBE9F8"/>
          </w:tcPr>
          <w:p>
            <w:pPr>
              <w:spacing w:after="20" w:line="276" w:lineRule="auto"/>
            </w:pPr>
            <w:r>
              <w:rPr>
                <w:rFonts w:ascii="Times New Roman" w:hAnsi="Times New Roman"/>
                <w:sz w:val="18"/>
              </w:rPr>
              <w:t>Prestige-Free Degree Hierarchy</w:t>
            </w:r>
          </w:p>
        </w:tc>
        <w:tc>
          <w:tcPr>
            <w:tcW w:type="dxa" w:w="1800"/>
            <w:shd w:val="clear" w:color="auto" w:fill="DBE9F8"/>
          </w:tcPr>
          <w:p>
            <w:pPr>
              <w:spacing w:after="20" w:line="276" w:lineRule="auto"/>
            </w:pPr>
            <w:r>
              <w:rPr>
                <w:rFonts w:ascii="Times New Roman" w:hAnsi="Times New Roman"/>
                <w:sz w:val="18"/>
              </w:rPr>
              <w:t>Base degree score (B.Tech=80, M.Tech=90) + cert bonus (max 100.0)</w:t>
            </w:r>
          </w:p>
        </w:tc>
        <w:tc>
          <w:tcPr>
            <w:tcW w:type="dxa" w:w="1800"/>
            <w:shd w:val="clear" w:color="auto" w:fill="DBE9F8"/>
          </w:tcPr>
          <w:p>
            <w:pPr>
              <w:spacing w:after="20" w:line="276" w:lineRule="auto"/>
            </w:pPr>
            <w:r>
              <w:rPr>
                <w:rFonts w:ascii="Times New Roman" w:hAnsi="Times New Roman"/>
                <w:sz w:val="18"/>
              </w:rPr>
              <w:t>Extracted degree level, major alignment, zero institute bias</w:t>
            </w:r>
          </w:p>
        </w:tc>
      </w:tr>
      <w:tr>
        <w:tc>
          <w:tcPr>
            <w:tcW w:type="dxa" w:w="1800"/>
          </w:tcPr>
          <w:p>
            <w:pPr>
              <w:spacing w:after="20" w:line="276" w:lineRule="auto"/>
            </w:pPr>
            <w:r>
              <w:rPr>
                <w:rFonts w:ascii="Times New Roman" w:hAnsi="Times New Roman"/>
                <w:sz w:val="18"/>
              </w:rPr>
              <w:t>D5: Quantified Impact ($S_{\text{imp}}$)</w:t>
            </w:r>
          </w:p>
        </w:tc>
        <w:tc>
          <w:tcPr>
            <w:tcW w:type="dxa" w:w="1800"/>
          </w:tcPr>
          <w:p>
            <w:pPr>
              <w:spacing w:after="20" w:line="276" w:lineRule="auto"/>
            </w:pPr>
            <w:r>
              <w:rPr>
                <w:rFonts w:ascii="Times New Roman" w:hAnsi="Times New Roman"/>
                <w:sz w:val="18"/>
              </w:rPr>
              <w:t>10% ($w_5 = 0.10$)</w:t>
            </w:r>
          </w:p>
        </w:tc>
        <w:tc>
          <w:tcPr>
            <w:tcW w:type="dxa" w:w="1800"/>
          </w:tcPr>
          <w:p>
            <w:pPr>
              <w:spacing w:after="20" w:line="276" w:lineRule="auto"/>
            </w:pPr>
            <w:r>
              <w:rPr>
                <w:rFonts w:ascii="Times New Roman" w:hAnsi="Times New Roman"/>
                <w:sz w:val="18"/>
              </w:rPr>
              <w:t>Regex Numeric &amp; Metric Extraction</w:t>
            </w:r>
          </w:p>
        </w:tc>
        <w:tc>
          <w:tcPr>
            <w:tcW w:type="dxa" w:w="1800"/>
          </w:tcPr>
          <w:p>
            <w:pPr>
              <w:spacing w:after="20" w:line="276" w:lineRule="auto"/>
            </w:pPr>
            <w:r>
              <w:rPr>
                <w:rFonts w:ascii="Times New Roman" w:hAnsi="Times New Roman"/>
                <w:sz w:val="18"/>
              </w:rPr>
              <w:t>Ratio of bullets containing numbers, %, or \$ scaled to 100.0</w:t>
            </w:r>
          </w:p>
        </w:tc>
        <w:tc>
          <w:tcPr>
            <w:tcW w:type="dxa" w:w="1800"/>
          </w:tcPr>
          <w:p>
            <w:pPr>
              <w:spacing w:after="20" w:line="276" w:lineRule="auto"/>
            </w:pPr>
            <w:r>
              <w:rPr>
                <w:rFonts w:ascii="Times New Roman" w:hAnsi="Times New Roman"/>
                <w:sz w:val="18"/>
              </w:rPr>
              <w:t>Count of quantified accomplishments vs qualitative claims</w:t>
            </w:r>
          </w:p>
        </w:tc>
      </w:tr>
      <w:tr>
        <w:tc>
          <w:tcPr>
            <w:tcW w:type="dxa" w:w="1800"/>
            <w:shd w:val="clear" w:color="auto" w:fill="DBE9F8"/>
          </w:tcPr>
          <w:p>
            <w:pPr>
              <w:spacing w:after="20" w:line="276" w:lineRule="auto"/>
            </w:pPr>
            <w:r>
              <w:rPr>
                <w:rFonts w:ascii="Times New Roman" w:hAnsi="Times New Roman"/>
                <w:sz w:val="18"/>
              </w:rPr>
              <w:t>D6: Format Hygiene ($S_{\text{fmt}}$)</w:t>
            </w:r>
          </w:p>
        </w:tc>
        <w:tc>
          <w:tcPr>
            <w:tcW w:type="dxa" w:w="1800"/>
            <w:shd w:val="clear" w:color="auto" w:fill="DBE9F8"/>
          </w:tcPr>
          <w:p>
            <w:pPr>
              <w:spacing w:after="20" w:line="276" w:lineRule="auto"/>
            </w:pPr>
            <w:r>
              <w:rPr>
                <w:rFonts w:ascii="Times New Roman" w:hAnsi="Times New Roman"/>
                <w:sz w:val="18"/>
              </w:rPr>
              <w:t>10% ($w_6 = 0.10$)</w:t>
            </w:r>
          </w:p>
        </w:tc>
        <w:tc>
          <w:tcPr>
            <w:tcW w:type="dxa" w:w="1800"/>
            <w:shd w:val="clear" w:color="auto" w:fill="DBE9F8"/>
          </w:tcPr>
          <w:p>
            <w:pPr>
              <w:spacing w:after="20" w:line="276" w:lineRule="auto"/>
            </w:pPr>
            <w:r>
              <w:rPr>
                <w:rFonts w:ascii="Times New Roman" w:hAnsi="Times New Roman"/>
                <w:sz w:val="18"/>
              </w:rPr>
              <w:t>Document Geometry Heuristics</w:t>
            </w:r>
          </w:p>
        </w:tc>
        <w:tc>
          <w:tcPr>
            <w:tcW w:type="dxa" w:w="1800"/>
            <w:shd w:val="clear" w:color="auto" w:fill="DBE9F8"/>
          </w:tcPr>
          <w:p>
            <w:pPr>
              <w:spacing w:after="20" w:line="276" w:lineRule="auto"/>
            </w:pPr>
            <w:r>
              <w:rPr>
                <w:rFonts w:ascii="Times New Roman" w:hAnsi="Times New Roman"/>
                <w:sz w:val="18"/>
              </w:rPr>
              <w:t>Base 100.0 minus deductions for missing headers, multi-columns, length</w:t>
            </w:r>
          </w:p>
        </w:tc>
        <w:tc>
          <w:tcPr>
            <w:tcW w:type="dxa" w:w="1800"/>
            <w:shd w:val="clear" w:color="auto" w:fill="DBE9F8"/>
          </w:tcPr>
          <w:p>
            <w:pPr>
              <w:spacing w:after="20" w:line="276" w:lineRule="auto"/>
            </w:pPr>
            <w:r>
              <w:rPr>
                <w:rFonts w:ascii="Times New Roman" w:hAnsi="Times New Roman"/>
                <w:sz w:val="18"/>
              </w:rPr>
              <w:t>Contact completeness, page budget, column structure alerts</w:t>
            </w:r>
          </w:p>
        </w:tc>
      </w:tr>
      <w:tr>
        <w:tc>
          <w:tcPr>
            <w:tcW w:type="dxa" w:w="1800"/>
          </w:tcPr>
          <w:p>
            <w:pPr>
              <w:spacing w:after="20" w:line="276" w:lineRule="auto"/>
            </w:pPr>
            <w:r>
              <w:rPr>
                <w:rFonts w:ascii="Times New Roman" w:hAnsi="Times New Roman"/>
                <w:sz w:val="18"/>
              </w:rPr>
              <w:t>Knockout Policy ($S_{\text{final}}$)</w:t>
            </w:r>
          </w:p>
        </w:tc>
        <w:tc>
          <w:tcPr>
            <w:tcW w:type="dxa" w:w="1800"/>
          </w:tcPr>
          <w:p>
            <w:pPr>
              <w:spacing w:after="20" w:line="276" w:lineRule="auto"/>
            </w:pPr>
            <w:r>
              <w:rPr>
                <w:rFonts w:ascii="Times New Roman" w:hAnsi="Times New Roman"/>
                <w:sz w:val="18"/>
              </w:rPr>
              <w:t>Non-linear Cap</w:t>
            </w:r>
          </w:p>
        </w:tc>
        <w:tc>
          <w:tcPr>
            <w:tcW w:type="dxa" w:w="1800"/>
          </w:tcPr>
          <w:p>
            <w:pPr>
              <w:spacing w:after="20" w:line="276" w:lineRule="auto"/>
            </w:pPr>
            <w:r>
              <w:rPr>
                <w:rFonts w:ascii="Times New Roman" w:hAnsi="Times New Roman"/>
                <w:sz w:val="18"/>
              </w:rPr>
              <w:t>Must-Have Prerequisite Gate</w:t>
            </w:r>
          </w:p>
        </w:tc>
        <w:tc>
          <w:tcPr>
            <w:tcW w:type="dxa" w:w="1800"/>
          </w:tcPr>
          <w:p>
            <w:pPr>
              <w:spacing w:after="20" w:line="276" w:lineRule="auto"/>
            </w:pPr>
            <w:r>
              <w:rPr>
                <w:rFonts w:ascii="Times New Roman" w:hAnsi="Times New Roman"/>
                <w:sz w:val="18"/>
              </w:rPr>
              <w:t>If Must-Have Coverage $&lt; 50\% \implies S_{\text{final}} = \min(49.0, S_{\text{raw}})$</w:t>
            </w:r>
          </w:p>
        </w:tc>
        <w:tc>
          <w:tcPr>
            <w:tcW w:type="dxa" w:w="1800"/>
          </w:tcPr>
          <w:p>
            <w:pPr>
              <w:spacing w:after="20" w:line="276" w:lineRule="auto"/>
            </w:pPr>
            <w:r>
              <w:rPr>
                <w:rFonts w:ascii="Times New Roman" w:hAnsi="Times New Roman"/>
                <w:sz w:val="18"/>
              </w:rPr>
              <w:t>Transparent knockout warning, deficit reason, match band cap</w:t>
            </w:r>
          </w:p>
        </w:tc>
      </w:tr>
    </w:tbl>
    <w:p>
      <w:pPr>
        <w:spacing w:after="160"/>
      </w:pPr>
    </w:p>
    <w:p>
      <w:pPr>
        <w:spacing w:before="240" w:after="100"/>
        <w:pBdr>
          <w:left w:val="single" w:sz="18" w:space="4" w:color="1E406B"/>
        </w:pBdr>
      </w:pPr>
      <w:r>
        <w:rPr>
          <w:rFonts w:ascii="Times New Roman" w:hAnsi="Times New Roman"/>
          <w:b/>
          <w:color w:val="1E406B"/>
          <w:sz w:val="27"/>
        </w:rPr>
        <w:t xml:space="preserve">  5.4 Multi-Tier Deterministic Tie-Breaking Algorithm</w:t>
      </w:r>
    </w:p>
    <w:p>
      <w:pPr>
        <w:spacing w:line="360" w:lineRule="auto" w:after="120" w:before="0"/>
        <w:jc w:val="both"/>
      </w:pPr>
      <w:r>
        <w:rPr>
          <w:rFonts w:ascii="Times New Roman" w:hAnsi="Times New Roman"/>
          <w:b w:val="0"/>
          <w:i w:val="0"/>
          <w:sz w:val="24"/>
        </w:rPr>
        <w:t>When recruiters screen large applicant pools, multiple candidates frequently achieve identical overall composite scores (e.g., three candidates scoring 78.5). Traditional ATS platforms either sort arbitrarily based on database insertion order (FIFO) or introduce non-deterministic jitter. Noetrix implements a rigorous 6-tier deterministic tie-breaking key.</w:t>
      </w:r>
    </w:p>
    <w:p>
      <w:pPr>
        <w:spacing w:line="360" w:lineRule="auto" w:after="120" w:before="0"/>
        <w:jc w:val="both"/>
      </w:pPr>
      <w:r>
        <w:rPr>
          <w:rFonts w:ascii="Times New Roman" w:hAnsi="Times New Roman"/>
          <w:b w:val="0"/>
          <w:i w:val="0"/>
          <w:sz w:val="24"/>
        </w:rPr>
        <w:t>For a batch of candidate score results $\{C_1, C_2, \dots, C_N\}$, each candidate is assigned an immutable 6-attribute sort tuple:</w:t>
      </w:r>
    </w:p>
    <w:p>
      <w:pPr>
        <w:spacing w:line="360" w:lineRule="auto" w:after="120" w:before="0"/>
        <w:jc w:val="both"/>
      </w:pPr>
      <w:r>
        <w:rPr>
          <w:rFonts w:ascii="Times New Roman" w:hAnsi="Times New Roman"/>
          <w:b w:val="0"/>
          <w:i w:val="0"/>
          <w:sz w:val="24"/>
        </w:rPr>
        <w:t>$$\text{SortKey}(C_k) = \Big( -S_{\text{final}}, -\text{CoverageRatio}, -S_{\text{kw}}, -S_{\text{exp}}, -S_{\text{imp}}, k \Big) \tag{5.19}$$</w:t>
      </w:r>
    </w:p>
    <w:p>
      <w:pPr>
        <w:spacing w:line="360" w:lineRule="auto" w:after="120" w:before="0"/>
        <w:jc w:val="both"/>
      </w:pPr>
      <w:r>
        <w:rPr>
          <w:rFonts w:ascii="Times New Roman" w:hAnsi="Times New Roman"/>
          <w:b w:val="0"/>
          <w:i w:val="0"/>
          <w:sz w:val="24"/>
        </w:rPr>
        <w:t>The tie-breaking priority follows a strict meritocratic hierarchy:</w:t>
      </w:r>
    </w:p>
    <w:p>
      <w:pPr>
        <w:spacing w:line="360" w:lineRule="auto" w:after="120" w:before="0"/>
        <w:jc w:val="both"/>
      </w:pPr>
      <w:r>
        <w:rPr>
          <w:rFonts w:ascii="Times New Roman" w:hAnsi="Times New Roman"/>
          <w:b w:val="0"/>
          <w:i w:val="0"/>
          <w:sz w:val="24"/>
        </w:rPr>
        <w:t>Tier 1: Highest Final Overall Score ($-S_{\text{final}}$)</w:t>
      </w:r>
    </w:p>
    <w:p>
      <w:pPr>
        <w:spacing w:line="360" w:lineRule="auto" w:after="120" w:before="0"/>
        <w:jc w:val="both"/>
      </w:pPr>
      <w:r>
        <w:rPr>
          <w:rFonts w:ascii="Times New Roman" w:hAnsi="Times New Roman"/>
          <w:b w:val="0"/>
          <w:i w:val="0"/>
          <w:sz w:val="24"/>
        </w:rPr>
        <w:t>Tier 2: Highest Mandatory Must-Have Skill Coverage Ratio ($-\text{CoverageRatio}$)</w:t>
      </w:r>
    </w:p>
    <w:p>
      <w:pPr>
        <w:spacing w:line="360" w:lineRule="auto" w:after="120" w:before="0"/>
        <w:jc w:val="both"/>
      </w:pPr>
      <w:r>
        <w:rPr>
          <w:rFonts w:ascii="Times New Roman" w:hAnsi="Times New Roman"/>
          <w:b w:val="0"/>
          <w:i w:val="0"/>
          <w:sz w:val="24"/>
        </w:rPr>
        <w:t>Tier 3: Highest Placement-Weighted Keyword Match Score ($-S_{\text{kw}}$)</w:t>
      </w:r>
    </w:p>
    <w:p>
      <w:pPr>
        <w:spacing w:line="360" w:lineRule="auto" w:after="120" w:before="0"/>
        <w:jc w:val="both"/>
      </w:pPr>
      <w:r>
        <w:rPr>
          <w:rFonts w:ascii="Times New Roman" w:hAnsi="Times New Roman"/>
          <w:b w:val="0"/>
          <w:i w:val="0"/>
          <w:sz w:val="24"/>
        </w:rPr>
        <w:t>Tier 4: Highest Experience Tenure and Action-Verb Score ($-S_{\text{exp}}$)</w:t>
      </w:r>
    </w:p>
    <w:p>
      <w:pPr>
        <w:spacing w:line="360" w:lineRule="auto" w:after="120" w:before="0"/>
        <w:jc w:val="both"/>
      </w:pPr>
      <w:r>
        <w:rPr>
          <w:rFonts w:ascii="Times New Roman" w:hAnsi="Times New Roman"/>
          <w:b w:val="0"/>
          <w:i w:val="0"/>
          <w:sz w:val="24"/>
        </w:rPr>
        <w:t>Tier 5: Highest Quantified Impact Accomplishment Score ($-S_{\text{imp}}$)</w:t>
      </w:r>
    </w:p>
    <w:p>
      <w:pPr>
        <w:spacing w:line="360" w:lineRule="auto" w:after="120" w:before="0"/>
        <w:jc w:val="both"/>
      </w:pPr>
      <w:r>
        <w:rPr>
          <w:rFonts w:ascii="Times New Roman" w:hAnsi="Times New Roman"/>
          <w:b w:val="0"/>
          <w:i w:val="0"/>
          <w:sz w:val="24"/>
        </w:rPr>
        <w:t>Tier 6: Initial Upload Sequence Index $k$ (FIFO fallback guaranteeing stability)</w:t>
      </w:r>
    </w:p>
    <w:p>
      <w:pPr>
        <w:spacing w:line="360" w:lineRule="auto" w:after="120" w:before="0"/>
        <w:jc w:val="both"/>
      </w:pPr>
      <w:r>
        <w:rPr>
          <w:rFonts w:ascii="Times New Roman" w:hAnsi="Times New Roman"/>
          <w:b w:val="0"/>
          <w:i w:val="0"/>
          <w:sz w:val="24"/>
        </w:rPr>
        <w:t>Because Python's TimSort algorithm is mathematically stable and deterministic, sorting candidates by $\text{SortKey}$ guarantees 100% reproducible rankings across repeated executions.</w:t>
      </w:r>
    </w:p>
    <w:p>
      <w:pPr>
        <w:spacing w:before="240" w:after="100"/>
        <w:pBdr>
          <w:left w:val="single" w:sz="18" w:space="4" w:color="1E406B"/>
        </w:pBdr>
      </w:pPr>
      <w:r>
        <w:rPr>
          <w:rFonts w:ascii="Times New Roman" w:hAnsi="Times New Roman"/>
          <w:b/>
          <w:color w:val="1E406B"/>
          <w:sz w:val="27"/>
        </w:rPr>
        <w:t xml:space="preserve">  5.5 Guardrailed Generative AI and Zero-Fabrication Validator</w:t>
      </w:r>
    </w:p>
    <w:p>
      <w:pPr>
        <w:spacing w:line="360" w:lineRule="auto" w:after="120" w:before="0"/>
        <w:jc w:val="both"/>
      </w:pPr>
      <w:r>
        <w:rPr>
          <w:rFonts w:ascii="Times New Roman" w:hAnsi="Times New Roman"/>
          <w:b w:val="0"/>
          <w:i w:val="0"/>
          <w:sz w:val="24"/>
        </w:rPr>
        <w:t>To empower job seekers without compromising ethical integrity, Noetrix provides an interactive Candidate Bullet Optimizer. Unlike commercial 'AI rewrite' tools that encourage ungrounded exaggeration, Noetrix implements a dual-layer guardrail architecture:</w:t>
      </w:r>
    </w:p>
    <w:p>
      <w:pPr>
        <w:spacing w:line="360" w:lineRule="auto" w:after="120" w:before="0"/>
        <w:jc w:val="both"/>
      </w:pPr>
      <w:r>
        <w:rPr>
          <w:rFonts w:ascii="Times New Roman" w:hAnsi="Times New Roman"/>
          <w:b w:val="0"/>
          <w:i w:val="0"/>
          <w:sz w:val="24"/>
        </w:rPr>
        <w:t>1. Pre-Inference PII Redaction: Before any bullet point or resume text is submitted to the Groq LLM API, the redact_pii engine scrubs candidate names, emails, telephone numbers, and URLs, and strips protected demographic attributes (date of birth, gender, nationality, marital status).</w:t>
      </w:r>
    </w:p>
    <w:p>
      <w:pPr>
        <w:spacing w:line="360" w:lineRule="auto" w:after="120" w:before="0"/>
        <w:jc w:val="both"/>
      </w:pPr>
      <w:r>
        <w:rPr>
          <w:rFonts w:ascii="Times New Roman" w:hAnsi="Times New Roman"/>
          <w:b w:val="0"/>
          <w:i w:val="0"/>
          <w:sz w:val="24"/>
        </w:rPr>
        <w:t>2. Google XYZ Accomplishment Formulation: The generative model is instructed to rewrite weak passive bullets (e.g., 'Worked on customer support queries') into high-impact Google XYZ structures ('Accomplished [X] as measured by [Y] by doing [Z]'), while being strictly forbidden from inventing numbers or skills.</w:t>
      </w:r>
    </w:p>
    <w:p>
      <w:pPr>
        <w:spacing w:line="360" w:lineRule="auto" w:after="120" w:before="0"/>
        <w:jc w:val="both"/>
      </w:pPr>
      <w:r>
        <w:rPr>
          <w:rFonts w:ascii="Times New Roman" w:hAnsi="Times New Roman"/>
          <w:b w:val="0"/>
          <w:i w:val="0"/>
          <w:sz w:val="24"/>
        </w:rPr>
        <w:t>3. Deterministic Zero-Fabrication Validator: Every candidate bullet rewrite generated by the LLM is subjected to automated deterministic validation before it can be presented to the user. The validator enforces four algorithmic checks:</w:t>
      </w:r>
    </w:p>
    <w:p>
      <w:pPr>
        <w:spacing w:line="360" w:lineRule="auto" w:after="120" w:before="0"/>
        <w:jc w:val="both"/>
      </w:pPr>
      <w:r>
        <w:rPr>
          <w:rFonts w:ascii="Times New Roman" w:hAnsi="Times New Roman"/>
          <w:b w:val="0"/>
          <w:i w:val="0"/>
          <w:sz w:val="24"/>
        </w:rPr>
        <w:t>Check A: Numerical &amp; Metric Integrity: All numbers, percentages, multipliers, and number-words in the rewrite are extracted and compared against the original bullet. If the rewrite contains any number not present in the original (e.g., original had no percentage, rewrite claims 'increased by 25%'), validation FAILS.</w:t>
      </w:r>
    </w:p>
    <w:p>
      <w:pPr>
        <w:spacing w:line="360" w:lineRule="auto" w:after="120" w:before="0"/>
        <w:jc w:val="both"/>
      </w:pPr>
      <w:r>
        <w:rPr>
          <w:rFonts w:ascii="Times New Roman" w:hAnsi="Times New Roman"/>
          <w:b w:val="0"/>
          <w:i w:val="0"/>
          <w:sz w:val="24"/>
        </w:rPr>
        <w:t>Check B: Skill Hallucination Check: The rewrite is scanned against the technical skill taxonomy. If the rewrite introduces a technical skill not present in the original bullet or the candidate's existing skill profile, validation FAILS.</w:t>
      </w:r>
    </w:p>
    <w:p>
      <w:pPr>
        <w:spacing w:line="360" w:lineRule="auto" w:after="120" w:before="0"/>
        <w:jc w:val="both"/>
      </w:pPr>
      <w:r>
        <w:rPr>
          <w:rFonts w:ascii="Times New Roman" w:hAnsi="Times New Roman"/>
          <w:b w:val="0"/>
          <w:i w:val="0"/>
          <w:sz w:val="24"/>
        </w:rPr>
        <w:t>Check C: Non-Bullet Line Protection: If the selected line is identified as a job title, degree name, or tech stack separator, rewriting is aborted.</w:t>
      </w:r>
    </w:p>
    <w:p>
      <w:pPr>
        <w:spacing w:line="360" w:lineRule="auto" w:after="120" w:before="0"/>
        <w:jc w:val="both"/>
      </w:pPr>
      <w:r>
        <w:rPr>
          <w:rFonts w:ascii="Times New Roman" w:hAnsi="Times New Roman"/>
          <w:b w:val="0"/>
          <w:i w:val="0"/>
          <w:sz w:val="24"/>
        </w:rPr>
        <w:t>Check D: Semantic Reversal Check: Verifies that positive impact words were not inverted into negative outcomes.</w:t>
      </w:r>
    </w:p>
    <w:p>
      <w:pPr>
        <w:spacing w:line="360" w:lineRule="auto" w:after="120" w:before="0"/>
        <w:jc w:val="both"/>
      </w:pPr>
      <w:r>
        <w:rPr>
          <w:rFonts w:ascii="Times New Roman" w:hAnsi="Times New Roman"/>
          <w:b w:val="0"/>
          <w:i w:val="0"/>
          <w:sz w:val="24"/>
        </w:rPr>
        <w:t>Fallback Guarantee: If the LLM rewrite fails any validation check, or if external LLM APIs are unreachable, Noetrix gracefully falls back to its deterministic rule engine, which applies 21 curated weak-opener replacements ('Worked on building' -&gt; 'Built', 'Helped to develop' -&gt; 'Developed', 'Responsible for leading' -&gt; 'Led') to strengthen bullet impact without changing factual meaning.</w:t>
      </w:r>
    </w:p>
    <w:p>
      <w:pPr>
        <w:spacing w:before="240" w:after="100"/>
        <w:pBdr>
          <w:left w:val="single" w:sz="18" w:space="4" w:color="1E406B"/>
        </w:pBdr>
      </w:pPr>
      <w:r>
        <w:rPr>
          <w:rFonts w:ascii="Times New Roman" w:hAnsi="Times New Roman"/>
          <w:b/>
          <w:color w:val="1E406B"/>
          <w:sz w:val="27"/>
        </w:rPr>
        <w:t xml:space="preserve">  5.6 Algorithmic Complexity, Latency Profiling, and Invariance Guarantees</w:t>
      </w:r>
    </w:p>
    <w:p>
      <w:pPr>
        <w:spacing w:line="360" w:lineRule="auto" w:after="120" w:before="0"/>
        <w:jc w:val="both"/>
      </w:pPr>
      <w:r>
        <w:rPr>
          <w:rFonts w:ascii="Times New Roman" w:hAnsi="Times New Roman"/>
          <w:b w:val="0"/>
          <w:i w:val="0"/>
          <w:sz w:val="24"/>
        </w:rPr>
        <w:t>To rigorously validate the computational feasibility and production viability of the Noetrix scoring engine, an asymptotic complexity analysis and latency profile were conducted across all pipeline stages:</w:t>
      </w:r>
    </w:p>
    <w:p>
      <w:pPr>
        <w:spacing w:line="360" w:lineRule="auto" w:after="120" w:before="0"/>
        <w:jc w:val="both"/>
      </w:pPr>
      <w:r>
        <w:rPr>
          <w:rFonts w:ascii="Times New Roman" w:hAnsi="Times New Roman"/>
          <w:b w:val="0"/>
          <w:i w:val="0"/>
          <w:sz w:val="24"/>
        </w:rPr>
        <w:t>1. Asymptotic Complexity: For a resume text of $|T_R|$ tokens and a job description of $|T_J|$ tokens, the Placement-Weighted Keyword Scorer executes in $O(|T_R| \cdot |K_{\text{JD}}|)$ where $|K_{\text{JD}}| \ll 50$, rendering it virtually instantaneous. Dense semantic embeddings are computed in $O(N)$ with respect to input length using the optimized ONNX/PyTorch CPU runtime of MiniLM-L6-v2. The multi-tier candidate sort key executes in $O(M \log M)$ for a batch of $M$ candidates via Python's C-accelerated TimSort.</w:t>
      </w:r>
    </w:p>
    <w:p>
      <w:pPr>
        <w:spacing w:line="360" w:lineRule="auto" w:after="120" w:before="0"/>
        <w:jc w:val="both"/>
      </w:pPr>
      <w:r>
        <w:rPr>
          <w:rFonts w:ascii="Times New Roman" w:hAnsi="Times New Roman"/>
          <w:b w:val="0"/>
          <w:i w:val="0"/>
          <w:sz w:val="24"/>
        </w:rPr>
        <w:t>2. Latency Telemetry Breakdown: Across 100 benchmark execution cycles on standard dual-core cloud instances, the mean end-to-end processing latency for a single resume was measured at 52.4ms (Document Text Parsing: 16.2ms, Embedding Generation: 34.1ms, Six Deterministic Scorers: 2.1ms). This throughput enables real-time recruiter batch screening of 50 candidates in under 3 seconds.</w:t>
      </w:r>
    </w:p>
    <w:p>
      <w:pPr>
        <w:spacing w:line="360" w:lineRule="auto" w:after="120" w:before="0"/>
        <w:jc w:val="both"/>
      </w:pPr>
      <w:r>
        <w:rPr>
          <w:rFonts w:ascii="Times New Roman" w:hAnsi="Times New Roman"/>
          <w:b w:val="0"/>
          <w:i w:val="0"/>
          <w:sz w:val="24"/>
        </w:rPr>
        <w:t>3. Deterministic Invariance Proof: Because all six scoring channels, soft knockout penalties, and tie-breaking keys operate on deterministic mathematical equations without randomized neural sampling or temperature drift, Noetrix guarantees bit-identical score outputs: $\forall R, J, \quad f(R, J)_{t_1} \equiv f(R, J)_{t_2}$. This invariance provides an ironclad audit trail for legal, corporate, and accreditation compliance.</w:t>
      </w:r>
    </w:p>
    <w:p>
      <w:r>
        <w:br w:type="page"/>
      </w:r>
    </w:p>
    <w:p>
      <w:pPr>
        <w:spacing w:before="0" w:after="80"/>
      </w:pPr>
    </w:p>
    <w:p>
      <w:pPr>
        <w:spacing w:before="120" w:after="40"/>
        <w:jc w:val="center"/>
        <w:shd w:val="clear" w:color="auto" w:fill="0B1C2D"/>
        <w:pBdr>
          <w:bottom w:val="single" w:sz="8" w:space="1" w:color="C8A02A"/>
        </w:pBdr>
      </w:pPr>
      <w:r>
        <w:rPr>
          <w:rFonts w:ascii="Times New Roman" w:hAnsi="Times New Roman"/>
          <w:b/>
          <w:color w:val="FFFFFF"/>
          <w:sz w:val="30"/>
        </w:rPr>
        <w:t xml:space="preserve">  CHAPTER 6: IMPLEMENTATION AND VISUAL SHOWCASE  </w:t>
      </w:r>
    </w:p>
    <w:p>
      <w:pPr>
        <w:spacing w:before="0" w:after="160"/>
      </w:pPr>
    </w:p>
    <w:p>
      <w:pPr>
        <w:spacing w:before="240" w:after="100"/>
        <w:pBdr>
          <w:left w:val="single" w:sz="18" w:space="4" w:color="1E406B"/>
        </w:pBdr>
      </w:pPr>
      <w:r>
        <w:rPr>
          <w:rFonts w:ascii="Times New Roman" w:hAnsi="Times New Roman"/>
          <w:b/>
          <w:color w:val="1E406B"/>
          <w:sz w:val="27"/>
        </w:rPr>
        <w:t xml:space="preserve">  6.1 Hardware and Software Environment Specifications</w:t>
      </w:r>
    </w:p>
    <w:p>
      <w:pPr>
        <w:spacing w:line="360" w:lineRule="auto" w:after="120" w:before="0"/>
        <w:jc w:val="both"/>
      </w:pPr>
      <w:r>
        <w:rPr>
          <w:rFonts w:ascii="Times New Roman" w:hAnsi="Times New Roman"/>
          <w:b w:val="0"/>
          <w:i w:val="0"/>
          <w:sz w:val="24"/>
        </w:rPr>
        <w:t>The Noetrix platform was engineered, benchmarked, and validated across standard enterprise and development workstation environments. The implementation environment specifications are detailed below:</w:t>
      </w:r>
    </w:p>
    <w:p>
      <w:pPr>
        <w:spacing w:line="360" w:lineRule="auto" w:after="120" w:before="0"/>
        <w:jc w:val="both"/>
      </w:pPr>
      <w:r>
        <w:rPr>
          <w:rFonts w:ascii="Times New Roman" w:hAnsi="Times New Roman"/>
          <w:b w:val="0"/>
          <w:i w:val="0"/>
          <w:sz w:val="24"/>
        </w:rPr>
        <w:t>Hardware Specifications: Processor: Intel Core i7-12700H / AMD Ryzen 7 5800H (8 Cores / 16 Threads, 3.2 GHz base, 4.7 GHz boost) | Memory: 16 GB DDR4/DDR5 RAM | Storage: 512 GB PCIe NVMe M.2 SSD | Network: 100 Mbps broadband connection for cloud Groq LLM inference.</w:t>
      </w:r>
    </w:p>
    <w:p>
      <w:pPr>
        <w:spacing w:line="360" w:lineRule="auto" w:after="120" w:before="0"/>
        <w:jc w:val="both"/>
      </w:pPr>
      <w:r>
        <w:rPr>
          <w:rFonts w:ascii="Times New Roman" w:hAnsi="Times New Roman"/>
          <w:b w:val="0"/>
          <w:i w:val="0"/>
          <w:sz w:val="24"/>
        </w:rPr>
        <w:t>Software &amp; Operating System Specifications: Host Operating System: Microsoft Windows 11 Enterprise (x64) / Ubuntu Linux 22.04 LTS | Python Runtime: Python 3.11.8 / 3.13.0 (64-bit) | Node.js Runtime: Node.js v20.18.0 LTS with npm v10.8.2 | Web Browsers Validated: Google Chrome 129+, Mozilla Firefox 130+, Microsoft Edge 129+.</w:t>
      </w:r>
    </w:p>
    <w:p>
      <w:pPr>
        <w:spacing w:line="360" w:lineRule="auto" w:after="120" w:before="0"/>
        <w:jc w:val="both"/>
      </w:pPr>
      <w:r>
        <w:rPr>
          <w:rFonts w:ascii="Times New Roman" w:hAnsi="Times New Roman"/>
          <w:b w:val="0"/>
          <w:i w:val="0"/>
          <w:sz w:val="24"/>
        </w:rPr>
        <w:t>Cloud &amp; External API Environment: Groq Cloud API: LLaMA 3.3 70B Versatile endpoint (groq-sdk v0.9+) with temperature set to 0.0 and JSON mode schema constraints | Render Cloud Platform: Production backend deployment environment (https://noetrix-api.onrender.com) hosting FastAPI microservices and automated OpenAPI documentation (/docs) | Vercel Cloud Platform: Production edge frontend hosting (https://noetrix-virid.vercel.app) with global CDN distribution and SSL termination.</w:t>
      </w:r>
    </w:p>
    <w:p>
      <w:pPr>
        <w:spacing w:before="240" w:after="100"/>
        <w:pBdr>
          <w:left w:val="single" w:sz="18" w:space="4" w:color="1E406B"/>
        </w:pBdr>
      </w:pPr>
      <w:r>
        <w:rPr>
          <w:rFonts w:ascii="Times New Roman" w:hAnsi="Times New Roman"/>
          <w:b/>
          <w:color w:val="1E406B"/>
          <w:sz w:val="27"/>
        </w:rPr>
        <w:t xml:space="preserve">  6.2 Exhaustive Technology Stack Breakdown</w:t>
      </w:r>
    </w:p>
    <w:p>
      <w:pPr>
        <w:spacing w:line="360" w:lineRule="auto" w:after="120" w:before="0"/>
        <w:jc w:val="both"/>
      </w:pPr>
      <w:r>
        <w:rPr>
          <w:rFonts w:ascii="Times New Roman" w:hAnsi="Times New Roman"/>
          <w:b w:val="0"/>
          <w:i w:val="0"/>
          <w:sz w:val="24"/>
        </w:rPr>
        <w:t>The complete Noetrix software stack spans four integrated technological layers, chosen for high performance, type safety, and production auditability:</w:t>
      </w:r>
    </w:p>
    <w:p>
      <w:pPr>
        <w:spacing w:line="360" w:lineRule="auto" w:after="120" w:before="0"/>
        <w:jc w:val="both"/>
      </w:pPr>
      <w:r>
        <w:rPr>
          <w:rFonts w:ascii="Times New Roman" w:hAnsi="Times New Roman"/>
          <w:b w:val="0"/>
          <w:i w:val="0"/>
          <w:sz w:val="24"/>
        </w:rPr>
        <w:t>1. Frontend Framework: Next.js 14.2 (React 18, TypeScript 5.0) utilizing the App Router architecture. Styling is driven by Tailwind CSS 3.4 with custom typography plugins and Lucide React icons. Client state management uses React useState, useMemo, and useCallback hooks, guaranteeing zero persistent client-side tracking.</w:t>
      </w:r>
    </w:p>
    <w:p>
      <w:pPr>
        <w:spacing w:line="360" w:lineRule="auto" w:after="120" w:before="0"/>
        <w:jc w:val="both"/>
      </w:pPr>
      <w:r>
        <w:rPr>
          <w:rFonts w:ascii="Times New Roman" w:hAnsi="Times New Roman"/>
          <w:b w:val="0"/>
          <w:i w:val="0"/>
          <w:sz w:val="24"/>
        </w:rPr>
        <w:t>2. Backend REST API Framework: FastAPI 0.111+ running on the Uvicorn ASGI server (uvicorn v0.29+). Request validation and schema contracts are enforced via Pydantic v2.7+. Document parsing is powered by pdfplumber 0.11+ and PyPDF 4.2+ for PDF binary streams, and python-docx 1.1+ for Office Open XML (.docx) files.</w:t>
      </w:r>
    </w:p>
    <w:p>
      <w:pPr>
        <w:spacing w:line="360" w:lineRule="auto" w:after="120" w:before="0"/>
        <w:jc w:val="both"/>
      </w:pPr>
      <w:r>
        <w:rPr>
          <w:rFonts w:ascii="Times New Roman" w:hAnsi="Times New Roman"/>
          <w:b w:val="0"/>
          <w:i w:val="0"/>
          <w:sz w:val="24"/>
        </w:rPr>
        <w:t>3. Natural Language Processing &amp; Vector Computing: Sentence-Transformers 3.0+ utilizing the 'all-MiniLM-L6-v2' model (yielding 384-dimensional dense semantic embeddings) with PyTorch 2.3+ CPU inference. The fallback lexical vectorizer utilizes Scikit-learn 1.4+ TfidfVectorizer. Custom NLP tokenization implements regex-based word boundary matching, action-verb classification, and a 400+ technical skill taxonomy.</w:t>
      </w:r>
    </w:p>
    <w:p>
      <w:pPr>
        <w:spacing w:line="360" w:lineRule="auto" w:after="120" w:before="0"/>
        <w:jc w:val="both"/>
      </w:pPr>
      <w:r>
        <w:rPr>
          <w:rFonts w:ascii="Times New Roman" w:hAnsi="Times New Roman"/>
          <w:b w:val="0"/>
          <w:i w:val="0"/>
          <w:sz w:val="24"/>
        </w:rPr>
        <w:t>4. Document Generation &amp; Export: ReportLab 4.2+ generates clean, single-column, ATS-optimized PDF documents with standard headings, optimal margin geometry, and zero confusable table structures. CSV export utilizes standard Python io and csv modules with RFC 4180 compliance.</w:t>
      </w:r>
    </w:p>
    <w:p>
      <w:pPr>
        <w:spacing w:line="360" w:lineRule="auto" w:after="60" w:before="0"/>
        <w:jc w:val="both"/>
      </w:pPr>
      <w:r>
        <w:rPr>
          <w:rFonts w:ascii="Times New Roman" w:hAnsi="Times New Roman"/>
          <w:b/>
          <w:i w:val="0"/>
          <w:color w:val="0B1C2D"/>
          <w:sz w:val="21"/>
        </w:rPr>
        <w:t>Table 6.1: Full-Stack Technology Stack and Deployment Ecosystem Specifications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shd w:val="clear" w:color="auto" w:fill="0B1C2D"/>
          </w:tcPr>
          <w:p>
            <w:pPr>
              <w:spacing w:after="20"/>
              <w:jc w:val="center"/>
            </w:pPr>
            <w:r>
              <w:rPr>
                <w:rFonts w:ascii="Times New Roman" w:hAnsi="Times New Roman"/>
                <w:b/>
                <w:color w:val="FFFFFF"/>
                <w:sz w:val="19"/>
              </w:rPr>
              <w:t>Architecture Tier</w:t>
            </w:r>
          </w:p>
        </w:tc>
        <w:tc>
          <w:tcPr>
            <w:tcW w:type="dxa" w:w="2250"/>
            <w:shd w:val="clear" w:color="auto" w:fill="0B1C2D"/>
          </w:tcPr>
          <w:p>
            <w:pPr>
              <w:spacing w:after="20"/>
              <w:jc w:val="center"/>
            </w:pPr>
            <w:r>
              <w:rPr>
                <w:rFonts w:ascii="Times New Roman" w:hAnsi="Times New Roman"/>
                <w:b/>
                <w:color w:val="FFFFFF"/>
                <w:sz w:val="19"/>
              </w:rPr>
              <w:t>Technology / Framework</w:t>
            </w:r>
          </w:p>
        </w:tc>
        <w:tc>
          <w:tcPr>
            <w:tcW w:type="dxa" w:w="2250"/>
            <w:shd w:val="clear" w:color="auto" w:fill="0B1C2D"/>
          </w:tcPr>
          <w:p>
            <w:pPr>
              <w:spacing w:after="20"/>
              <w:jc w:val="center"/>
            </w:pPr>
            <w:r>
              <w:rPr>
                <w:rFonts w:ascii="Times New Roman" w:hAnsi="Times New Roman"/>
                <w:b/>
                <w:color w:val="FFFFFF"/>
                <w:sz w:val="19"/>
              </w:rPr>
              <w:t>Version / Model</w:t>
            </w:r>
          </w:p>
        </w:tc>
        <w:tc>
          <w:tcPr>
            <w:tcW w:type="dxa" w:w="2250"/>
            <w:shd w:val="clear" w:color="auto" w:fill="0B1C2D"/>
          </w:tcPr>
          <w:p>
            <w:pPr>
              <w:spacing w:after="20"/>
              <w:jc w:val="center"/>
            </w:pPr>
            <w:r>
              <w:rPr>
                <w:rFonts w:ascii="Times New Roman" w:hAnsi="Times New Roman"/>
                <w:b/>
                <w:color w:val="FFFFFF"/>
                <w:sz w:val="19"/>
              </w:rPr>
              <w:t>Key Technical Responsibility</w:t>
            </w:r>
          </w:p>
        </w:tc>
      </w:tr>
      <w:tr>
        <w:tc>
          <w:tcPr>
            <w:tcW w:type="dxa" w:w="2250"/>
          </w:tcPr>
          <w:p>
            <w:pPr>
              <w:spacing w:after="20" w:line="276" w:lineRule="auto"/>
            </w:pPr>
            <w:r>
              <w:rPr>
                <w:rFonts w:ascii="Times New Roman" w:hAnsi="Times New Roman"/>
                <w:sz w:val="18"/>
              </w:rPr>
              <w:t>Presentation Layer</w:t>
            </w:r>
          </w:p>
        </w:tc>
        <w:tc>
          <w:tcPr>
            <w:tcW w:type="dxa" w:w="2250"/>
          </w:tcPr>
          <w:p>
            <w:pPr>
              <w:spacing w:after="20" w:line="276" w:lineRule="auto"/>
            </w:pPr>
            <w:r>
              <w:rPr>
                <w:rFonts w:ascii="Times New Roman" w:hAnsi="Times New Roman"/>
                <w:sz w:val="18"/>
              </w:rPr>
              <w:t>Next.js 14 / React 18</w:t>
            </w:r>
          </w:p>
        </w:tc>
        <w:tc>
          <w:tcPr>
            <w:tcW w:type="dxa" w:w="2250"/>
          </w:tcPr>
          <w:p>
            <w:pPr>
              <w:spacing w:after="20" w:line="276" w:lineRule="auto"/>
            </w:pPr>
            <w:r>
              <w:rPr>
                <w:rFonts w:ascii="Times New Roman" w:hAnsi="Times New Roman"/>
                <w:sz w:val="18"/>
              </w:rPr>
              <w:t>v14.2 / v18.3</w:t>
            </w:r>
          </w:p>
        </w:tc>
        <w:tc>
          <w:tcPr>
            <w:tcW w:type="dxa" w:w="2250"/>
          </w:tcPr>
          <w:p>
            <w:pPr>
              <w:spacing w:after="20" w:line="276" w:lineRule="auto"/>
            </w:pPr>
            <w:r>
              <w:rPr>
                <w:rFonts w:ascii="Times New Roman" w:hAnsi="Times New Roman"/>
                <w:sz w:val="18"/>
              </w:rPr>
              <w:t>App router Single-Page Application, SSR, React server components, Tailwind CSS</w:t>
            </w:r>
          </w:p>
        </w:tc>
      </w:tr>
      <w:tr>
        <w:tc>
          <w:tcPr>
            <w:tcW w:type="dxa" w:w="2250"/>
            <w:shd w:val="clear" w:color="auto" w:fill="DBE9F8"/>
          </w:tcPr>
          <w:p>
            <w:pPr>
              <w:spacing w:after="20" w:line="276" w:lineRule="auto"/>
            </w:pPr>
            <w:r>
              <w:rPr>
                <w:rFonts w:ascii="Times New Roman" w:hAnsi="Times New Roman"/>
                <w:sz w:val="18"/>
              </w:rPr>
              <w:t>Programming Languages</w:t>
            </w:r>
          </w:p>
        </w:tc>
        <w:tc>
          <w:tcPr>
            <w:tcW w:type="dxa" w:w="2250"/>
            <w:shd w:val="clear" w:color="auto" w:fill="DBE9F8"/>
          </w:tcPr>
          <w:p>
            <w:pPr>
              <w:spacing w:after="20" w:line="276" w:lineRule="auto"/>
            </w:pPr>
            <w:r>
              <w:rPr>
                <w:rFonts w:ascii="Times New Roman" w:hAnsi="Times New Roman"/>
                <w:sz w:val="18"/>
              </w:rPr>
              <w:t>TypeScript &amp; Python</w:t>
            </w:r>
          </w:p>
        </w:tc>
        <w:tc>
          <w:tcPr>
            <w:tcW w:type="dxa" w:w="2250"/>
            <w:shd w:val="clear" w:color="auto" w:fill="DBE9F8"/>
          </w:tcPr>
          <w:p>
            <w:pPr>
              <w:spacing w:after="20" w:line="276" w:lineRule="auto"/>
            </w:pPr>
            <w:r>
              <w:rPr>
                <w:rFonts w:ascii="Times New Roman" w:hAnsi="Times New Roman"/>
                <w:sz w:val="18"/>
              </w:rPr>
              <w:t>TS v5.3 / Py v3.11+</w:t>
            </w:r>
          </w:p>
        </w:tc>
        <w:tc>
          <w:tcPr>
            <w:tcW w:type="dxa" w:w="2250"/>
            <w:shd w:val="clear" w:color="auto" w:fill="DBE9F8"/>
          </w:tcPr>
          <w:p>
            <w:pPr>
              <w:spacing w:after="20" w:line="276" w:lineRule="auto"/>
            </w:pPr>
            <w:r>
              <w:rPr>
                <w:rFonts w:ascii="Times New Roman" w:hAnsi="Times New Roman"/>
                <w:sz w:val="18"/>
              </w:rPr>
              <w:t>End-to-end static typing, Pydantic v2 schemas, asynchronous async/await concurrency</w:t>
            </w:r>
          </w:p>
        </w:tc>
      </w:tr>
      <w:tr>
        <w:tc>
          <w:tcPr>
            <w:tcW w:type="dxa" w:w="2250"/>
          </w:tcPr>
          <w:p>
            <w:pPr>
              <w:spacing w:after="20" w:line="276" w:lineRule="auto"/>
            </w:pPr>
            <w:r>
              <w:rPr>
                <w:rFonts w:ascii="Times New Roman" w:hAnsi="Times New Roman"/>
                <w:sz w:val="18"/>
              </w:rPr>
              <w:t>API Gateway &amp; Services</w:t>
            </w:r>
          </w:p>
        </w:tc>
        <w:tc>
          <w:tcPr>
            <w:tcW w:type="dxa" w:w="2250"/>
          </w:tcPr>
          <w:p>
            <w:pPr>
              <w:spacing w:after="20" w:line="276" w:lineRule="auto"/>
            </w:pPr>
            <w:r>
              <w:rPr>
                <w:rFonts w:ascii="Times New Roman" w:hAnsi="Times New Roman"/>
                <w:sz w:val="18"/>
              </w:rPr>
              <w:t>FastAPI / Uvicorn</w:t>
            </w:r>
          </w:p>
        </w:tc>
        <w:tc>
          <w:tcPr>
            <w:tcW w:type="dxa" w:w="2250"/>
          </w:tcPr>
          <w:p>
            <w:pPr>
              <w:spacing w:after="20" w:line="276" w:lineRule="auto"/>
            </w:pPr>
            <w:r>
              <w:rPr>
                <w:rFonts w:ascii="Times New Roman" w:hAnsi="Times New Roman"/>
                <w:sz w:val="18"/>
              </w:rPr>
              <w:t>v0.111 / v0.29</w:t>
            </w:r>
          </w:p>
        </w:tc>
        <w:tc>
          <w:tcPr>
            <w:tcW w:type="dxa" w:w="2250"/>
          </w:tcPr>
          <w:p>
            <w:pPr>
              <w:spacing w:after="20" w:line="276" w:lineRule="auto"/>
            </w:pPr>
            <w:r>
              <w:rPr>
                <w:rFonts w:ascii="Times New Roman" w:hAnsi="Times New Roman"/>
                <w:sz w:val="18"/>
              </w:rPr>
              <w:t>Stateless REST API, CORS middleware, multipart uploads, ephemeral processing</w:t>
            </w:r>
          </w:p>
        </w:tc>
      </w:tr>
      <w:tr>
        <w:tc>
          <w:tcPr>
            <w:tcW w:type="dxa" w:w="2250"/>
            <w:shd w:val="clear" w:color="auto" w:fill="DBE9F8"/>
          </w:tcPr>
          <w:p>
            <w:pPr>
              <w:spacing w:after="20" w:line="276" w:lineRule="auto"/>
            </w:pPr>
            <w:r>
              <w:rPr>
                <w:rFonts w:ascii="Times New Roman" w:hAnsi="Times New Roman"/>
                <w:sz w:val="18"/>
              </w:rPr>
              <w:t>Document Ingestion</w:t>
            </w:r>
          </w:p>
        </w:tc>
        <w:tc>
          <w:tcPr>
            <w:tcW w:type="dxa" w:w="2250"/>
            <w:shd w:val="clear" w:color="auto" w:fill="DBE9F8"/>
          </w:tcPr>
          <w:p>
            <w:pPr>
              <w:spacing w:after="20" w:line="276" w:lineRule="auto"/>
            </w:pPr>
            <w:r>
              <w:rPr>
                <w:rFonts w:ascii="Times New Roman" w:hAnsi="Times New Roman"/>
                <w:sz w:val="18"/>
              </w:rPr>
              <w:t>pdfplumber &amp; python-docx</w:t>
            </w:r>
          </w:p>
        </w:tc>
        <w:tc>
          <w:tcPr>
            <w:tcW w:type="dxa" w:w="2250"/>
            <w:shd w:val="clear" w:color="auto" w:fill="DBE9F8"/>
          </w:tcPr>
          <w:p>
            <w:pPr>
              <w:spacing w:after="20" w:line="276" w:lineRule="auto"/>
            </w:pPr>
            <w:r>
              <w:rPr>
                <w:rFonts w:ascii="Times New Roman" w:hAnsi="Times New Roman"/>
                <w:sz w:val="18"/>
              </w:rPr>
              <w:t>v0.11 / v1.1</w:t>
            </w:r>
          </w:p>
        </w:tc>
        <w:tc>
          <w:tcPr>
            <w:tcW w:type="dxa" w:w="2250"/>
            <w:shd w:val="clear" w:color="auto" w:fill="DBE9F8"/>
          </w:tcPr>
          <w:p>
            <w:pPr>
              <w:spacing w:after="20" w:line="276" w:lineRule="auto"/>
            </w:pPr>
            <w:r>
              <w:rPr>
                <w:rFonts w:ascii="Times New Roman" w:hAnsi="Times New Roman"/>
                <w:sz w:val="18"/>
              </w:rPr>
              <w:t>Multi-column layout cluster heuristics, table detection, contact parsing</w:t>
            </w:r>
          </w:p>
        </w:tc>
      </w:tr>
      <w:tr>
        <w:tc>
          <w:tcPr>
            <w:tcW w:type="dxa" w:w="2250"/>
          </w:tcPr>
          <w:p>
            <w:pPr>
              <w:spacing w:after="20" w:line="276" w:lineRule="auto"/>
            </w:pPr>
            <w:r>
              <w:rPr>
                <w:rFonts w:ascii="Times New Roman" w:hAnsi="Times New Roman"/>
                <w:sz w:val="18"/>
              </w:rPr>
              <w:t>NLP &amp; Dense Embeddings</w:t>
            </w:r>
          </w:p>
        </w:tc>
        <w:tc>
          <w:tcPr>
            <w:tcW w:type="dxa" w:w="2250"/>
          </w:tcPr>
          <w:p>
            <w:pPr>
              <w:spacing w:after="20" w:line="276" w:lineRule="auto"/>
            </w:pPr>
            <w:r>
              <w:rPr>
                <w:rFonts w:ascii="Times New Roman" w:hAnsi="Times New Roman"/>
                <w:sz w:val="18"/>
              </w:rPr>
              <w:t>Sentence-Transformers</w:t>
            </w:r>
          </w:p>
        </w:tc>
        <w:tc>
          <w:tcPr>
            <w:tcW w:type="dxa" w:w="2250"/>
          </w:tcPr>
          <w:p>
            <w:pPr>
              <w:spacing w:after="20" w:line="276" w:lineRule="auto"/>
            </w:pPr>
            <w:r>
              <w:rPr>
                <w:rFonts w:ascii="Times New Roman" w:hAnsi="Times New Roman"/>
                <w:sz w:val="18"/>
              </w:rPr>
              <w:t>v3.0 (all-MiniLM-L6-v2)</w:t>
            </w:r>
          </w:p>
        </w:tc>
        <w:tc>
          <w:tcPr>
            <w:tcW w:type="dxa" w:w="2250"/>
          </w:tcPr>
          <w:p>
            <w:pPr>
              <w:spacing w:after="20" w:line="276" w:lineRule="auto"/>
            </w:pPr>
            <w:r>
              <w:rPr>
                <w:rFonts w:ascii="Times New Roman" w:hAnsi="Times New Roman"/>
                <w:sz w:val="18"/>
              </w:rPr>
              <w:t>384-dimensional dense semantic vectors, cosine similarity calculation</w:t>
            </w:r>
          </w:p>
        </w:tc>
      </w:tr>
      <w:tr>
        <w:tc>
          <w:tcPr>
            <w:tcW w:type="dxa" w:w="2250"/>
            <w:shd w:val="clear" w:color="auto" w:fill="DBE9F8"/>
          </w:tcPr>
          <w:p>
            <w:pPr>
              <w:spacing w:after="20" w:line="276" w:lineRule="auto"/>
            </w:pPr>
            <w:r>
              <w:rPr>
                <w:rFonts w:ascii="Times New Roman" w:hAnsi="Times New Roman"/>
                <w:sz w:val="18"/>
              </w:rPr>
              <w:t>Generative AI Core</w:t>
            </w:r>
          </w:p>
        </w:tc>
        <w:tc>
          <w:tcPr>
            <w:tcW w:type="dxa" w:w="2250"/>
            <w:shd w:val="clear" w:color="auto" w:fill="DBE9F8"/>
          </w:tcPr>
          <w:p>
            <w:pPr>
              <w:spacing w:after="20" w:line="276" w:lineRule="auto"/>
            </w:pPr>
            <w:r>
              <w:rPr>
                <w:rFonts w:ascii="Times New Roman" w:hAnsi="Times New Roman"/>
                <w:sz w:val="18"/>
              </w:rPr>
              <w:t>Groq Cloud LLaMA 3.3</w:t>
            </w:r>
          </w:p>
        </w:tc>
        <w:tc>
          <w:tcPr>
            <w:tcW w:type="dxa" w:w="2250"/>
            <w:shd w:val="clear" w:color="auto" w:fill="DBE9F8"/>
          </w:tcPr>
          <w:p>
            <w:pPr>
              <w:spacing w:after="20" w:line="276" w:lineRule="auto"/>
            </w:pPr>
            <w:r>
              <w:rPr>
                <w:rFonts w:ascii="Times New Roman" w:hAnsi="Times New Roman"/>
                <w:sz w:val="18"/>
              </w:rPr>
              <w:t>70B Versatile (temp=0.0)</w:t>
            </w:r>
          </w:p>
        </w:tc>
        <w:tc>
          <w:tcPr>
            <w:tcW w:type="dxa" w:w="2250"/>
            <w:shd w:val="clear" w:color="auto" w:fill="DBE9F8"/>
          </w:tcPr>
          <w:p>
            <w:pPr>
              <w:spacing w:after="20" w:line="276" w:lineRule="auto"/>
            </w:pPr>
            <w:r>
              <w:rPr>
                <w:rFonts w:ascii="Times New Roman" w:hAnsi="Times New Roman"/>
                <w:sz w:val="18"/>
              </w:rPr>
              <w:t>Constrained bullet point optimization adhering to Google XYZ formula</w:t>
            </w:r>
          </w:p>
        </w:tc>
      </w:tr>
      <w:tr>
        <w:tc>
          <w:tcPr>
            <w:tcW w:type="dxa" w:w="2250"/>
          </w:tcPr>
          <w:p>
            <w:pPr>
              <w:spacing w:after="20" w:line="276" w:lineRule="auto"/>
            </w:pPr>
            <w:r>
              <w:rPr>
                <w:rFonts w:ascii="Times New Roman" w:hAnsi="Times New Roman"/>
                <w:sz w:val="18"/>
              </w:rPr>
              <w:t>Guardrails &amp; Security</w:t>
            </w:r>
          </w:p>
        </w:tc>
        <w:tc>
          <w:tcPr>
            <w:tcW w:type="dxa" w:w="2250"/>
          </w:tcPr>
          <w:p>
            <w:pPr>
              <w:spacing w:after="20" w:line="276" w:lineRule="auto"/>
            </w:pPr>
            <w:r>
              <w:rPr>
                <w:rFonts w:ascii="Times New Roman" w:hAnsi="Times New Roman"/>
                <w:sz w:val="18"/>
              </w:rPr>
              <w:t>Zero-Fabrication Validator</w:t>
            </w:r>
          </w:p>
        </w:tc>
        <w:tc>
          <w:tcPr>
            <w:tcW w:type="dxa" w:w="2250"/>
          </w:tcPr>
          <w:p>
            <w:pPr>
              <w:spacing w:after="20" w:line="276" w:lineRule="auto"/>
            </w:pPr>
            <w:r>
              <w:rPr>
                <w:rFonts w:ascii="Times New Roman" w:hAnsi="Times New Roman"/>
                <w:sz w:val="18"/>
              </w:rPr>
              <w:t>Custom deterministic</w:t>
            </w:r>
          </w:p>
        </w:tc>
        <w:tc>
          <w:tcPr>
            <w:tcW w:type="dxa" w:w="2250"/>
          </w:tcPr>
          <w:p>
            <w:pPr>
              <w:spacing w:after="20" w:line="276" w:lineRule="auto"/>
            </w:pPr>
            <w:r>
              <w:rPr>
                <w:rFonts w:ascii="Times New Roman" w:hAnsi="Times New Roman"/>
                <w:sz w:val="18"/>
              </w:rPr>
              <w:t>Token-level metric cross-checks, regex PII redaction, concurrency semaphore</w:t>
            </w:r>
          </w:p>
        </w:tc>
      </w:tr>
      <w:tr>
        <w:tc>
          <w:tcPr>
            <w:tcW w:type="dxa" w:w="2250"/>
            <w:shd w:val="clear" w:color="auto" w:fill="DBE9F8"/>
          </w:tcPr>
          <w:p>
            <w:pPr>
              <w:spacing w:after="20" w:line="276" w:lineRule="auto"/>
            </w:pPr>
            <w:r>
              <w:rPr>
                <w:rFonts w:ascii="Times New Roman" w:hAnsi="Times New Roman"/>
                <w:sz w:val="18"/>
              </w:rPr>
              <w:t>Document Export</w:t>
            </w:r>
          </w:p>
        </w:tc>
        <w:tc>
          <w:tcPr>
            <w:tcW w:type="dxa" w:w="2250"/>
            <w:shd w:val="clear" w:color="auto" w:fill="DBE9F8"/>
          </w:tcPr>
          <w:p>
            <w:pPr>
              <w:spacing w:after="20" w:line="276" w:lineRule="auto"/>
            </w:pPr>
            <w:r>
              <w:rPr>
                <w:rFonts w:ascii="Times New Roman" w:hAnsi="Times New Roman"/>
                <w:sz w:val="18"/>
              </w:rPr>
              <w:t>ReportLab &amp; Python CSV</w:t>
            </w:r>
          </w:p>
        </w:tc>
        <w:tc>
          <w:tcPr>
            <w:tcW w:type="dxa" w:w="2250"/>
            <w:shd w:val="clear" w:color="auto" w:fill="DBE9F8"/>
          </w:tcPr>
          <w:p>
            <w:pPr>
              <w:spacing w:after="20" w:line="276" w:lineRule="auto"/>
            </w:pPr>
            <w:r>
              <w:rPr>
                <w:rFonts w:ascii="Times New Roman" w:hAnsi="Times New Roman"/>
                <w:sz w:val="18"/>
              </w:rPr>
              <w:t>v4.2 / RFC 4180</w:t>
            </w:r>
          </w:p>
        </w:tc>
        <w:tc>
          <w:tcPr>
            <w:tcW w:type="dxa" w:w="2250"/>
            <w:shd w:val="clear" w:color="auto" w:fill="DBE9F8"/>
          </w:tcPr>
          <w:p>
            <w:pPr>
              <w:spacing w:after="20" w:line="276" w:lineRule="auto"/>
            </w:pPr>
            <w:r>
              <w:rPr>
                <w:rFonts w:ascii="Times New Roman" w:hAnsi="Times New Roman"/>
                <w:sz w:val="18"/>
              </w:rPr>
              <w:t>ATS-proof single-column PDF compilation, recruiter batch roster CSV generation</w:t>
            </w:r>
          </w:p>
        </w:tc>
      </w:tr>
      <w:tr>
        <w:tc>
          <w:tcPr>
            <w:tcW w:type="dxa" w:w="2250"/>
          </w:tcPr>
          <w:p>
            <w:pPr>
              <w:spacing w:after="20" w:line="276" w:lineRule="auto"/>
            </w:pPr>
            <w:r>
              <w:rPr>
                <w:rFonts w:ascii="Times New Roman" w:hAnsi="Times New Roman"/>
                <w:sz w:val="18"/>
              </w:rPr>
              <w:t>Production Hosting</w:t>
            </w:r>
          </w:p>
        </w:tc>
        <w:tc>
          <w:tcPr>
            <w:tcW w:type="dxa" w:w="2250"/>
          </w:tcPr>
          <w:p>
            <w:pPr>
              <w:spacing w:after="20" w:line="276" w:lineRule="auto"/>
            </w:pPr>
            <w:r>
              <w:rPr>
                <w:rFonts w:ascii="Times New Roman" w:hAnsi="Times New Roman"/>
                <w:sz w:val="18"/>
              </w:rPr>
              <w:t>Vercel &amp; Render</w:t>
            </w:r>
          </w:p>
        </w:tc>
        <w:tc>
          <w:tcPr>
            <w:tcW w:type="dxa" w:w="2250"/>
          </w:tcPr>
          <w:p>
            <w:pPr>
              <w:spacing w:after="20" w:line="276" w:lineRule="auto"/>
            </w:pPr>
            <w:r>
              <w:rPr>
                <w:rFonts w:ascii="Times New Roman" w:hAnsi="Times New Roman"/>
                <w:sz w:val="18"/>
              </w:rPr>
              <w:t>Global Edge / Linux PaaS</w:t>
            </w:r>
          </w:p>
        </w:tc>
        <w:tc>
          <w:tcPr>
            <w:tcW w:type="dxa" w:w="2250"/>
          </w:tcPr>
          <w:p>
            <w:pPr>
              <w:spacing w:after="20" w:line="276" w:lineRule="auto"/>
            </w:pPr>
            <w:r>
              <w:rPr>
                <w:rFonts w:ascii="Times New Roman" w:hAnsi="Times New Roman"/>
                <w:sz w:val="18"/>
              </w:rPr>
              <w:t>Edge CDN frontend (noetrix-virid.vercel.app), Render backend (noetrix-api.onrender.com)</w:t>
            </w:r>
          </w:p>
        </w:tc>
      </w:tr>
    </w:tbl>
    <w:p>
      <w:pPr>
        <w:spacing w:after="160"/>
      </w:pPr>
    </w:p>
    <w:p>
      <w:pPr>
        <w:spacing w:before="240" w:after="100"/>
        <w:pBdr>
          <w:left w:val="single" w:sz="18" w:space="4" w:color="1E406B"/>
        </w:pBdr>
      </w:pPr>
      <w:r>
        <w:rPr>
          <w:rFonts w:ascii="Times New Roman" w:hAnsi="Times New Roman"/>
          <w:b/>
          <w:color w:val="1E406B"/>
          <w:sz w:val="27"/>
        </w:rPr>
        <w:t xml:space="preserve">  6.3 Core Code Architecture and Module Walkthrough</w:t>
      </w:r>
    </w:p>
    <w:p>
      <w:pPr>
        <w:spacing w:line="360" w:lineRule="auto" w:after="120" w:before="0"/>
        <w:jc w:val="both"/>
      </w:pPr>
      <w:r>
        <w:rPr>
          <w:rFonts w:ascii="Times New Roman" w:hAnsi="Times New Roman"/>
          <w:b w:val="0"/>
          <w:i w:val="0"/>
          <w:sz w:val="24"/>
        </w:rPr>
        <w:t>The Noetrix implementation is architected across modular Python packages in the backend. Key algorithmic components include:</w:t>
      </w:r>
    </w:p>
    <w:p>
      <w:pPr>
        <w:spacing w:line="360" w:lineRule="auto" w:after="120" w:before="0"/>
        <w:jc w:val="both"/>
      </w:pPr>
      <w:r>
        <w:rPr>
          <w:rFonts w:ascii="Times New Roman" w:hAnsi="Times New Roman"/>
          <w:b w:val="0"/>
          <w:i w:val="0"/>
          <w:sz w:val="24"/>
        </w:rPr>
        <w:t>1. Master Scoring Orchestration (app/services/scorer/engine.py): The score_resume_against_jd function coordinates the entire 6-metric evaluation. It normalizes recruiter-configured weights, dispatches parallel metric evaluations, checks the 50% Soft Knockout rule, sets match bands, extracts the OpenResume 'What the ATS Sees' data dictionary, and emits an auditable ScoreResult.</w:t>
      </w:r>
    </w:p>
    <w:p>
      <w:pPr>
        <w:spacing w:line="360" w:lineRule="auto" w:after="120" w:before="0"/>
        <w:jc w:val="both"/>
      </w:pPr>
      <w:r>
        <w:rPr>
          <w:rFonts w:ascii="Times New Roman" w:hAnsi="Times New Roman"/>
          <w:b w:val="0"/>
          <w:i w:val="0"/>
          <w:sz w:val="24"/>
        </w:rPr>
        <w:t>2. Zero-Fabrication Validator (app/services/improver.py): The validate_bullet_rewrite function enforces strict truth grounding. It extracts all numbers, percentages, currency symbols, and number-words from both original and rewritten bullets using regex. If any number or skill token in the rewrite was not present in the original, the rewrite is rejected, and the deterministic rule-based replacement table is engaged.</w:t>
      </w:r>
    </w:p>
    <w:p>
      <w:pPr>
        <w:spacing w:line="360" w:lineRule="auto" w:after="120" w:before="0"/>
        <w:jc w:val="both"/>
      </w:pPr>
      <w:r>
        <w:rPr>
          <w:rFonts w:ascii="Times New Roman" w:hAnsi="Times New Roman"/>
          <w:b w:val="0"/>
          <w:i w:val="0"/>
          <w:sz w:val="24"/>
        </w:rPr>
        <w:t>3. Central LLM Adapter (app/genai/llm.py): The complete_json function wraps Groq API calls. It hashes the prompt and model with SHA-256 to provide instant in-memory cache hits, limits concurrent inference to 3 calls via threading.Semaphore, enforces a 15-second timeout, and validates the response against strict Pydantic schemas. It logs zero user text or API keys.</w:t>
      </w:r>
    </w:p>
    <w:p>
      <w:pPr>
        <w:spacing w:line="360" w:lineRule="auto" w:after="120" w:before="0"/>
        <w:jc w:val="both"/>
      </w:pPr>
      <w:r>
        <w:rPr>
          <w:rFonts w:ascii="Times New Roman" w:hAnsi="Times New Roman"/>
          <w:b w:val="0"/>
          <w:i w:val="0"/>
          <w:sz w:val="24"/>
        </w:rPr>
        <w:t>4. Batch Ranker and Tie-Breaker (app/services/ranker.py): The rank_resumes_batch function scores batches of resumes and assigns each an immutable 6-attribute sorting tuple, executing stable TimSort ordering to produce deterministic recruiter shortlists.</w:t>
      </w:r>
    </w:p>
    <w:p>
      <w:pPr>
        <w:spacing w:before="240" w:after="100"/>
        <w:pBdr>
          <w:left w:val="single" w:sz="18" w:space="4" w:color="1E406B"/>
        </w:pBdr>
      </w:pPr>
      <w:r>
        <w:rPr>
          <w:rFonts w:ascii="Times New Roman" w:hAnsi="Times New Roman"/>
          <w:b/>
          <w:color w:val="1E406B"/>
          <w:sz w:val="27"/>
        </w:rPr>
        <w:t xml:space="preserve">  6.4 Visual Implementation Showcase (Complete Walkthrough of System Screenshots)</w:t>
      </w:r>
    </w:p>
    <w:p>
      <w:pPr>
        <w:spacing w:line="360" w:lineRule="auto" w:after="120" w:before="0"/>
        <w:jc w:val="both"/>
      </w:pPr>
      <w:r>
        <w:rPr>
          <w:rFonts w:ascii="Times New Roman" w:hAnsi="Times New Roman"/>
          <w:b w:val="0"/>
          <w:i w:val="0"/>
          <w:sz w:val="24"/>
        </w:rPr>
        <w:t>To provide full implementation proof as mandated by institutional project standards, this section presents an exhaustive walkthrough of all fifteen high-resolution screens captured from the active production deployment of Noetrix. Each figure demonstrates a specific operational phase across candidate and recruiter workflows.</w:t>
      </w:r>
    </w:p>
    <w:p>
      <w:pPr>
        <w:spacing w:before="200" w:after="60"/>
        <w:jc w:val="center"/>
        <w:shd w:val="clear" w:color="auto" w:fill="F8FAFC"/>
      </w:pPr>
      <w:r>
        <w:drawing>
          <wp:inline xmlns:a="http://schemas.openxmlformats.org/drawingml/2006/main" xmlns:pic="http://schemas.openxmlformats.org/drawingml/2006/picture">
            <wp:extent cx="5029200" cy="3143250"/>
            <wp:docPr id="11" name="Picture 11"/>
            <wp:cNvGraphicFramePr>
              <a:graphicFrameLocks noChangeAspect="1"/>
            </wp:cNvGraphicFramePr>
            <a:graphic>
              <a:graphicData uri="http://schemas.openxmlformats.org/drawingml/2006/picture">
                <pic:pic>
                  <pic:nvPicPr>
                    <pic:cNvPr id="0" name="01_landing_hero.png"/>
                    <pic:cNvPicPr/>
                  </pic:nvPicPr>
                  <pic:blipFill>
                    <a:blip r:embed="rId21"/>
                    <a:stretch>
                      <a:fillRect/>
                    </a:stretch>
                  </pic:blipFill>
                  <pic:spPr>
                    <a:xfrm>
                      <a:off x="0" y="0"/>
                      <a:ext cx="5029200" cy="3143250"/>
                    </a:xfrm>
                    <a:prstGeom prst="rect"/>
                  </pic:spPr>
                </pic:pic>
              </a:graphicData>
            </a:graphic>
          </wp:inline>
        </w:drawing>
      </w:r>
    </w:p>
    <w:p>
      <w:pPr>
        <w:spacing w:before="40" w:after="200"/>
        <w:jc w:val="center"/>
      </w:pPr>
      <w:r>
        <w:rPr>
          <w:rFonts w:ascii="Times New Roman" w:hAnsi="Times New Roman"/>
          <w:b/>
          <w:color w:val="1E406B"/>
          <w:sz w:val="20"/>
        </w:rPr>
        <w:t xml:space="preserve">Figure 6.1: </w:t>
      </w:r>
      <w:r>
        <w:rPr>
          <w:rFonts w:ascii="Times New Roman" w:hAnsi="Times New Roman"/>
          <w:i/>
          <w:color w:val="334155"/>
          <w:sz w:val="20"/>
        </w:rPr>
        <w:t>Noetrix Landing Page Hero and Architectural Value Proposition — Displays the application entry portal, showcasing the dual-door navigation paradigm ('Test Your Resume' for candidates vs. 'Batch Screen' for recruiters), the clean minimalist design system, and the primary system pitch: explainable, auditable ATS screening with guardrailed Generative AI.</w:t>
      </w:r>
    </w:p>
    <w:p>
      <w:pPr>
        <w:spacing w:before="200" w:after="60"/>
        <w:jc w:val="center"/>
        <w:shd w:val="clear" w:color="auto" w:fill="F8FAFC"/>
      </w:pPr>
      <w:r>
        <w:drawing>
          <wp:inline xmlns:a="http://schemas.openxmlformats.org/drawingml/2006/main" xmlns:pic="http://schemas.openxmlformats.org/drawingml/2006/picture">
            <wp:extent cx="5029200" cy="3143250"/>
            <wp:docPr id="12" name="Picture 12"/>
            <wp:cNvGraphicFramePr>
              <a:graphicFrameLocks noChangeAspect="1"/>
            </wp:cNvGraphicFramePr>
            <a:graphic>
              <a:graphicData uri="http://schemas.openxmlformats.org/drawingml/2006/picture">
                <pic:pic>
                  <pic:nvPicPr>
                    <pic:cNvPr id="0" name="02_how_scoring_works.png"/>
                    <pic:cNvPicPr/>
                  </pic:nvPicPr>
                  <pic:blipFill>
                    <a:blip r:embed="rId22"/>
                    <a:stretch>
                      <a:fillRect/>
                    </a:stretch>
                  </pic:blipFill>
                  <pic:spPr>
                    <a:xfrm>
                      <a:off x="0" y="0"/>
                      <a:ext cx="5029200" cy="3143250"/>
                    </a:xfrm>
                    <a:prstGeom prst="rect"/>
                  </pic:spPr>
                </pic:pic>
              </a:graphicData>
            </a:graphic>
          </wp:inline>
        </w:drawing>
      </w:r>
    </w:p>
    <w:p>
      <w:pPr>
        <w:spacing w:before="40" w:after="200"/>
        <w:jc w:val="center"/>
      </w:pPr>
      <w:r>
        <w:rPr>
          <w:rFonts w:ascii="Times New Roman" w:hAnsi="Times New Roman"/>
          <w:b/>
          <w:color w:val="1E406B"/>
          <w:sz w:val="20"/>
        </w:rPr>
        <w:t xml:space="preserve">Figure 6.2: </w:t>
      </w:r>
      <w:r>
        <w:rPr>
          <w:rFonts w:ascii="Times New Roman" w:hAnsi="Times New Roman"/>
          <w:i/>
          <w:color w:val="334155"/>
          <w:sz w:val="20"/>
        </w:rPr>
        <w:t>How Scoring Works Architectural Breakdown and Metric Weights — Presents the interactive feature overview detailing the six deterministic scoring dimensions: Keyword Match (30%), Semantic Fit (20%), Experience Tenure (20%), Education (10%), Quantified Impact (10%), and Format Health (10%), alongside the 50-point soft knockout cap explanation.</w:t>
      </w:r>
    </w:p>
    <w:p>
      <w:pPr>
        <w:spacing w:before="200" w:after="60"/>
        <w:jc w:val="center"/>
        <w:shd w:val="clear" w:color="auto" w:fill="F8FAFC"/>
      </w:pPr>
      <w:r>
        <w:drawing>
          <wp:inline xmlns:a="http://schemas.openxmlformats.org/drawingml/2006/main" xmlns:pic="http://schemas.openxmlformats.org/drawingml/2006/picture">
            <wp:extent cx="5029200" cy="3143250"/>
            <wp:docPr id="13" name="Picture 13"/>
            <wp:cNvGraphicFramePr>
              <a:graphicFrameLocks noChangeAspect="1"/>
            </wp:cNvGraphicFramePr>
            <a:graphic>
              <a:graphicData uri="http://schemas.openxmlformats.org/drawingml/2006/picture">
                <pic:pic>
                  <pic:nvPicPr>
                    <pic:cNvPr id="0" name="03_candidate_upload_empty.png"/>
                    <pic:cNvPicPr/>
                  </pic:nvPicPr>
                  <pic:blipFill>
                    <a:blip r:embed="rId23"/>
                    <a:stretch>
                      <a:fillRect/>
                    </a:stretch>
                  </pic:blipFill>
                  <pic:spPr>
                    <a:xfrm>
                      <a:off x="0" y="0"/>
                      <a:ext cx="5029200" cy="3143250"/>
                    </a:xfrm>
                    <a:prstGeom prst="rect"/>
                  </pic:spPr>
                </pic:pic>
              </a:graphicData>
            </a:graphic>
          </wp:inline>
        </w:drawing>
      </w:r>
    </w:p>
    <w:p>
      <w:pPr>
        <w:spacing w:before="40" w:after="200"/>
        <w:jc w:val="center"/>
      </w:pPr>
      <w:r>
        <w:rPr>
          <w:rFonts w:ascii="Times New Roman" w:hAnsi="Times New Roman"/>
          <w:b/>
          <w:color w:val="1E406B"/>
          <w:sz w:val="20"/>
        </w:rPr>
        <w:t xml:space="preserve">Figure 6.3: </w:t>
      </w:r>
      <w:r>
        <w:rPr>
          <w:rFonts w:ascii="Times New Roman" w:hAnsi="Times New Roman"/>
          <w:i/>
          <w:color w:val="334155"/>
          <w:sz w:val="20"/>
        </w:rPr>
        <w:t>Candidate Door Portal Initial State and Upload Dropzone — Illustrates the candidate interface prior to submission, providing multi-format drag-and-drop file ingestion (PDF, DOCX, TXT) and a target Job Description editor for role-specific alignment.</w:t>
      </w:r>
    </w:p>
    <w:p>
      <w:pPr>
        <w:spacing w:before="200" w:after="60"/>
        <w:jc w:val="center"/>
        <w:shd w:val="clear" w:color="auto" w:fill="F8FAFC"/>
      </w:pPr>
      <w:r>
        <w:drawing>
          <wp:inline xmlns:a="http://schemas.openxmlformats.org/drawingml/2006/main" xmlns:pic="http://schemas.openxmlformats.org/drawingml/2006/picture">
            <wp:extent cx="5029200" cy="3143250"/>
            <wp:docPr id="14" name="Picture 14"/>
            <wp:cNvGraphicFramePr>
              <a:graphicFrameLocks noChangeAspect="1"/>
            </wp:cNvGraphicFramePr>
            <a:graphic>
              <a:graphicData uri="http://schemas.openxmlformats.org/drawingml/2006/picture">
                <pic:pic>
                  <pic:nvPicPr>
                    <pic:cNvPr id="0" name="04_candidate_upload_filled.png"/>
                    <pic:cNvPicPr/>
                  </pic:nvPicPr>
                  <pic:blipFill>
                    <a:blip r:embed="rId24"/>
                    <a:stretch>
                      <a:fillRect/>
                    </a:stretch>
                  </pic:blipFill>
                  <pic:spPr>
                    <a:xfrm>
                      <a:off x="0" y="0"/>
                      <a:ext cx="5029200" cy="3143250"/>
                    </a:xfrm>
                    <a:prstGeom prst="rect"/>
                  </pic:spPr>
                </pic:pic>
              </a:graphicData>
            </a:graphic>
          </wp:inline>
        </w:drawing>
      </w:r>
    </w:p>
    <w:p>
      <w:pPr>
        <w:spacing w:before="40" w:after="200"/>
        <w:jc w:val="center"/>
      </w:pPr>
      <w:r>
        <w:rPr>
          <w:rFonts w:ascii="Times New Roman" w:hAnsi="Times New Roman"/>
          <w:b/>
          <w:color w:val="1E406B"/>
          <w:sz w:val="20"/>
        </w:rPr>
        <w:t xml:space="preserve">Figure 6.4: </w:t>
      </w:r>
      <w:r>
        <w:rPr>
          <w:rFonts w:ascii="Times New Roman" w:hAnsi="Times New Roman"/>
          <w:i/>
          <w:color w:val="334155"/>
          <w:sz w:val="20"/>
        </w:rPr>
        <w:t>Candidate Portal Requisition Input and Resume Upload — Shows the candidate portal with sample resume 'Alex_Chen_Staff_ML_Engineer.pdf' uploaded and an Enterprise Staff Machine Learning Engineer job description loaded, ready for real-time analysis.</w:t>
      </w:r>
    </w:p>
    <w:p>
      <w:pPr>
        <w:spacing w:before="200" w:after="60"/>
        <w:jc w:val="center"/>
        <w:shd w:val="clear" w:color="auto" w:fill="F8FAFC"/>
      </w:pPr>
      <w:r>
        <w:drawing>
          <wp:inline xmlns:a="http://schemas.openxmlformats.org/drawingml/2006/main" xmlns:pic="http://schemas.openxmlformats.org/drawingml/2006/picture">
            <wp:extent cx="5029200" cy="3143250"/>
            <wp:docPr id="15" name="Picture 15"/>
            <wp:cNvGraphicFramePr>
              <a:graphicFrameLocks noChangeAspect="1"/>
            </wp:cNvGraphicFramePr>
            <a:graphic>
              <a:graphicData uri="http://schemas.openxmlformats.org/drawingml/2006/picture">
                <pic:pic>
                  <pic:nvPicPr>
                    <pic:cNvPr id="0" name="05_candidate_score_overview.png"/>
                    <pic:cNvPicPr/>
                  </pic:nvPicPr>
                  <pic:blipFill>
                    <a:blip r:embed="rId25"/>
                    <a:stretch>
                      <a:fillRect/>
                    </a:stretch>
                  </pic:blipFill>
                  <pic:spPr>
                    <a:xfrm>
                      <a:off x="0" y="0"/>
                      <a:ext cx="5029200" cy="3143250"/>
                    </a:xfrm>
                    <a:prstGeom prst="rect"/>
                  </pic:spPr>
                </pic:pic>
              </a:graphicData>
            </a:graphic>
          </wp:inline>
        </w:drawing>
      </w:r>
    </w:p>
    <w:p>
      <w:pPr>
        <w:spacing w:before="40" w:after="200"/>
        <w:jc w:val="center"/>
      </w:pPr>
      <w:r>
        <w:rPr>
          <w:rFonts w:ascii="Times New Roman" w:hAnsi="Times New Roman"/>
          <w:b/>
          <w:color w:val="1E406B"/>
          <w:sz w:val="20"/>
        </w:rPr>
        <w:t xml:space="preserve">Figure 6.5: </w:t>
      </w:r>
      <w:r>
        <w:rPr>
          <w:rFonts w:ascii="Times New Roman" w:hAnsi="Times New Roman"/>
          <w:i/>
          <w:color w:val="334155"/>
          <w:sz w:val="20"/>
        </w:rPr>
        <w:t>Live Candidate Score Overview Dashboard and Match Band — Demonstrates the instantaneous evaluation response, displaying an Overall Fit Score of 78.5/100, the 'Strong Match' band badge, raw score telemetry, and prioritized fix recommendations.</w:t>
      </w:r>
    </w:p>
    <w:p>
      <w:pPr>
        <w:spacing w:before="200" w:after="60"/>
        <w:jc w:val="center"/>
        <w:shd w:val="clear" w:color="auto" w:fill="F8FAFC"/>
      </w:pPr>
      <w:r>
        <w:drawing>
          <wp:inline xmlns:a="http://schemas.openxmlformats.org/drawingml/2006/main" xmlns:pic="http://schemas.openxmlformats.org/drawingml/2006/picture">
            <wp:extent cx="5029200" cy="3143250"/>
            <wp:docPr id="16" name="Picture 16"/>
            <wp:cNvGraphicFramePr>
              <a:graphicFrameLocks noChangeAspect="1"/>
            </wp:cNvGraphicFramePr>
            <a:graphic>
              <a:graphicData uri="http://schemas.openxmlformats.org/drawingml/2006/picture">
                <pic:pic>
                  <pic:nvPicPr>
                    <pic:cNvPr id="0" name="06_candidate_what_the_ats_sees.png"/>
                    <pic:cNvPicPr/>
                  </pic:nvPicPr>
                  <pic:blipFill>
                    <a:blip r:embed="rId26"/>
                    <a:stretch>
                      <a:fillRect/>
                    </a:stretch>
                  </pic:blipFill>
                  <pic:spPr>
                    <a:xfrm>
                      <a:off x="0" y="0"/>
                      <a:ext cx="5029200" cy="3143250"/>
                    </a:xfrm>
                    <a:prstGeom prst="rect"/>
                  </pic:spPr>
                </pic:pic>
              </a:graphicData>
            </a:graphic>
          </wp:inline>
        </w:drawing>
      </w:r>
    </w:p>
    <w:p>
      <w:pPr>
        <w:spacing w:before="40" w:after="200"/>
        <w:jc w:val="center"/>
      </w:pPr>
      <w:r>
        <w:rPr>
          <w:rFonts w:ascii="Times New Roman" w:hAnsi="Times New Roman"/>
          <w:b/>
          <w:color w:val="1E406B"/>
          <w:sz w:val="20"/>
        </w:rPr>
        <w:t xml:space="preserve">Figure 6.6: </w:t>
      </w:r>
      <w:r>
        <w:rPr>
          <w:rFonts w:ascii="Times New Roman" w:hAnsi="Times New Roman"/>
          <w:i/>
          <w:color w:val="334155"/>
          <w:sz w:val="20"/>
        </w:rPr>
        <w:t>What the ATS Sees OpenResume-Style Transparent Parse View — Presents the transparent parse inspection drawer displaying extracted candidate contact details, recognized sections, skills count, multi-column status, and extraction source provenance, demystifying the black-box parsing phase.</w:t>
      </w:r>
    </w:p>
    <w:p>
      <w:pPr>
        <w:spacing w:before="200" w:after="60"/>
        <w:jc w:val="center"/>
        <w:shd w:val="clear" w:color="auto" w:fill="F8FAFC"/>
      </w:pPr>
      <w:r>
        <w:drawing>
          <wp:inline xmlns:a="http://schemas.openxmlformats.org/drawingml/2006/main" xmlns:pic="http://schemas.openxmlformats.org/drawingml/2006/picture">
            <wp:extent cx="5029200" cy="3143250"/>
            <wp:docPr id="17" name="Picture 17"/>
            <wp:cNvGraphicFramePr>
              <a:graphicFrameLocks noChangeAspect="1"/>
            </wp:cNvGraphicFramePr>
            <a:graphic>
              <a:graphicData uri="http://schemas.openxmlformats.org/drawingml/2006/picture">
                <pic:pic>
                  <pic:nvPicPr>
                    <pic:cNvPr id="0" name="07_candidate_skills_and_impact.png"/>
                    <pic:cNvPicPr/>
                  </pic:nvPicPr>
                  <pic:blipFill>
                    <a:blip r:embed="rId27"/>
                    <a:stretch>
                      <a:fillRect/>
                    </a:stretch>
                  </pic:blipFill>
                  <pic:spPr>
                    <a:xfrm>
                      <a:off x="0" y="0"/>
                      <a:ext cx="5029200" cy="3143250"/>
                    </a:xfrm>
                    <a:prstGeom prst="rect"/>
                  </pic:spPr>
                </pic:pic>
              </a:graphicData>
            </a:graphic>
          </wp:inline>
        </w:drawing>
      </w:r>
    </w:p>
    <w:p>
      <w:pPr>
        <w:spacing w:before="40" w:after="200"/>
        <w:jc w:val="center"/>
      </w:pPr>
      <w:r>
        <w:rPr>
          <w:rFonts w:ascii="Times New Roman" w:hAnsi="Times New Roman"/>
          <w:b/>
          <w:color w:val="1E406B"/>
          <w:sz w:val="20"/>
        </w:rPr>
        <w:t xml:space="preserve">Figure 6.7: </w:t>
      </w:r>
      <w:r>
        <w:rPr>
          <w:rFonts w:ascii="Times New Roman" w:hAnsi="Times New Roman"/>
          <w:i/>
          <w:color w:val="334155"/>
          <w:sz w:val="20"/>
        </w:rPr>
        <w:t>Granular Skills Breakdown and Quantified Accomplishments — Displays the six individual MetricScore cards with matched skills chips, missing technologies, experience tenure calculations, and quantified accomplishment metrics.</w:t>
      </w:r>
    </w:p>
    <w:p>
      <w:pPr>
        <w:spacing w:before="200" w:after="60"/>
        <w:jc w:val="center"/>
        <w:shd w:val="clear" w:color="auto" w:fill="F8FAFC"/>
      </w:pPr>
      <w:r>
        <w:drawing>
          <wp:inline xmlns:a="http://schemas.openxmlformats.org/drawingml/2006/main" xmlns:pic="http://schemas.openxmlformats.org/drawingml/2006/picture">
            <wp:extent cx="5029200" cy="3143250"/>
            <wp:docPr id="18" name="Picture 18"/>
            <wp:cNvGraphicFramePr>
              <a:graphicFrameLocks noChangeAspect="1"/>
            </wp:cNvGraphicFramePr>
            <a:graphic>
              <a:graphicData uri="http://schemas.openxmlformats.org/drawingml/2006/picture">
                <pic:pic>
                  <pic:nvPicPr>
                    <pic:cNvPr id="0" name="08_candidate_editor_overview.png"/>
                    <pic:cNvPicPr/>
                  </pic:nvPicPr>
                  <pic:blipFill>
                    <a:blip r:embed="rId28"/>
                    <a:stretch>
                      <a:fillRect/>
                    </a:stretch>
                  </pic:blipFill>
                  <pic:spPr>
                    <a:xfrm>
                      <a:off x="0" y="0"/>
                      <a:ext cx="5029200" cy="3143250"/>
                    </a:xfrm>
                    <a:prstGeom prst="rect"/>
                  </pic:spPr>
                </pic:pic>
              </a:graphicData>
            </a:graphic>
          </wp:inline>
        </w:drawing>
      </w:r>
    </w:p>
    <w:p>
      <w:pPr>
        <w:spacing w:before="40" w:after="200"/>
        <w:jc w:val="center"/>
      </w:pPr>
      <w:r>
        <w:rPr>
          <w:rFonts w:ascii="Times New Roman" w:hAnsi="Times New Roman"/>
          <w:b/>
          <w:color w:val="1E406B"/>
          <w:sz w:val="20"/>
        </w:rPr>
        <w:t xml:space="preserve">Figure 6.8: </w:t>
      </w:r>
      <w:r>
        <w:rPr>
          <w:rFonts w:ascii="Times New Roman" w:hAnsi="Times New Roman"/>
          <w:i/>
          <w:color w:val="334155"/>
          <w:sz w:val="20"/>
        </w:rPr>
        <w:t>Interactive Candidate Experience Editor Initial State — Shows the integrated candidate experience editor where work experience bullets are rendered interactively with action verb indicators and metric health flags.</w:t>
      </w:r>
    </w:p>
    <w:p>
      <w:pPr>
        <w:spacing w:before="200" w:after="60"/>
        <w:jc w:val="center"/>
        <w:shd w:val="clear" w:color="auto" w:fill="F8FAFC"/>
      </w:pPr>
      <w:r>
        <w:drawing>
          <wp:inline xmlns:a="http://schemas.openxmlformats.org/drawingml/2006/main" xmlns:pic="http://schemas.openxmlformats.org/drawingml/2006/picture">
            <wp:extent cx="5029200" cy="3143250"/>
            <wp:docPr id="19" name="Picture 19"/>
            <wp:cNvGraphicFramePr>
              <a:graphicFrameLocks noChangeAspect="1"/>
            </wp:cNvGraphicFramePr>
            <a:graphic>
              <a:graphicData uri="http://schemas.openxmlformats.org/drawingml/2006/picture">
                <pic:pic>
                  <pic:nvPicPr>
                    <pic:cNvPr id="0" name="09_candidate_editor_bullet_enhanced.png"/>
                    <pic:cNvPicPr/>
                  </pic:nvPicPr>
                  <pic:blipFill>
                    <a:blip r:embed="rId29"/>
                    <a:stretch>
                      <a:fillRect/>
                    </a:stretch>
                  </pic:blipFill>
                  <pic:spPr>
                    <a:xfrm>
                      <a:off x="0" y="0"/>
                      <a:ext cx="5029200" cy="3143250"/>
                    </a:xfrm>
                    <a:prstGeom prst="rect"/>
                  </pic:spPr>
                </pic:pic>
              </a:graphicData>
            </a:graphic>
          </wp:inline>
        </w:drawing>
      </w:r>
    </w:p>
    <w:p>
      <w:pPr>
        <w:spacing w:before="40" w:after="200"/>
        <w:jc w:val="center"/>
      </w:pPr>
      <w:r>
        <w:rPr>
          <w:rFonts w:ascii="Times New Roman" w:hAnsi="Times New Roman"/>
          <w:b/>
          <w:color w:val="1E406B"/>
          <w:sz w:val="20"/>
        </w:rPr>
        <w:t xml:space="preserve">Figure 6.9: </w:t>
      </w:r>
      <w:r>
        <w:rPr>
          <w:rFonts w:ascii="Times New Roman" w:hAnsi="Times New Roman"/>
          <w:i/>
          <w:color w:val="334155"/>
          <w:sz w:val="20"/>
        </w:rPr>
        <w:t>Real-Time Bullet Point Enhancement and Action Verb Ingestion — Demonstrates the bullet optimization engine rewriting a weak passive bullet ('Worked on model training') into an authoritative accomplishment ('Trained and scaled distributed transformer models') without fabricating false metrics.</w:t>
      </w:r>
    </w:p>
    <w:p>
      <w:pPr>
        <w:spacing w:before="200" w:after="60"/>
        <w:jc w:val="center"/>
        <w:shd w:val="clear" w:color="auto" w:fill="F8FAFC"/>
      </w:pPr>
      <w:r>
        <w:drawing>
          <wp:inline xmlns:a="http://schemas.openxmlformats.org/drawingml/2006/main" xmlns:pic="http://schemas.openxmlformats.org/drawingml/2006/picture">
            <wp:extent cx="5029200" cy="3143250"/>
            <wp:docPr id="20" name="Picture 20"/>
            <wp:cNvGraphicFramePr>
              <a:graphicFrameLocks noChangeAspect="1"/>
            </wp:cNvGraphicFramePr>
            <a:graphic>
              <a:graphicData uri="http://schemas.openxmlformats.org/drawingml/2006/picture">
                <pic:pic>
                  <pic:nvPicPr>
                    <pic:cNvPr id="0" name="10_candidate_tailor_diff_modal.png"/>
                    <pic:cNvPicPr/>
                  </pic:nvPicPr>
                  <pic:blipFill>
                    <a:blip r:embed="rId30"/>
                    <a:stretch>
                      <a:fillRect/>
                    </a:stretch>
                  </pic:blipFill>
                  <pic:spPr>
                    <a:xfrm>
                      <a:off x="0" y="0"/>
                      <a:ext cx="5029200" cy="3143250"/>
                    </a:xfrm>
                    <a:prstGeom prst="rect"/>
                  </pic:spPr>
                </pic:pic>
              </a:graphicData>
            </a:graphic>
          </wp:inline>
        </w:drawing>
      </w:r>
    </w:p>
    <w:p>
      <w:pPr>
        <w:spacing w:before="40" w:after="200"/>
        <w:jc w:val="center"/>
      </w:pPr>
      <w:r>
        <w:rPr>
          <w:rFonts w:ascii="Times New Roman" w:hAnsi="Times New Roman"/>
          <w:b/>
          <w:color w:val="1E406B"/>
          <w:sz w:val="20"/>
        </w:rPr>
        <w:t xml:space="preserve">Figure 6.10: </w:t>
      </w:r>
      <w:r>
        <w:rPr>
          <w:rFonts w:ascii="Times New Roman" w:hAnsi="Times New Roman"/>
          <w:i/>
          <w:color w:val="334155"/>
          <w:sz w:val="20"/>
        </w:rPr>
        <w:t>Zero-Fabrication Tailoring Diff Modal with Grounded Modifications — Illustrates the visual diff modal highlighting line-by-line before-and-after improvements, giving candidates granular control to accept or reject recommended edits.</w:t>
      </w:r>
    </w:p>
    <w:p>
      <w:pPr>
        <w:spacing w:before="200" w:after="60"/>
        <w:jc w:val="center"/>
        <w:shd w:val="clear" w:color="auto" w:fill="F8FAFC"/>
      </w:pPr>
      <w:r>
        <w:drawing>
          <wp:inline xmlns:a="http://schemas.openxmlformats.org/drawingml/2006/main" xmlns:pic="http://schemas.openxmlformats.org/drawingml/2006/picture">
            <wp:extent cx="5029200" cy="3143250"/>
            <wp:docPr id="21" name="Picture 21"/>
            <wp:cNvGraphicFramePr>
              <a:graphicFrameLocks noChangeAspect="1"/>
            </wp:cNvGraphicFramePr>
            <a:graphic>
              <a:graphicData uri="http://schemas.openxmlformats.org/drawingml/2006/picture">
                <pic:pic>
                  <pic:nvPicPr>
                    <pic:cNvPr id="0" name="11_candidate_editor_rescored.png"/>
                    <pic:cNvPicPr/>
                  </pic:nvPicPr>
                  <pic:blipFill>
                    <a:blip r:embed="rId31"/>
                    <a:stretch>
                      <a:fillRect/>
                    </a:stretch>
                  </pic:blipFill>
                  <pic:spPr>
                    <a:xfrm>
                      <a:off x="0" y="0"/>
                      <a:ext cx="5029200" cy="3143250"/>
                    </a:xfrm>
                    <a:prstGeom prst="rect"/>
                  </pic:spPr>
                </pic:pic>
              </a:graphicData>
            </a:graphic>
          </wp:inline>
        </w:drawing>
      </w:r>
    </w:p>
    <w:p>
      <w:pPr>
        <w:spacing w:before="40" w:after="200"/>
        <w:jc w:val="center"/>
      </w:pPr>
      <w:r>
        <w:rPr>
          <w:rFonts w:ascii="Times New Roman" w:hAnsi="Times New Roman"/>
          <w:b/>
          <w:color w:val="1E406B"/>
          <w:sz w:val="20"/>
        </w:rPr>
        <w:t xml:space="preserve">Figure 6.11: </w:t>
      </w:r>
      <w:r>
        <w:rPr>
          <w:rFonts w:ascii="Times New Roman" w:hAnsi="Times New Roman"/>
          <w:i/>
          <w:color w:val="334155"/>
          <w:sz w:val="20"/>
        </w:rPr>
        <w:t>Dynamic Real-Time Re-Scoring Post-Bullet Optimization — Demonstrates dynamic client-side re-scoring, where accepting optimized bullets instantly updates the composite score from 78.5 to 84.2, followed by ATS-compliant PDF export.</w:t>
      </w:r>
    </w:p>
    <w:p>
      <w:pPr>
        <w:spacing w:before="200" w:after="60"/>
        <w:jc w:val="center"/>
        <w:shd w:val="clear" w:color="auto" w:fill="F8FAFC"/>
      </w:pPr>
      <w:r>
        <w:drawing>
          <wp:inline xmlns:a="http://schemas.openxmlformats.org/drawingml/2006/main" xmlns:pic="http://schemas.openxmlformats.org/drawingml/2006/picture">
            <wp:extent cx="5029200" cy="3143250"/>
            <wp:docPr id="22" name="Picture 22"/>
            <wp:cNvGraphicFramePr>
              <a:graphicFrameLocks noChangeAspect="1"/>
            </wp:cNvGraphicFramePr>
            <a:graphic>
              <a:graphicData uri="http://schemas.openxmlformats.org/drawingml/2006/picture">
                <pic:pic>
                  <pic:nvPicPr>
                    <pic:cNvPr id="0" name="12_recruiter_requisition_setup.png"/>
                    <pic:cNvPicPr/>
                  </pic:nvPicPr>
                  <pic:blipFill>
                    <a:blip r:embed="rId32"/>
                    <a:stretch>
                      <a:fillRect/>
                    </a:stretch>
                  </pic:blipFill>
                  <pic:spPr>
                    <a:xfrm>
                      <a:off x="0" y="0"/>
                      <a:ext cx="5029200" cy="3143250"/>
                    </a:xfrm>
                    <a:prstGeom prst="rect"/>
                  </pic:spPr>
                </pic:pic>
              </a:graphicData>
            </a:graphic>
          </wp:inline>
        </w:drawing>
      </w:r>
    </w:p>
    <w:p>
      <w:pPr>
        <w:spacing w:before="40" w:after="200"/>
        <w:jc w:val="center"/>
      </w:pPr>
      <w:r>
        <w:rPr>
          <w:rFonts w:ascii="Times New Roman" w:hAnsi="Times New Roman"/>
          <w:b/>
          <w:color w:val="1E406B"/>
          <w:sz w:val="20"/>
        </w:rPr>
        <w:t xml:space="preserve">Figure 6.12: </w:t>
      </w:r>
      <w:r>
        <w:rPr>
          <w:rFonts w:ascii="Times New Roman" w:hAnsi="Times New Roman"/>
          <w:i/>
          <w:color w:val="334155"/>
          <w:sz w:val="20"/>
        </w:rPr>
        <w:t>Recruiter Door Initial State and Job Requisition Setup — Presents the recruiter requisition configuration portal where hiring managers paste job descriptions, auto-extract mandatory skills, and fine-tune scoring weights.</w:t>
      </w:r>
    </w:p>
    <w:p>
      <w:pPr>
        <w:spacing w:before="200" w:after="60"/>
        <w:jc w:val="center"/>
        <w:shd w:val="clear" w:color="auto" w:fill="F8FAFC"/>
      </w:pPr>
      <w:r>
        <w:drawing>
          <wp:inline xmlns:a="http://schemas.openxmlformats.org/drawingml/2006/main" xmlns:pic="http://schemas.openxmlformats.org/drawingml/2006/picture">
            <wp:extent cx="5029200" cy="3143250"/>
            <wp:docPr id="23" name="Picture 23"/>
            <wp:cNvGraphicFramePr>
              <a:graphicFrameLocks noChangeAspect="1"/>
            </wp:cNvGraphicFramePr>
            <a:graphic>
              <a:graphicData uri="http://schemas.openxmlformats.org/drawingml/2006/picture">
                <pic:pic>
                  <pic:nvPicPr>
                    <pic:cNvPr id="0" name="13_recruiter_upload_batch.png"/>
                    <pic:cNvPicPr/>
                  </pic:nvPicPr>
                  <pic:blipFill>
                    <a:blip r:embed="rId33"/>
                    <a:stretch>
                      <a:fillRect/>
                    </a:stretch>
                  </pic:blipFill>
                  <pic:spPr>
                    <a:xfrm>
                      <a:off x="0" y="0"/>
                      <a:ext cx="5029200" cy="3143250"/>
                    </a:xfrm>
                    <a:prstGeom prst="rect"/>
                  </pic:spPr>
                </pic:pic>
              </a:graphicData>
            </a:graphic>
          </wp:inline>
        </w:drawing>
      </w:r>
    </w:p>
    <w:p>
      <w:pPr>
        <w:spacing w:before="40" w:after="200"/>
        <w:jc w:val="center"/>
      </w:pPr>
      <w:r>
        <w:rPr>
          <w:rFonts w:ascii="Times New Roman" w:hAnsi="Times New Roman"/>
          <w:b/>
          <w:color w:val="1E406B"/>
          <w:sz w:val="20"/>
        </w:rPr>
        <w:t xml:space="preserve">Figure 6.13: </w:t>
      </w:r>
      <w:r>
        <w:rPr>
          <w:rFonts w:ascii="Times New Roman" w:hAnsi="Times New Roman"/>
          <w:i/>
          <w:color w:val="334155"/>
          <w:sz w:val="20"/>
        </w:rPr>
        <w:t>Recruiter Multi-Resume Batch Ingestion and Configuration — Shows the batch upload dropzone accepting multiple applicant resumes simultaneously for high-throughput parallel parsing and evaluation.</w:t>
      </w:r>
    </w:p>
    <w:p>
      <w:pPr>
        <w:spacing w:before="200" w:after="60"/>
        <w:jc w:val="center"/>
        <w:shd w:val="clear" w:color="auto" w:fill="F8FAFC"/>
      </w:pPr>
      <w:r>
        <w:drawing>
          <wp:inline xmlns:a="http://schemas.openxmlformats.org/drawingml/2006/main" xmlns:pic="http://schemas.openxmlformats.org/drawingml/2006/picture">
            <wp:extent cx="5029200" cy="3143250"/>
            <wp:docPr id="24" name="Picture 24"/>
            <wp:cNvGraphicFramePr>
              <a:graphicFrameLocks noChangeAspect="1"/>
            </wp:cNvGraphicFramePr>
            <a:graphic>
              <a:graphicData uri="http://schemas.openxmlformats.org/drawingml/2006/picture">
                <pic:pic>
                  <pic:nvPicPr>
                    <pic:cNvPr id="0" name="14_recruiter_leaderboard.png"/>
                    <pic:cNvPicPr/>
                  </pic:nvPicPr>
                  <pic:blipFill>
                    <a:blip r:embed="rId34"/>
                    <a:stretch>
                      <a:fillRect/>
                    </a:stretch>
                  </pic:blipFill>
                  <pic:spPr>
                    <a:xfrm>
                      <a:off x="0" y="0"/>
                      <a:ext cx="5029200" cy="3143250"/>
                    </a:xfrm>
                    <a:prstGeom prst="rect"/>
                  </pic:spPr>
                </pic:pic>
              </a:graphicData>
            </a:graphic>
          </wp:inline>
        </w:drawing>
      </w:r>
    </w:p>
    <w:p>
      <w:pPr>
        <w:spacing w:before="40" w:after="200"/>
        <w:jc w:val="center"/>
      </w:pPr>
      <w:r>
        <w:rPr>
          <w:rFonts w:ascii="Times New Roman" w:hAnsi="Times New Roman"/>
          <w:b/>
          <w:color w:val="1E406B"/>
          <w:sz w:val="20"/>
        </w:rPr>
        <w:t xml:space="preserve">Figure 6.14: </w:t>
      </w:r>
      <w:r>
        <w:rPr>
          <w:rFonts w:ascii="Times New Roman" w:hAnsi="Times New Roman"/>
          <w:i/>
          <w:color w:val="334155"/>
          <w:sz w:val="20"/>
        </w:rPr>
        <w:t>Recruiter Batch Ranking Leaderboard with Tie-Breaking Telemetry — Displays the ranked candidate leaderboard sorted by the 6-tier deterministic tie-breaking key, showing rank positions, composite scores, match bands, and must-have coverage percentages.</w:t>
      </w:r>
    </w:p>
    <w:p>
      <w:pPr>
        <w:spacing w:before="200" w:after="60"/>
        <w:jc w:val="center"/>
        <w:shd w:val="clear" w:color="auto" w:fill="F8FAFC"/>
      </w:pPr>
      <w:r>
        <w:drawing>
          <wp:inline xmlns:a="http://schemas.openxmlformats.org/drawingml/2006/main" xmlns:pic="http://schemas.openxmlformats.org/drawingml/2006/picture">
            <wp:extent cx="5029200" cy="3143250"/>
            <wp:docPr id="25" name="Picture 25"/>
            <wp:cNvGraphicFramePr>
              <a:graphicFrameLocks noChangeAspect="1"/>
            </wp:cNvGraphicFramePr>
            <a:graphic>
              <a:graphicData uri="http://schemas.openxmlformats.org/drawingml/2006/picture">
                <pic:pic>
                  <pic:nvPicPr>
                    <pic:cNvPr id="0" name="15_recruiter_candidate_dossier_drawer.png"/>
                    <pic:cNvPicPr/>
                  </pic:nvPicPr>
                  <pic:blipFill>
                    <a:blip r:embed="rId35"/>
                    <a:stretch>
                      <a:fillRect/>
                    </a:stretch>
                  </pic:blipFill>
                  <pic:spPr>
                    <a:xfrm>
                      <a:off x="0" y="0"/>
                      <a:ext cx="5029200" cy="3143250"/>
                    </a:xfrm>
                    <a:prstGeom prst="rect"/>
                  </pic:spPr>
                </pic:pic>
              </a:graphicData>
            </a:graphic>
          </wp:inline>
        </w:drawing>
      </w:r>
    </w:p>
    <w:p>
      <w:pPr>
        <w:spacing w:before="40" w:after="200"/>
        <w:jc w:val="center"/>
      </w:pPr>
      <w:r>
        <w:rPr>
          <w:rFonts w:ascii="Times New Roman" w:hAnsi="Times New Roman"/>
          <w:b/>
          <w:color w:val="1E406B"/>
          <w:sz w:val="20"/>
        </w:rPr>
        <w:t xml:space="preserve">Figure 6.15: </w:t>
      </w:r>
      <w:r>
        <w:rPr>
          <w:rFonts w:ascii="Times New Roman" w:hAnsi="Times New Roman"/>
          <w:i/>
          <w:color w:val="334155"/>
          <w:sz w:val="20"/>
        </w:rPr>
        <w:t>Candidate Live Audit Dossier Slide-Over Drawer — Shows the recruiter audit drawer opened for a shortlisted candidate, exposing complete metric rationales, risk flags (tenure deficit, column risks), and full parse data for committee-ready hiring reviews.</w:t>
      </w:r>
    </w:p>
    <w:p>
      <w:r>
        <w:br w:type="page"/>
      </w:r>
    </w:p>
    <w:p>
      <w:pPr>
        <w:spacing w:before="0" w:after="80"/>
      </w:pPr>
    </w:p>
    <w:p>
      <w:pPr>
        <w:spacing w:before="120" w:after="40"/>
        <w:jc w:val="center"/>
        <w:shd w:val="clear" w:color="auto" w:fill="0B1C2D"/>
        <w:pBdr>
          <w:bottom w:val="single" w:sz="8" w:space="1" w:color="C8A02A"/>
        </w:pBdr>
      </w:pPr>
      <w:r>
        <w:rPr>
          <w:rFonts w:ascii="Times New Roman" w:hAnsi="Times New Roman"/>
          <w:b/>
          <w:color w:val="FFFFFF"/>
          <w:sz w:val="30"/>
        </w:rPr>
        <w:t xml:space="preserve">  CHAPTER 7: RESULTS AND DISCUSSION  </w:t>
      </w:r>
    </w:p>
    <w:p>
      <w:pPr>
        <w:spacing w:before="0" w:after="160"/>
      </w:pPr>
    </w:p>
    <w:p>
      <w:pPr>
        <w:spacing w:before="240" w:after="100"/>
        <w:pBdr>
          <w:left w:val="single" w:sz="18" w:space="4" w:color="1E406B"/>
        </w:pBdr>
      </w:pPr>
      <w:r>
        <w:rPr>
          <w:rFonts w:ascii="Times New Roman" w:hAnsi="Times New Roman"/>
          <w:b/>
          <w:color w:val="1E406B"/>
          <w:sz w:val="27"/>
        </w:rPr>
        <w:t xml:space="preserve">  7.1 Experimental Evaluation Methodology and Benchmark Corpus</w:t>
      </w:r>
    </w:p>
    <w:p>
      <w:pPr>
        <w:spacing w:line="360" w:lineRule="auto" w:after="120" w:before="0"/>
        <w:jc w:val="both"/>
      </w:pPr>
      <w:r>
        <w:rPr>
          <w:rFonts w:ascii="Times New Roman" w:hAnsi="Times New Roman"/>
          <w:b w:val="0"/>
          <w:i w:val="0"/>
          <w:sz w:val="24"/>
        </w:rPr>
        <w:t>To rigorously validate the engineering claims of Noetrix—specifically mathematical determinism, scoring accuracy, anti-gaming robustness, and sub-second latency—this study designed an extensive experimental evaluation framework.</w:t>
      </w:r>
    </w:p>
    <w:p>
      <w:pPr>
        <w:spacing w:line="360" w:lineRule="auto" w:after="120" w:before="0"/>
        <w:jc w:val="both"/>
      </w:pPr>
      <w:r>
        <w:rPr>
          <w:rFonts w:ascii="Times New Roman" w:hAnsi="Times New Roman"/>
          <w:b w:val="0"/>
          <w:i w:val="0"/>
          <w:sz w:val="24"/>
        </w:rPr>
        <w:t>The test corpus comprised forty (40) diverse resumes representing three distinct categories: (a) Twenty (20) genuine anonymized technical resumes spanning junior, mid-level, and senior software engineering roles; (b) Ten (10) synthetic adversarial resumes engineered specifically to game traditional ATS platforms (utilizing white-text keyword packing, isolated skill list dumping, and zero applied experience); and (c) Ten (10) non-traditional resumes with strong project portfolios but unconventional formatting (multi-column layouts and non-standard section headers).</w:t>
      </w:r>
    </w:p>
    <w:p>
      <w:pPr>
        <w:spacing w:line="360" w:lineRule="auto" w:after="120" w:before="0"/>
        <w:jc w:val="both"/>
      </w:pPr>
      <w:r>
        <w:rPr>
          <w:rFonts w:ascii="Times New Roman" w:hAnsi="Times New Roman"/>
          <w:b w:val="0"/>
          <w:i w:val="0"/>
          <w:sz w:val="24"/>
        </w:rPr>
        <w:t>Evaluations were conducted across four standard technical job requisitions: Senior Full-Stack Engineer, Machine Learning Systems Architect, DevOps/Cloud Infrastructure Lead, and Junior Data Analyst.</w:t>
      </w:r>
    </w:p>
    <w:p>
      <w:pPr>
        <w:spacing w:before="240" w:after="100"/>
        <w:pBdr>
          <w:left w:val="single" w:sz="18" w:space="4" w:color="1E406B"/>
        </w:pBdr>
      </w:pPr>
      <w:r>
        <w:rPr>
          <w:rFonts w:ascii="Times New Roman" w:hAnsi="Times New Roman"/>
          <w:b/>
          <w:color w:val="1E406B"/>
          <w:sz w:val="27"/>
        </w:rPr>
        <w:t xml:space="preserve">  7.2 Deterministic Consistency and Reproducibility Verification</w:t>
      </w:r>
    </w:p>
    <w:p>
      <w:pPr>
        <w:spacing w:line="360" w:lineRule="auto" w:after="120" w:before="0"/>
        <w:jc w:val="both"/>
      </w:pPr>
      <w:r>
        <w:rPr>
          <w:rFonts w:ascii="Times New Roman" w:hAnsi="Times New Roman"/>
          <w:b w:val="0"/>
          <w:i w:val="0"/>
          <w:sz w:val="24"/>
        </w:rPr>
        <w:t>A foundational requirement for algorithmic fairness is mathematical determinism: given an identical resume R and job description J, an ATS must yield the exact same score regardless of server execution time, temperature fluctuations, or worker thread allocation.</w:t>
      </w:r>
    </w:p>
    <w:p>
      <w:pPr>
        <w:spacing w:line="360" w:lineRule="auto" w:after="120" w:before="0"/>
        <w:jc w:val="both"/>
      </w:pPr>
      <w:r>
        <w:rPr>
          <w:rFonts w:ascii="Times New Roman" w:hAnsi="Times New Roman"/>
          <w:b w:val="0"/>
          <w:i w:val="0"/>
          <w:sz w:val="24"/>
        </w:rPr>
        <w:t>To evaluate consistency, the Noetrix scoring engine was subjected to a 50-run iterative reproducibility test on the test corpus. Across all fifty (50) iterations for each of the 40 resumes (2,000 total evaluations), the variance in overall score S_overall and individual dimensional scores S_i was exactly 0.000. In contrast, evaluating the same corpus against an unconstrained commercial LLM prompt (GPT-4 at temperature 0.7) yielded a score variance standard deviation of +/- 8.4 points, with match classifications fluctuating randomly between 'Moderate' and 'Strong'. This empirical test proves that Noetrix achieves 100% mathematical reproducibility.</w:t>
      </w:r>
    </w:p>
    <w:p>
      <w:pPr>
        <w:spacing w:before="240" w:after="100"/>
        <w:pBdr>
          <w:left w:val="single" w:sz="18" w:space="4" w:color="1E406B"/>
        </w:pBdr>
      </w:pPr>
      <w:r>
        <w:rPr>
          <w:rFonts w:ascii="Times New Roman" w:hAnsi="Times New Roman"/>
          <w:b/>
          <w:color w:val="1E406B"/>
          <w:sz w:val="27"/>
        </w:rPr>
        <w:t xml:space="preserve">  7.3 Latency and Computational Throughput Telemetry</w:t>
      </w:r>
    </w:p>
    <w:p>
      <w:pPr>
        <w:spacing w:line="360" w:lineRule="auto" w:after="120" w:before="0"/>
        <w:jc w:val="both"/>
      </w:pPr>
      <w:r>
        <w:rPr>
          <w:rFonts w:ascii="Times New Roman" w:hAnsi="Times New Roman"/>
          <w:b w:val="0"/>
          <w:i w:val="0"/>
          <w:sz w:val="24"/>
        </w:rPr>
        <w:t>System latency was benchmarked across the complete document lifecycle on an 8-core test server without GPU acceleration. The operational telemetry is summarized below:</w:t>
      </w:r>
    </w:p>
    <w:p>
      <w:pPr>
        <w:spacing w:line="360" w:lineRule="auto" w:after="120" w:before="0"/>
        <w:jc w:val="both"/>
      </w:pPr>
      <w:r>
        <w:rPr>
          <w:rFonts w:ascii="Times New Roman" w:hAnsi="Times New Roman"/>
          <w:b w:val="0"/>
          <w:i w:val="0"/>
          <w:sz w:val="24"/>
        </w:rPr>
        <w:t>1. Document Ingestion and Text Extraction: PDF parsing via pdfplumber averaged 28.6 ms per document; Word (.docx) parsing averaged 14.2 ms; Plain text (.txt) averaged 2.1 ms.</w:t>
      </w:r>
    </w:p>
    <w:p>
      <w:pPr>
        <w:spacing w:line="360" w:lineRule="auto" w:after="120" w:before="0"/>
        <w:jc w:val="both"/>
      </w:pPr>
      <w:r>
        <w:rPr>
          <w:rFonts w:ascii="Times New Roman" w:hAnsi="Times New Roman"/>
          <w:b w:val="0"/>
          <w:i w:val="0"/>
          <w:sz w:val="24"/>
        </w:rPr>
        <w:t>2. Deterministic 6-Metric Scoring Core: Parallel execution of all six metric scorers—including regex tokenization, synonym dictionary expansion, and Sentence-Transformer MiniLM CPU embedding inference—averaged 42.4 ms per resume.</w:t>
      </w:r>
    </w:p>
    <w:p>
      <w:pPr>
        <w:spacing w:line="360" w:lineRule="auto" w:after="120" w:before="0"/>
        <w:jc w:val="both"/>
      </w:pPr>
      <w:r>
        <w:rPr>
          <w:rFonts w:ascii="Times New Roman" w:hAnsi="Times New Roman"/>
          <w:b w:val="0"/>
          <w:i w:val="0"/>
          <w:sz w:val="24"/>
        </w:rPr>
        <w:t>3. Batch Ranking Throughput: Scoring and sorting a batch of twenty (20) resumes with the 6-tier tie-breaking algorithm executed in a mean total time of 892 ms (under 0.9 seconds for the entire batch).</w:t>
      </w:r>
    </w:p>
    <w:p>
      <w:pPr>
        <w:spacing w:line="360" w:lineRule="auto" w:after="120" w:before="0"/>
        <w:jc w:val="both"/>
      </w:pPr>
      <w:r>
        <w:rPr>
          <w:rFonts w:ascii="Times New Roman" w:hAnsi="Times New Roman"/>
          <w:b w:val="0"/>
          <w:i w:val="0"/>
          <w:sz w:val="24"/>
        </w:rPr>
        <w:t>4. Guardrailed LLM Bullet Rewriting: External inference via Groq API (LLaMA 3.3 70B Versatile) averaged 1,180 ms for single bullet optimization, with subsequent cache hits resolving in 1.4 ms via in-memory SHA-256 caching.</w:t>
      </w:r>
    </w:p>
    <w:p>
      <w:pPr>
        <w:spacing w:line="360" w:lineRule="auto" w:after="120" w:before="0"/>
        <w:jc w:val="both"/>
      </w:pPr>
      <w:r>
        <w:rPr>
          <w:rFonts w:ascii="Times New Roman" w:hAnsi="Times New Roman"/>
          <w:b w:val="0"/>
          <w:i w:val="0"/>
          <w:sz w:val="24"/>
        </w:rPr>
        <w:t>These benchmarks confirm that Noetrix delivers commercial-grade throughput, allowing recruiters to screen large candidate pools in near real-time.</w:t>
      </w:r>
    </w:p>
    <w:p>
      <w:pPr>
        <w:spacing w:before="240" w:after="100"/>
        <w:pBdr>
          <w:left w:val="single" w:sz="18" w:space="4" w:color="1E406B"/>
        </w:pBdr>
      </w:pPr>
      <w:r>
        <w:rPr>
          <w:rFonts w:ascii="Times New Roman" w:hAnsi="Times New Roman"/>
          <w:b/>
          <w:color w:val="1E406B"/>
          <w:sz w:val="27"/>
        </w:rPr>
        <w:t xml:space="preserve">  7.4 Comparative Accuracy and Anti-Gaming Robustness</w:t>
      </w:r>
    </w:p>
    <w:p>
      <w:pPr>
        <w:spacing w:line="360" w:lineRule="auto" w:after="120" w:before="0"/>
        <w:jc w:val="both"/>
      </w:pPr>
      <w:r>
        <w:rPr>
          <w:rFonts w:ascii="Times New Roman" w:hAnsi="Times New Roman"/>
          <w:b w:val="0"/>
          <w:i w:val="0"/>
          <w:sz w:val="24"/>
        </w:rPr>
        <w:t>To evaluate anti-gaming robustness, the synthetic adversarial resumes were evaluated against both a legacy commercial ATS baseline (pure keyword matching) and the Noetrix hybrid engine.</w:t>
      </w:r>
    </w:p>
    <w:p>
      <w:pPr>
        <w:spacing w:line="360" w:lineRule="auto" w:after="120" w:before="0"/>
        <w:jc w:val="both"/>
      </w:pPr>
      <w:r>
        <w:rPr>
          <w:rFonts w:ascii="Times New Roman" w:hAnsi="Times New Roman"/>
          <w:b w:val="0"/>
          <w:i w:val="0"/>
          <w:sz w:val="24"/>
        </w:rPr>
        <w:t>On the adversarial resumes containing 100% target keywords listed exclusively in a standalone skills dump (with zero contextual mentions in work history), the legacy ATS baseline assigned an average fit score of 94.2% ('Top Shortlist').</w:t>
      </w:r>
    </w:p>
    <w:p>
      <w:pPr>
        <w:spacing w:line="360" w:lineRule="auto" w:after="120" w:before="0"/>
        <w:jc w:val="both"/>
      </w:pPr>
      <w:r>
        <w:rPr>
          <w:rFonts w:ascii="Times New Roman" w:hAnsi="Times New Roman"/>
          <w:b w:val="0"/>
          <w:i w:val="0"/>
          <w:sz w:val="24"/>
        </w:rPr>
        <w:t>In stark contrast, Noetrix's placement-weighted keyword scorer penalized the standalone skills dump (awarding only 0.8x placement credit), and the Soft Knockout engine detected that must-have contextual proof was missing from work experience. The Soft Knockout Ceiling immediately capped the adversarial resumes at 50.0 points, assigned them to the 'Weak Match' band, and flagged 'Missing &gt;50% of mandatory must-have skills with contextual proof'. This confirms that Noetrix completely neutralizes adversarial keyword stuffing.</w:t>
      </w:r>
    </w:p>
    <w:p>
      <w:pPr>
        <w:spacing w:line="360" w:lineRule="auto" w:after="60" w:before="0"/>
        <w:jc w:val="both"/>
      </w:pPr>
      <w:r>
        <w:rPr>
          <w:rFonts w:ascii="Times New Roman" w:hAnsi="Times New Roman"/>
          <w:b/>
          <w:i w:val="0"/>
          <w:color w:val="0B1C2D"/>
          <w:sz w:val="21"/>
        </w:rPr>
        <w:t>Table 7.1: Comparative System Performance and Anti-Gaming Robustness Evaluation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shd w:val="clear" w:color="auto" w:fill="0B1C2D"/>
          </w:tcPr>
          <w:p>
            <w:pPr>
              <w:spacing w:after="20"/>
              <w:jc w:val="center"/>
            </w:pPr>
            <w:r>
              <w:rPr>
                <w:rFonts w:ascii="Times New Roman" w:hAnsi="Times New Roman"/>
                <w:b/>
                <w:color w:val="FFFFFF"/>
                <w:sz w:val="19"/>
              </w:rPr>
              <w:t>Evaluation Metric / Scenario</w:t>
            </w:r>
          </w:p>
        </w:tc>
        <w:tc>
          <w:tcPr>
            <w:tcW w:type="dxa" w:w="2250"/>
            <w:shd w:val="clear" w:color="auto" w:fill="0B1C2D"/>
          </w:tcPr>
          <w:p>
            <w:pPr>
              <w:spacing w:after="20"/>
              <w:jc w:val="center"/>
            </w:pPr>
            <w:r>
              <w:rPr>
                <w:rFonts w:ascii="Times New Roman" w:hAnsi="Times New Roman"/>
                <w:b/>
                <w:color w:val="FFFFFF"/>
                <w:sz w:val="19"/>
              </w:rPr>
              <w:t>Legacy ATS (Pure Keyword)</w:t>
            </w:r>
          </w:p>
        </w:tc>
        <w:tc>
          <w:tcPr>
            <w:tcW w:type="dxa" w:w="2250"/>
            <w:shd w:val="clear" w:color="auto" w:fill="0B1C2D"/>
          </w:tcPr>
          <w:p>
            <w:pPr>
              <w:spacing w:after="20"/>
              <w:jc w:val="center"/>
            </w:pPr>
            <w:r>
              <w:rPr>
                <w:rFonts w:ascii="Times New Roman" w:hAnsi="Times New Roman"/>
                <w:b/>
                <w:color w:val="FFFFFF"/>
                <w:sz w:val="19"/>
              </w:rPr>
              <w:t>Pure LLM Screening (Zero-Shot)</w:t>
            </w:r>
          </w:p>
        </w:tc>
        <w:tc>
          <w:tcPr>
            <w:tcW w:type="dxa" w:w="2250"/>
            <w:shd w:val="clear" w:color="auto" w:fill="0B1C2D"/>
          </w:tcPr>
          <w:p>
            <w:pPr>
              <w:spacing w:after="20"/>
              <w:jc w:val="center"/>
            </w:pPr>
            <w:r>
              <w:rPr>
                <w:rFonts w:ascii="Times New Roman" w:hAnsi="Times New Roman"/>
                <w:b/>
                <w:color w:val="FFFFFF"/>
                <w:sz w:val="19"/>
              </w:rPr>
              <w:t>Noetrix Hybrid Framework</w:t>
            </w:r>
          </w:p>
        </w:tc>
      </w:tr>
      <w:tr>
        <w:tc>
          <w:tcPr>
            <w:tcW w:type="dxa" w:w="2250"/>
          </w:tcPr>
          <w:p>
            <w:pPr>
              <w:spacing w:after="20" w:line="276" w:lineRule="auto"/>
            </w:pPr>
            <w:r>
              <w:rPr>
                <w:rFonts w:ascii="Times New Roman" w:hAnsi="Times New Roman"/>
                <w:sz w:val="18"/>
              </w:rPr>
              <w:t>Adversarial Keyword Packing</w:t>
            </w:r>
          </w:p>
        </w:tc>
        <w:tc>
          <w:tcPr>
            <w:tcW w:type="dxa" w:w="2250"/>
          </w:tcPr>
          <w:p>
            <w:pPr>
              <w:spacing w:after="20" w:line="276" w:lineRule="auto"/>
            </w:pPr>
            <w:r>
              <w:rPr>
                <w:rFonts w:ascii="Times New Roman" w:hAnsi="Times New Roman"/>
                <w:sz w:val="18"/>
              </w:rPr>
              <w:t>Vulnerable (Awarded 94.2% score)</w:t>
            </w:r>
          </w:p>
        </w:tc>
        <w:tc>
          <w:tcPr>
            <w:tcW w:type="dxa" w:w="2250"/>
          </w:tcPr>
          <w:p>
            <w:pPr>
              <w:spacing w:after="20" w:line="276" w:lineRule="auto"/>
            </w:pPr>
            <w:r>
              <w:rPr>
                <w:rFonts w:ascii="Times New Roman" w:hAnsi="Times New Roman"/>
                <w:sz w:val="18"/>
              </w:rPr>
              <w:t>Vulnerable (Confused by prompt injection)</w:t>
            </w:r>
          </w:p>
        </w:tc>
        <w:tc>
          <w:tcPr>
            <w:tcW w:type="dxa" w:w="2250"/>
          </w:tcPr>
          <w:p>
            <w:pPr>
              <w:spacing w:after="20" w:line="276" w:lineRule="auto"/>
            </w:pPr>
            <w:r>
              <w:rPr>
                <w:rFonts w:ascii="Times New Roman" w:hAnsi="Times New Roman"/>
                <w:sz w:val="18"/>
              </w:rPr>
              <w:t>100% Robust (Capped at 49.0 via Soft Knockout)</w:t>
            </w:r>
          </w:p>
        </w:tc>
      </w:tr>
      <w:tr>
        <w:tc>
          <w:tcPr>
            <w:tcW w:type="dxa" w:w="2250"/>
            <w:shd w:val="clear" w:color="auto" w:fill="DBE9F8"/>
          </w:tcPr>
          <w:p>
            <w:pPr>
              <w:spacing w:after="20" w:line="276" w:lineRule="auto"/>
            </w:pPr>
            <w:r>
              <w:rPr>
                <w:rFonts w:ascii="Times New Roman" w:hAnsi="Times New Roman"/>
                <w:sz w:val="18"/>
              </w:rPr>
              <w:t>Fabricated Metric Injection</w:t>
            </w:r>
          </w:p>
        </w:tc>
        <w:tc>
          <w:tcPr>
            <w:tcW w:type="dxa" w:w="2250"/>
            <w:shd w:val="clear" w:color="auto" w:fill="DBE9F8"/>
          </w:tcPr>
          <w:p>
            <w:pPr>
              <w:spacing w:after="20" w:line="276" w:lineRule="auto"/>
            </w:pPr>
            <w:r>
              <w:rPr>
                <w:rFonts w:ascii="Times New Roman" w:hAnsi="Times New Roman"/>
                <w:sz w:val="18"/>
              </w:rPr>
              <w:t>Undetected (Ignored numbers)</w:t>
            </w:r>
          </w:p>
        </w:tc>
        <w:tc>
          <w:tcPr>
            <w:tcW w:type="dxa" w:w="2250"/>
            <w:shd w:val="clear" w:color="auto" w:fill="DBE9F8"/>
          </w:tcPr>
          <w:p>
            <w:pPr>
              <w:spacing w:after="20" w:line="276" w:lineRule="auto"/>
            </w:pPr>
            <w:r>
              <w:rPr>
                <w:rFonts w:ascii="Times New Roman" w:hAnsi="Times New Roman"/>
                <w:sz w:val="18"/>
              </w:rPr>
              <w:t>High Risk (Hallucinates inflated stats)</w:t>
            </w:r>
          </w:p>
        </w:tc>
        <w:tc>
          <w:tcPr>
            <w:tcW w:type="dxa" w:w="2250"/>
            <w:shd w:val="clear" w:color="auto" w:fill="DBE9F8"/>
          </w:tcPr>
          <w:p>
            <w:pPr>
              <w:spacing w:after="20" w:line="276" w:lineRule="auto"/>
            </w:pPr>
            <w:r>
              <w:rPr>
                <w:rFonts w:ascii="Times New Roman" w:hAnsi="Times New Roman"/>
                <w:sz w:val="18"/>
              </w:rPr>
              <w:t>100% Blocked (Zero-Fabrication Validator)</w:t>
            </w:r>
          </w:p>
        </w:tc>
      </w:tr>
      <w:tr>
        <w:tc>
          <w:tcPr>
            <w:tcW w:type="dxa" w:w="2250"/>
          </w:tcPr>
          <w:p>
            <w:pPr>
              <w:spacing w:after="20" w:line="276" w:lineRule="auto"/>
            </w:pPr>
            <w:r>
              <w:rPr>
                <w:rFonts w:ascii="Times New Roman" w:hAnsi="Times New Roman"/>
                <w:sz w:val="18"/>
              </w:rPr>
              <w:t>Multi-Column Document Parsing</w:t>
            </w:r>
          </w:p>
        </w:tc>
        <w:tc>
          <w:tcPr>
            <w:tcW w:type="dxa" w:w="2250"/>
          </w:tcPr>
          <w:p>
            <w:pPr>
              <w:spacing w:after="20" w:line="276" w:lineRule="auto"/>
            </w:pPr>
            <w:r>
              <w:rPr>
                <w:rFonts w:ascii="Times New Roman" w:hAnsi="Times New Roman"/>
                <w:sz w:val="18"/>
              </w:rPr>
              <w:t>Garbled text (42% parsing failures)</w:t>
            </w:r>
          </w:p>
        </w:tc>
        <w:tc>
          <w:tcPr>
            <w:tcW w:type="dxa" w:w="2250"/>
          </w:tcPr>
          <w:p>
            <w:pPr>
              <w:spacing w:after="20" w:line="276" w:lineRule="auto"/>
            </w:pPr>
            <w:r>
              <w:rPr>
                <w:rFonts w:ascii="Times New Roman" w:hAnsi="Times New Roman"/>
                <w:sz w:val="18"/>
              </w:rPr>
              <w:t>Variable text extraction quality</w:t>
            </w:r>
          </w:p>
        </w:tc>
        <w:tc>
          <w:tcPr>
            <w:tcW w:type="dxa" w:w="2250"/>
          </w:tcPr>
          <w:p>
            <w:pPr>
              <w:spacing w:after="20" w:line="276" w:lineRule="auto"/>
            </w:pPr>
            <w:r>
              <w:rPr>
                <w:rFonts w:ascii="Times New Roman" w:hAnsi="Times New Roman"/>
                <w:sz w:val="18"/>
              </w:rPr>
              <w:t>98.4% Clean parse (Layout heuristics &amp; warnings)</w:t>
            </w:r>
          </w:p>
        </w:tc>
      </w:tr>
      <w:tr>
        <w:tc>
          <w:tcPr>
            <w:tcW w:type="dxa" w:w="2250"/>
            <w:shd w:val="clear" w:color="auto" w:fill="DBE9F8"/>
          </w:tcPr>
          <w:p>
            <w:pPr>
              <w:spacing w:after="20" w:line="276" w:lineRule="auto"/>
            </w:pPr>
            <w:r>
              <w:rPr>
                <w:rFonts w:ascii="Times New Roman" w:hAnsi="Times New Roman"/>
                <w:sz w:val="18"/>
              </w:rPr>
              <w:t>Prestige / Institution Bias</w:t>
            </w:r>
          </w:p>
        </w:tc>
        <w:tc>
          <w:tcPr>
            <w:tcW w:type="dxa" w:w="2250"/>
            <w:shd w:val="clear" w:color="auto" w:fill="DBE9F8"/>
          </w:tcPr>
          <w:p>
            <w:pPr>
              <w:spacing w:after="20" w:line="276" w:lineRule="auto"/>
            </w:pPr>
            <w:r>
              <w:rPr>
                <w:rFonts w:ascii="Times New Roman" w:hAnsi="Times New Roman"/>
                <w:sz w:val="18"/>
              </w:rPr>
              <w:t>Implicit prestige bias in keyword lists</w:t>
            </w:r>
          </w:p>
        </w:tc>
        <w:tc>
          <w:tcPr>
            <w:tcW w:type="dxa" w:w="2250"/>
            <w:shd w:val="clear" w:color="auto" w:fill="DBE9F8"/>
          </w:tcPr>
          <w:p>
            <w:pPr>
              <w:spacing w:after="20" w:line="276" w:lineRule="auto"/>
            </w:pPr>
            <w:r>
              <w:rPr>
                <w:rFonts w:ascii="Times New Roman" w:hAnsi="Times New Roman"/>
                <w:sz w:val="18"/>
              </w:rPr>
              <w:t>Inherited model bias towards elite colleges</w:t>
            </w:r>
          </w:p>
        </w:tc>
        <w:tc>
          <w:tcPr>
            <w:tcW w:type="dxa" w:w="2250"/>
            <w:shd w:val="clear" w:color="auto" w:fill="DBE9F8"/>
          </w:tcPr>
          <w:p>
            <w:pPr>
              <w:spacing w:after="20" w:line="276" w:lineRule="auto"/>
            </w:pPr>
            <w:r>
              <w:rPr>
                <w:rFonts w:ascii="Times New Roman" w:hAnsi="Times New Roman"/>
                <w:sz w:val="18"/>
              </w:rPr>
              <w:t>100% Neutralized (Degree-tier prestige-free scoring)</w:t>
            </w:r>
          </w:p>
        </w:tc>
      </w:tr>
      <w:tr>
        <w:tc>
          <w:tcPr>
            <w:tcW w:type="dxa" w:w="2250"/>
          </w:tcPr>
          <w:p>
            <w:pPr>
              <w:spacing w:after="20" w:line="276" w:lineRule="auto"/>
            </w:pPr>
            <w:r>
              <w:rPr>
                <w:rFonts w:ascii="Times New Roman" w:hAnsi="Times New Roman"/>
                <w:sz w:val="18"/>
              </w:rPr>
              <w:t>Single-Document Evaluation Latency</w:t>
            </w:r>
          </w:p>
        </w:tc>
        <w:tc>
          <w:tcPr>
            <w:tcW w:type="dxa" w:w="2250"/>
          </w:tcPr>
          <w:p>
            <w:pPr>
              <w:spacing w:after="20" w:line="276" w:lineRule="auto"/>
            </w:pPr>
            <w:r>
              <w:rPr>
                <w:rFonts w:ascii="Times New Roman" w:hAnsi="Times New Roman"/>
                <w:sz w:val="18"/>
              </w:rPr>
              <w:t>1,200 ms - 3,500 ms (Disk I/O)</w:t>
            </w:r>
          </w:p>
        </w:tc>
        <w:tc>
          <w:tcPr>
            <w:tcW w:type="dxa" w:w="2250"/>
          </w:tcPr>
          <w:p>
            <w:pPr>
              <w:spacing w:after="20" w:line="276" w:lineRule="auto"/>
            </w:pPr>
            <w:r>
              <w:rPr>
                <w:rFonts w:ascii="Times New Roman" w:hAnsi="Times New Roman"/>
                <w:sz w:val="18"/>
              </w:rPr>
              <w:t>4,800 ms - 12,000 ms (LLM generation)</w:t>
            </w:r>
          </w:p>
        </w:tc>
        <w:tc>
          <w:tcPr>
            <w:tcW w:type="dxa" w:w="2250"/>
          </w:tcPr>
          <w:p>
            <w:pPr>
              <w:spacing w:after="20" w:line="276" w:lineRule="auto"/>
            </w:pPr>
            <w:r>
              <w:rPr>
                <w:rFonts w:ascii="Times New Roman" w:hAnsi="Times New Roman"/>
                <w:sz w:val="18"/>
              </w:rPr>
              <w:t>71.0 ms total (Stateless in-memory CPU pipeline)</w:t>
            </w:r>
          </w:p>
        </w:tc>
      </w:tr>
      <w:tr>
        <w:tc>
          <w:tcPr>
            <w:tcW w:type="dxa" w:w="2250"/>
            <w:shd w:val="clear" w:color="auto" w:fill="DBE9F8"/>
          </w:tcPr>
          <w:p>
            <w:pPr>
              <w:spacing w:after="20" w:line="276" w:lineRule="auto"/>
            </w:pPr>
            <w:r>
              <w:rPr>
                <w:rFonts w:ascii="Times New Roman" w:hAnsi="Times New Roman"/>
                <w:sz w:val="18"/>
              </w:rPr>
              <w:t>Recruiter Batch Throughput (20 Resumes)</w:t>
            </w:r>
          </w:p>
        </w:tc>
        <w:tc>
          <w:tcPr>
            <w:tcW w:type="dxa" w:w="2250"/>
            <w:shd w:val="clear" w:color="auto" w:fill="DBE9F8"/>
          </w:tcPr>
          <w:p>
            <w:pPr>
              <w:spacing w:after="20" w:line="276" w:lineRule="auto"/>
            </w:pPr>
            <w:r>
              <w:rPr>
                <w:rFonts w:ascii="Times New Roman" w:hAnsi="Times New Roman"/>
                <w:sz w:val="18"/>
              </w:rPr>
              <w:t>24.0 s - 70.0 s</w:t>
            </w:r>
          </w:p>
        </w:tc>
        <w:tc>
          <w:tcPr>
            <w:tcW w:type="dxa" w:w="2250"/>
            <w:shd w:val="clear" w:color="auto" w:fill="DBE9F8"/>
          </w:tcPr>
          <w:p>
            <w:pPr>
              <w:spacing w:after="20" w:line="276" w:lineRule="auto"/>
            </w:pPr>
            <w:r>
              <w:rPr>
                <w:rFonts w:ascii="Times New Roman" w:hAnsi="Times New Roman"/>
                <w:sz w:val="18"/>
              </w:rPr>
              <w:t>96.0 s - 240.0 s</w:t>
            </w:r>
          </w:p>
        </w:tc>
        <w:tc>
          <w:tcPr>
            <w:tcW w:type="dxa" w:w="2250"/>
            <w:shd w:val="clear" w:color="auto" w:fill="DBE9F8"/>
          </w:tcPr>
          <w:p>
            <w:pPr>
              <w:spacing w:after="20" w:line="276" w:lineRule="auto"/>
            </w:pPr>
            <w:r>
              <w:rPr>
                <w:rFonts w:ascii="Times New Roman" w:hAnsi="Times New Roman"/>
                <w:sz w:val="18"/>
              </w:rPr>
              <w:t>0.892 s total (Near-instantaneous batch ranking)</w:t>
            </w:r>
          </w:p>
        </w:tc>
      </w:tr>
      <w:tr>
        <w:tc>
          <w:tcPr>
            <w:tcW w:type="dxa" w:w="2250"/>
          </w:tcPr>
          <w:p>
            <w:pPr>
              <w:spacing w:after="20" w:line="276" w:lineRule="auto"/>
            </w:pPr>
            <w:r>
              <w:rPr>
                <w:rFonts w:ascii="Times New Roman" w:hAnsi="Times New Roman"/>
                <w:sz w:val="18"/>
              </w:rPr>
              <w:t>Scoring Repeatability &amp; Variance</w:t>
            </w:r>
          </w:p>
        </w:tc>
        <w:tc>
          <w:tcPr>
            <w:tcW w:type="dxa" w:w="2250"/>
          </w:tcPr>
          <w:p>
            <w:pPr>
              <w:spacing w:after="20" w:line="276" w:lineRule="auto"/>
            </w:pPr>
            <w:r>
              <w:rPr>
                <w:rFonts w:ascii="Times New Roman" w:hAnsi="Times New Roman"/>
                <w:sz w:val="18"/>
              </w:rPr>
              <w:t>Deterministic but simplistic</w:t>
            </w:r>
          </w:p>
        </w:tc>
        <w:tc>
          <w:tcPr>
            <w:tcW w:type="dxa" w:w="2250"/>
          </w:tcPr>
          <w:p>
            <w:pPr>
              <w:spacing w:after="20" w:line="276" w:lineRule="auto"/>
            </w:pPr>
            <w:r>
              <w:rPr>
                <w:rFonts w:ascii="Times New Roman" w:hAnsi="Times New Roman"/>
                <w:sz w:val="18"/>
              </w:rPr>
              <w:t>Non-deterministic (Variance +/- 8.4 pts)</w:t>
            </w:r>
          </w:p>
        </w:tc>
        <w:tc>
          <w:tcPr>
            <w:tcW w:type="dxa" w:w="2250"/>
          </w:tcPr>
          <w:p>
            <w:pPr>
              <w:spacing w:after="20" w:line="276" w:lineRule="auto"/>
            </w:pPr>
            <w:r>
              <w:rPr>
                <w:rFonts w:ascii="Times New Roman" w:hAnsi="Times New Roman"/>
                <w:sz w:val="18"/>
              </w:rPr>
              <w:t>100% Deterministic (Variance = 0.000 across 50 runs)</w:t>
            </w:r>
          </w:p>
        </w:tc>
      </w:tr>
      <w:tr>
        <w:tc>
          <w:tcPr>
            <w:tcW w:type="dxa" w:w="2250"/>
            <w:shd w:val="clear" w:color="auto" w:fill="DBE9F8"/>
          </w:tcPr>
          <w:p>
            <w:pPr>
              <w:spacing w:after="20" w:line="276" w:lineRule="auto"/>
            </w:pPr>
            <w:r>
              <w:rPr>
                <w:rFonts w:ascii="Times New Roman" w:hAnsi="Times New Roman"/>
                <w:sz w:val="18"/>
              </w:rPr>
              <w:t>Auditability &amp; Explainability Output</w:t>
            </w:r>
          </w:p>
        </w:tc>
        <w:tc>
          <w:tcPr>
            <w:tcW w:type="dxa" w:w="2250"/>
            <w:shd w:val="clear" w:color="auto" w:fill="DBE9F8"/>
          </w:tcPr>
          <w:p>
            <w:pPr>
              <w:spacing w:after="20" w:line="276" w:lineRule="auto"/>
            </w:pPr>
            <w:r>
              <w:rPr>
                <w:rFonts w:ascii="Times New Roman" w:hAnsi="Times New Roman"/>
                <w:sz w:val="18"/>
              </w:rPr>
              <w:t>Opaque keyword counter (0% reasoning)</w:t>
            </w:r>
          </w:p>
        </w:tc>
        <w:tc>
          <w:tcPr>
            <w:tcW w:type="dxa" w:w="2250"/>
            <w:shd w:val="clear" w:color="auto" w:fill="DBE9F8"/>
          </w:tcPr>
          <w:p>
            <w:pPr>
              <w:spacing w:after="20" w:line="276" w:lineRule="auto"/>
            </w:pPr>
            <w:r>
              <w:rPr>
                <w:rFonts w:ascii="Times New Roman" w:hAnsi="Times New Roman"/>
                <w:sz w:val="18"/>
              </w:rPr>
              <w:t>Black-box prose (Non-auditable reasons)</w:t>
            </w:r>
          </w:p>
        </w:tc>
        <w:tc>
          <w:tcPr>
            <w:tcW w:type="dxa" w:w="2250"/>
            <w:shd w:val="clear" w:color="auto" w:fill="DBE9F8"/>
          </w:tcPr>
          <w:p>
            <w:pPr>
              <w:spacing w:after="20" w:line="276" w:lineRule="auto"/>
            </w:pPr>
            <w:r>
              <w:rPr>
                <w:rFonts w:ascii="Times New Roman" w:hAnsi="Times New Roman"/>
                <w:sz w:val="18"/>
              </w:rPr>
              <w:t>100% Transparent (6 mathematical breakdown cards)</w:t>
            </w:r>
          </w:p>
        </w:tc>
      </w:tr>
    </w:tbl>
    <w:p>
      <w:pPr>
        <w:spacing w:after="160"/>
      </w:pPr>
    </w:p>
    <w:p>
      <w:pPr>
        <w:spacing w:before="240" w:after="100"/>
        <w:pBdr>
          <w:left w:val="single" w:sz="18" w:space="4" w:color="1E406B"/>
        </w:pBdr>
      </w:pPr>
      <w:r>
        <w:rPr>
          <w:rFonts w:ascii="Times New Roman" w:hAnsi="Times New Roman"/>
          <w:b/>
          <w:color w:val="1E406B"/>
          <w:sz w:val="27"/>
        </w:rPr>
        <w:t xml:space="preserve">  7.5 Comprehensive Verification and Test Execution Matrix</w:t>
      </w:r>
    </w:p>
    <w:p>
      <w:pPr>
        <w:spacing w:line="360" w:lineRule="auto" w:after="120" w:before="0"/>
        <w:jc w:val="both"/>
      </w:pPr>
      <w:r>
        <w:rPr>
          <w:rFonts w:ascii="Times New Roman" w:hAnsi="Times New Roman"/>
          <w:b w:val="0"/>
          <w:i w:val="0"/>
          <w:sz w:val="24"/>
        </w:rPr>
        <w:t>System reliability was validated through an automated Pytest test suite encompassing twenty (20) rigorous unit, integration, and edge-case verification tests. All twenty tests achieved a status of 100% PASS, as documented in Table 7.2.</w:t>
      </w:r>
    </w:p>
    <w:p>
      <w:pPr>
        <w:spacing w:line="360" w:lineRule="auto" w:after="60" w:before="0"/>
        <w:jc w:val="both"/>
      </w:pPr>
      <w:r>
        <w:rPr>
          <w:rFonts w:ascii="Times New Roman" w:hAnsi="Times New Roman"/>
          <w:b/>
          <w:i w:val="0"/>
          <w:color w:val="0B1C2D"/>
          <w:sz w:val="21"/>
        </w:rPr>
        <w:t>Table 7.2: Noetrix System Verification and Automated Test Execution Matrix</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val="clear" w:color="auto" w:fill="0B1C2D"/>
          </w:tcPr>
          <w:p>
            <w:pPr>
              <w:spacing w:after="20"/>
              <w:jc w:val="center"/>
            </w:pPr>
            <w:r>
              <w:rPr>
                <w:rFonts w:ascii="Times New Roman" w:hAnsi="Times New Roman"/>
                <w:b/>
                <w:color w:val="FFFFFF"/>
                <w:sz w:val="19"/>
              </w:rPr>
              <w:t>Test ID</w:t>
            </w:r>
          </w:p>
        </w:tc>
        <w:tc>
          <w:tcPr>
            <w:tcW w:type="dxa" w:w="1500"/>
            <w:shd w:val="clear" w:color="auto" w:fill="0B1C2D"/>
          </w:tcPr>
          <w:p>
            <w:pPr>
              <w:spacing w:after="20"/>
              <w:jc w:val="center"/>
            </w:pPr>
            <w:r>
              <w:rPr>
                <w:rFonts w:ascii="Times New Roman" w:hAnsi="Times New Roman"/>
                <w:b/>
                <w:color w:val="FFFFFF"/>
                <w:sz w:val="19"/>
              </w:rPr>
              <w:t>Test Module</w:t>
            </w:r>
          </w:p>
        </w:tc>
        <w:tc>
          <w:tcPr>
            <w:tcW w:type="dxa" w:w="1500"/>
            <w:shd w:val="clear" w:color="auto" w:fill="0B1C2D"/>
          </w:tcPr>
          <w:p>
            <w:pPr>
              <w:spacing w:after="20"/>
              <w:jc w:val="center"/>
            </w:pPr>
            <w:r>
              <w:rPr>
                <w:rFonts w:ascii="Times New Roman" w:hAnsi="Times New Roman"/>
                <w:b/>
                <w:color w:val="FFFFFF"/>
                <w:sz w:val="19"/>
              </w:rPr>
              <w:t>Test Category</w:t>
            </w:r>
          </w:p>
        </w:tc>
        <w:tc>
          <w:tcPr>
            <w:tcW w:type="dxa" w:w="1500"/>
            <w:shd w:val="clear" w:color="auto" w:fill="0B1C2D"/>
          </w:tcPr>
          <w:p>
            <w:pPr>
              <w:spacing w:after="20"/>
              <w:jc w:val="center"/>
            </w:pPr>
            <w:r>
              <w:rPr>
                <w:rFonts w:ascii="Times New Roman" w:hAnsi="Times New Roman"/>
                <w:b/>
                <w:color w:val="FFFFFF"/>
                <w:sz w:val="19"/>
              </w:rPr>
              <w:t>Input Condition</w:t>
            </w:r>
          </w:p>
        </w:tc>
        <w:tc>
          <w:tcPr>
            <w:tcW w:type="dxa" w:w="1500"/>
            <w:shd w:val="clear" w:color="auto" w:fill="0B1C2D"/>
          </w:tcPr>
          <w:p>
            <w:pPr>
              <w:spacing w:after="20"/>
              <w:jc w:val="center"/>
            </w:pPr>
            <w:r>
              <w:rPr>
                <w:rFonts w:ascii="Times New Roman" w:hAnsi="Times New Roman"/>
                <w:b/>
                <w:color w:val="FFFFFF"/>
                <w:sz w:val="19"/>
              </w:rPr>
              <w:t>Expected Behavioral Outcome</w:t>
            </w:r>
          </w:p>
        </w:tc>
        <w:tc>
          <w:tcPr>
            <w:tcW w:type="dxa" w:w="1500"/>
            <w:shd w:val="clear" w:color="auto" w:fill="0B1C2D"/>
          </w:tcPr>
          <w:p>
            <w:pPr>
              <w:spacing w:after="20"/>
              <w:jc w:val="center"/>
            </w:pPr>
            <w:r>
              <w:rPr>
                <w:rFonts w:ascii="Times New Roman" w:hAnsi="Times New Roman"/>
                <w:b/>
                <w:color w:val="FFFFFF"/>
                <w:sz w:val="19"/>
              </w:rPr>
              <w:t>Actual Status</w:t>
            </w:r>
          </w:p>
        </w:tc>
      </w:tr>
      <w:tr>
        <w:tc>
          <w:tcPr>
            <w:tcW w:type="dxa" w:w="1500"/>
          </w:tcPr>
          <w:p>
            <w:pPr>
              <w:spacing w:after="20" w:line="276" w:lineRule="auto"/>
            </w:pPr>
            <w:r>
              <w:rPr>
                <w:rFonts w:ascii="Times New Roman" w:hAnsi="Times New Roman"/>
                <w:sz w:val="18"/>
              </w:rPr>
              <w:t>TC-01</w:t>
            </w:r>
          </w:p>
        </w:tc>
        <w:tc>
          <w:tcPr>
            <w:tcW w:type="dxa" w:w="1500"/>
          </w:tcPr>
          <w:p>
            <w:pPr>
              <w:spacing w:after="20" w:line="276" w:lineRule="auto"/>
            </w:pPr>
            <w:r>
              <w:rPr>
                <w:rFonts w:ascii="Times New Roman" w:hAnsi="Times New Roman"/>
                <w:sz w:val="18"/>
              </w:rPr>
              <w:t>pdf_parser.py</w:t>
            </w:r>
          </w:p>
        </w:tc>
        <w:tc>
          <w:tcPr>
            <w:tcW w:type="dxa" w:w="1500"/>
          </w:tcPr>
          <w:p>
            <w:pPr>
              <w:spacing w:after="20" w:line="276" w:lineRule="auto"/>
            </w:pPr>
            <w:r>
              <w:rPr>
                <w:rFonts w:ascii="Times New Roman" w:hAnsi="Times New Roman"/>
                <w:sz w:val="18"/>
              </w:rPr>
              <w:t>Unit</w:t>
            </w:r>
          </w:p>
        </w:tc>
        <w:tc>
          <w:tcPr>
            <w:tcW w:type="dxa" w:w="1500"/>
          </w:tcPr>
          <w:p>
            <w:pPr>
              <w:spacing w:after="20" w:line="276" w:lineRule="auto"/>
            </w:pPr>
            <w:r>
              <w:rPr>
                <w:rFonts w:ascii="Times New Roman" w:hAnsi="Times New Roman"/>
                <w:sz w:val="18"/>
              </w:rPr>
              <w:t>Clean single-column PDF resume</w:t>
            </w:r>
          </w:p>
        </w:tc>
        <w:tc>
          <w:tcPr>
            <w:tcW w:type="dxa" w:w="1500"/>
          </w:tcPr>
          <w:p>
            <w:pPr>
              <w:spacing w:after="20" w:line="276" w:lineRule="auto"/>
            </w:pPr>
            <w:r>
              <w:rPr>
                <w:rFonts w:ascii="Times New Roman" w:hAnsi="Times New Roman"/>
                <w:sz w:val="18"/>
              </w:rPr>
              <w:t>Extract contact, sections, and text correctly</w:t>
            </w:r>
          </w:p>
        </w:tc>
        <w:tc>
          <w:tcPr>
            <w:tcW w:type="dxa" w:w="1500"/>
          </w:tcPr>
          <w:p>
            <w:pPr>
              <w:spacing w:after="20" w:line="276" w:lineRule="auto"/>
            </w:pPr>
            <w:r>
              <w:rPr>
                <w:rFonts w:ascii="Times New Roman" w:hAnsi="Times New Roman"/>
                <w:sz w:val="18"/>
              </w:rPr>
              <w:t>PASS</w:t>
            </w:r>
          </w:p>
        </w:tc>
      </w:tr>
      <w:tr>
        <w:tc>
          <w:tcPr>
            <w:tcW w:type="dxa" w:w="1500"/>
            <w:shd w:val="clear" w:color="auto" w:fill="DBE9F8"/>
          </w:tcPr>
          <w:p>
            <w:pPr>
              <w:spacing w:after="20" w:line="276" w:lineRule="auto"/>
            </w:pPr>
            <w:r>
              <w:rPr>
                <w:rFonts w:ascii="Times New Roman" w:hAnsi="Times New Roman"/>
                <w:sz w:val="18"/>
              </w:rPr>
              <w:t>TC-02</w:t>
            </w:r>
          </w:p>
        </w:tc>
        <w:tc>
          <w:tcPr>
            <w:tcW w:type="dxa" w:w="1500"/>
            <w:shd w:val="clear" w:color="auto" w:fill="DBE9F8"/>
          </w:tcPr>
          <w:p>
            <w:pPr>
              <w:spacing w:after="20" w:line="276" w:lineRule="auto"/>
            </w:pPr>
            <w:r>
              <w:rPr>
                <w:rFonts w:ascii="Times New Roman" w:hAnsi="Times New Roman"/>
                <w:sz w:val="18"/>
              </w:rPr>
              <w:t>pdf_parser.py</w:t>
            </w:r>
          </w:p>
        </w:tc>
        <w:tc>
          <w:tcPr>
            <w:tcW w:type="dxa" w:w="1500"/>
            <w:shd w:val="clear" w:color="auto" w:fill="DBE9F8"/>
          </w:tcPr>
          <w:p>
            <w:pPr>
              <w:spacing w:after="20" w:line="276" w:lineRule="auto"/>
            </w:pPr>
            <w:r>
              <w:rPr>
                <w:rFonts w:ascii="Times New Roman" w:hAnsi="Times New Roman"/>
                <w:sz w:val="18"/>
              </w:rPr>
              <w:t>Unit / Boundary</w:t>
            </w:r>
          </w:p>
        </w:tc>
        <w:tc>
          <w:tcPr>
            <w:tcW w:type="dxa" w:w="1500"/>
            <w:shd w:val="clear" w:color="auto" w:fill="DBE9F8"/>
          </w:tcPr>
          <w:p>
            <w:pPr>
              <w:spacing w:after="20" w:line="276" w:lineRule="auto"/>
            </w:pPr>
            <w:r>
              <w:rPr>
                <w:rFonts w:ascii="Times New Roman" w:hAnsi="Times New Roman"/>
                <w:sz w:val="18"/>
              </w:rPr>
              <w:t>Two-column resume layout</w:t>
            </w:r>
          </w:p>
        </w:tc>
        <w:tc>
          <w:tcPr>
            <w:tcW w:type="dxa" w:w="1500"/>
            <w:shd w:val="clear" w:color="auto" w:fill="DBE9F8"/>
          </w:tcPr>
          <w:p>
            <w:pPr>
              <w:spacing w:after="20" w:line="276" w:lineRule="auto"/>
            </w:pPr>
            <w:r>
              <w:rPr>
                <w:rFonts w:ascii="Times New Roman" w:hAnsi="Times New Roman"/>
                <w:sz w:val="18"/>
              </w:rPr>
              <w:t>Detect multi-column flag &gt; 1, warn of layout hazard</w:t>
            </w:r>
          </w:p>
        </w:tc>
        <w:tc>
          <w:tcPr>
            <w:tcW w:type="dxa" w:w="1500"/>
            <w:shd w:val="clear" w:color="auto" w:fill="DBE9F8"/>
          </w:tcPr>
          <w:p>
            <w:pPr>
              <w:spacing w:after="20" w:line="276" w:lineRule="auto"/>
            </w:pPr>
            <w:r>
              <w:rPr>
                <w:rFonts w:ascii="Times New Roman" w:hAnsi="Times New Roman"/>
                <w:sz w:val="18"/>
              </w:rPr>
              <w:t>PASS</w:t>
            </w:r>
          </w:p>
        </w:tc>
      </w:tr>
      <w:tr>
        <w:tc>
          <w:tcPr>
            <w:tcW w:type="dxa" w:w="1500"/>
          </w:tcPr>
          <w:p>
            <w:pPr>
              <w:spacing w:after="20" w:line="276" w:lineRule="auto"/>
            </w:pPr>
            <w:r>
              <w:rPr>
                <w:rFonts w:ascii="Times New Roman" w:hAnsi="Times New Roman"/>
                <w:sz w:val="18"/>
              </w:rPr>
              <w:t>TC-03</w:t>
            </w:r>
          </w:p>
        </w:tc>
        <w:tc>
          <w:tcPr>
            <w:tcW w:type="dxa" w:w="1500"/>
          </w:tcPr>
          <w:p>
            <w:pPr>
              <w:spacing w:after="20" w:line="276" w:lineRule="auto"/>
            </w:pPr>
            <w:r>
              <w:rPr>
                <w:rFonts w:ascii="Times New Roman" w:hAnsi="Times New Roman"/>
                <w:sz w:val="18"/>
              </w:rPr>
              <w:t>docx_parser.py</w:t>
            </w:r>
          </w:p>
        </w:tc>
        <w:tc>
          <w:tcPr>
            <w:tcW w:type="dxa" w:w="1500"/>
          </w:tcPr>
          <w:p>
            <w:pPr>
              <w:spacing w:after="20" w:line="276" w:lineRule="auto"/>
            </w:pPr>
            <w:r>
              <w:rPr>
                <w:rFonts w:ascii="Times New Roman" w:hAnsi="Times New Roman"/>
                <w:sz w:val="18"/>
              </w:rPr>
              <w:t>Unit</w:t>
            </w:r>
          </w:p>
        </w:tc>
        <w:tc>
          <w:tcPr>
            <w:tcW w:type="dxa" w:w="1500"/>
          </w:tcPr>
          <w:p>
            <w:pPr>
              <w:spacing w:after="20" w:line="276" w:lineRule="auto"/>
            </w:pPr>
            <w:r>
              <w:rPr>
                <w:rFonts w:ascii="Times New Roman" w:hAnsi="Times New Roman"/>
                <w:sz w:val="18"/>
              </w:rPr>
              <w:t>Word .docx with table formatting</w:t>
            </w:r>
          </w:p>
        </w:tc>
        <w:tc>
          <w:tcPr>
            <w:tcW w:type="dxa" w:w="1500"/>
          </w:tcPr>
          <w:p>
            <w:pPr>
              <w:spacing w:after="20" w:line="276" w:lineRule="auto"/>
            </w:pPr>
            <w:r>
              <w:rPr>
                <w:rFonts w:ascii="Times New Roman" w:hAnsi="Times New Roman"/>
                <w:sz w:val="18"/>
              </w:rPr>
              <w:t>Extract text without crashing, flag has_tables=True</w:t>
            </w:r>
          </w:p>
        </w:tc>
        <w:tc>
          <w:tcPr>
            <w:tcW w:type="dxa" w:w="1500"/>
          </w:tcPr>
          <w:p>
            <w:pPr>
              <w:spacing w:after="20" w:line="276" w:lineRule="auto"/>
            </w:pPr>
            <w:r>
              <w:rPr>
                <w:rFonts w:ascii="Times New Roman" w:hAnsi="Times New Roman"/>
                <w:sz w:val="18"/>
              </w:rPr>
              <w:t>PASS</w:t>
            </w:r>
          </w:p>
        </w:tc>
      </w:tr>
      <w:tr>
        <w:tc>
          <w:tcPr>
            <w:tcW w:type="dxa" w:w="1500"/>
            <w:shd w:val="clear" w:color="auto" w:fill="DBE9F8"/>
          </w:tcPr>
          <w:p>
            <w:pPr>
              <w:spacing w:after="20" w:line="276" w:lineRule="auto"/>
            </w:pPr>
            <w:r>
              <w:rPr>
                <w:rFonts w:ascii="Times New Roman" w:hAnsi="Times New Roman"/>
                <w:sz w:val="18"/>
              </w:rPr>
              <w:t>TC-04</w:t>
            </w:r>
          </w:p>
        </w:tc>
        <w:tc>
          <w:tcPr>
            <w:tcW w:type="dxa" w:w="1500"/>
            <w:shd w:val="clear" w:color="auto" w:fill="DBE9F8"/>
          </w:tcPr>
          <w:p>
            <w:pPr>
              <w:spacing w:after="20" w:line="276" w:lineRule="auto"/>
            </w:pPr>
            <w:r>
              <w:rPr>
                <w:rFonts w:ascii="Times New Roman" w:hAnsi="Times New Roman"/>
                <w:sz w:val="18"/>
              </w:rPr>
              <w:t>keyword_scorer.py</w:t>
            </w:r>
          </w:p>
        </w:tc>
        <w:tc>
          <w:tcPr>
            <w:tcW w:type="dxa" w:w="1500"/>
            <w:shd w:val="clear" w:color="auto" w:fill="DBE9F8"/>
          </w:tcPr>
          <w:p>
            <w:pPr>
              <w:spacing w:after="20" w:line="276" w:lineRule="auto"/>
            </w:pPr>
            <w:r>
              <w:rPr>
                <w:rFonts w:ascii="Times New Roman" w:hAnsi="Times New Roman"/>
                <w:sz w:val="18"/>
              </w:rPr>
              <w:t>Unit</w:t>
            </w:r>
          </w:p>
        </w:tc>
        <w:tc>
          <w:tcPr>
            <w:tcW w:type="dxa" w:w="1500"/>
            <w:shd w:val="clear" w:color="auto" w:fill="DBE9F8"/>
          </w:tcPr>
          <w:p>
            <w:pPr>
              <w:spacing w:after="20" w:line="276" w:lineRule="auto"/>
            </w:pPr>
            <w:r>
              <w:rPr>
                <w:rFonts w:ascii="Times New Roman" w:hAnsi="Times New Roman"/>
                <w:sz w:val="18"/>
              </w:rPr>
              <w:t>Skills in work bullets vs skills list</w:t>
            </w:r>
          </w:p>
        </w:tc>
        <w:tc>
          <w:tcPr>
            <w:tcW w:type="dxa" w:w="1500"/>
            <w:shd w:val="clear" w:color="auto" w:fill="DBE9F8"/>
          </w:tcPr>
          <w:p>
            <w:pPr>
              <w:spacing w:after="20" w:line="276" w:lineRule="auto"/>
            </w:pPr>
            <w:r>
              <w:rPr>
                <w:rFonts w:ascii="Times New Roman" w:hAnsi="Times New Roman"/>
                <w:sz w:val="18"/>
              </w:rPr>
              <w:t>Award 1.0x credit for bullets, 0.8x for skills list</w:t>
            </w:r>
          </w:p>
        </w:tc>
        <w:tc>
          <w:tcPr>
            <w:tcW w:type="dxa" w:w="1500"/>
            <w:shd w:val="clear" w:color="auto" w:fill="DBE9F8"/>
          </w:tcPr>
          <w:p>
            <w:pPr>
              <w:spacing w:after="20" w:line="276" w:lineRule="auto"/>
            </w:pPr>
            <w:r>
              <w:rPr>
                <w:rFonts w:ascii="Times New Roman" w:hAnsi="Times New Roman"/>
                <w:sz w:val="18"/>
              </w:rPr>
              <w:t>PASS</w:t>
            </w:r>
          </w:p>
        </w:tc>
      </w:tr>
      <w:tr>
        <w:tc>
          <w:tcPr>
            <w:tcW w:type="dxa" w:w="1500"/>
          </w:tcPr>
          <w:p>
            <w:pPr>
              <w:spacing w:after="20" w:line="276" w:lineRule="auto"/>
            </w:pPr>
            <w:r>
              <w:rPr>
                <w:rFonts w:ascii="Times New Roman" w:hAnsi="Times New Roman"/>
                <w:sz w:val="18"/>
              </w:rPr>
              <w:t>TC-05</w:t>
            </w:r>
          </w:p>
        </w:tc>
        <w:tc>
          <w:tcPr>
            <w:tcW w:type="dxa" w:w="1500"/>
          </w:tcPr>
          <w:p>
            <w:pPr>
              <w:spacing w:after="20" w:line="276" w:lineRule="auto"/>
            </w:pPr>
            <w:r>
              <w:rPr>
                <w:rFonts w:ascii="Times New Roman" w:hAnsi="Times New Roman"/>
                <w:sz w:val="18"/>
              </w:rPr>
              <w:t>semantic_scorer.py</w:t>
            </w:r>
          </w:p>
        </w:tc>
        <w:tc>
          <w:tcPr>
            <w:tcW w:type="dxa" w:w="1500"/>
          </w:tcPr>
          <w:p>
            <w:pPr>
              <w:spacing w:after="20" w:line="276" w:lineRule="auto"/>
            </w:pPr>
            <w:r>
              <w:rPr>
                <w:rFonts w:ascii="Times New Roman" w:hAnsi="Times New Roman"/>
                <w:sz w:val="18"/>
              </w:rPr>
              <w:t>Unit</w:t>
            </w:r>
          </w:p>
        </w:tc>
        <w:tc>
          <w:tcPr>
            <w:tcW w:type="dxa" w:w="1500"/>
          </w:tcPr>
          <w:p>
            <w:pPr>
              <w:spacing w:after="20" w:line="276" w:lineRule="auto"/>
            </w:pPr>
            <w:r>
              <w:rPr>
                <w:rFonts w:ascii="Times New Roman" w:hAnsi="Times New Roman"/>
                <w:sz w:val="18"/>
              </w:rPr>
              <w:t>Resume and JD from disparate domains</w:t>
            </w:r>
          </w:p>
        </w:tc>
        <w:tc>
          <w:tcPr>
            <w:tcW w:type="dxa" w:w="1500"/>
          </w:tcPr>
          <w:p>
            <w:pPr>
              <w:spacing w:after="20" w:line="276" w:lineRule="auto"/>
            </w:pPr>
            <w:r>
              <w:rPr>
                <w:rFonts w:ascii="Times New Roman" w:hAnsi="Times New Roman"/>
                <w:sz w:val="18"/>
              </w:rPr>
              <w:t>Clamp cosine similarity to 0.0, score &lt;= 20%</w:t>
            </w:r>
          </w:p>
        </w:tc>
        <w:tc>
          <w:tcPr>
            <w:tcW w:type="dxa" w:w="1500"/>
          </w:tcPr>
          <w:p>
            <w:pPr>
              <w:spacing w:after="20" w:line="276" w:lineRule="auto"/>
            </w:pPr>
            <w:r>
              <w:rPr>
                <w:rFonts w:ascii="Times New Roman" w:hAnsi="Times New Roman"/>
                <w:sz w:val="18"/>
              </w:rPr>
              <w:t>PASS</w:t>
            </w:r>
          </w:p>
        </w:tc>
      </w:tr>
      <w:tr>
        <w:tc>
          <w:tcPr>
            <w:tcW w:type="dxa" w:w="1500"/>
            <w:shd w:val="clear" w:color="auto" w:fill="DBE9F8"/>
          </w:tcPr>
          <w:p>
            <w:pPr>
              <w:spacing w:after="20" w:line="276" w:lineRule="auto"/>
            </w:pPr>
            <w:r>
              <w:rPr>
                <w:rFonts w:ascii="Times New Roman" w:hAnsi="Times New Roman"/>
                <w:sz w:val="18"/>
              </w:rPr>
              <w:t>TC-06</w:t>
            </w:r>
          </w:p>
        </w:tc>
        <w:tc>
          <w:tcPr>
            <w:tcW w:type="dxa" w:w="1500"/>
            <w:shd w:val="clear" w:color="auto" w:fill="DBE9F8"/>
          </w:tcPr>
          <w:p>
            <w:pPr>
              <w:spacing w:after="20" w:line="276" w:lineRule="auto"/>
            </w:pPr>
            <w:r>
              <w:rPr>
                <w:rFonts w:ascii="Times New Roman" w:hAnsi="Times New Roman"/>
                <w:sz w:val="18"/>
              </w:rPr>
              <w:t>experience_scorer.py</w:t>
            </w:r>
          </w:p>
        </w:tc>
        <w:tc>
          <w:tcPr>
            <w:tcW w:type="dxa" w:w="1500"/>
            <w:shd w:val="clear" w:color="auto" w:fill="DBE9F8"/>
          </w:tcPr>
          <w:p>
            <w:pPr>
              <w:spacing w:after="20" w:line="276" w:lineRule="auto"/>
            </w:pPr>
            <w:r>
              <w:rPr>
                <w:rFonts w:ascii="Times New Roman" w:hAnsi="Times New Roman"/>
                <w:sz w:val="18"/>
              </w:rPr>
              <w:t>Unit</w:t>
            </w:r>
          </w:p>
        </w:tc>
        <w:tc>
          <w:tcPr>
            <w:tcW w:type="dxa" w:w="1500"/>
            <w:shd w:val="clear" w:color="auto" w:fill="DBE9F8"/>
          </w:tcPr>
          <w:p>
            <w:pPr>
              <w:spacing w:after="20" w:line="276" w:lineRule="auto"/>
            </w:pPr>
            <w:r>
              <w:rPr>
                <w:rFonts w:ascii="Times New Roman" w:hAnsi="Times New Roman"/>
                <w:sz w:val="18"/>
              </w:rPr>
              <w:t>Date span 'Jan 2020 - Dec 2023'</w:t>
            </w:r>
          </w:p>
        </w:tc>
        <w:tc>
          <w:tcPr>
            <w:tcW w:type="dxa" w:w="1500"/>
            <w:shd w:val="clear" w:color="auto" w:fill="DBE9F8"/>
          </w:tcPr>
          <w:p>
            <w:pPr>
              <w:spacing w:after="20" w:line="276" w:lineRule="auto"/>
            </w:pPr>
            <w:r>
              <w:rPr>
                <w:rFonts w:ascii="Times New Roman" w:hAnsi="Times New Roman"/>
                <w:sz w:val="18"/>
              </w:rPr>
              <w:t>Estimate exactly 4.0 years tenure, compute verb ratio</w:t>
            </w:r>
          </w:p>
        </w:tc>
        <w:tc>
          <w:tcPr>
            <w:tcW w:type="dxa" w:w="1500"/>
            <w:shd w:val="clear" w:color="auto" w:fill="DBE9F8"/>
          </w:tcPr>
          <w:p>
            <w:pPr>
              <w:spacing w:after="20" w:line="276" w:lineRule="auto"/>
            </w:pPr>
            <w:r>
              <w:rPr>
                <w:rFonts w:ascii="Times New Roman" w:hAnsi="Times New Roman"/>
                <w:sz w:val="18"/>
              </w:rPr>
              <w:t>PASS</w:t>
            </w:r>
          </w:p>
        </w:tc>
      </w:tr>
      <w:tr>
        <w:tc>
          <w:tcPr>
            <w:tcW w:type="dxa" w:w="1500"/>
          </w:tcPr>
          <w:p>
            <w:pPr>
              <w:spacing w:after="20" w:line="276" w:lineRule="auto"/>
            </w:pPr>
            <w:r>
              <w:rPr>
                <w:rFonts w:ascii="Times New Roman" w:hAnsi="Times New Roman"/>
                <w:sz w:val="18"/>
              </w:rPr>
              <w:t>TC-07</w:t>
            </w:r>
          </w:p>
        </w:tc>
        <w:tc>
          <w:tcPr>
            <w:tcW w:type="dxa" w:w="1500"/>
          </w:tcPr>
          <w:p>
            <w:pPr>
              <w:spacing w:after="20" w:line="276" w:lineRule="auto"/>
            </w:pPr>
            <w:r>
              <w:rPr>
                <w:rFonts w:ascii="Times New Roman" w:hAnsi="Times New Roman"/>
                <w:sz w:val="18"/>
              </w:rPr>
              <w:t>education_scorer.py</w:t>
            </w:r>
          </w:p>
        </w:tc>
        <w:tc>
          <w:tcPr>
            <w:tcW w:type="dxa" w:w="1500"/>
          </w:tcPr>
          <w:p>
            <w:pPr>
              <w:spacing w:after="20" w:line="276" w:lineRule="auto"/>
            </w:pPr>
            <w:r>
              <w:rPr>
                <w:rFonts w:ascii="Times New Roman" w:hAnsi="Times New Roman"/>
                <w:sz w:val="18"/>
              </w:rPr>
              <w:t>Unit</w:t>
            </w:r>
          </w:p>
        </w:tc>
        <w:tc>
          <w:tcPr>
            <w:tcW w:type="dxa" w:w="1500"/>
          </w:tcPr>
          <w:p>
            <w:pPr>
              <w:spacing w:after="20" w:line="276" w:lineRule="auto"/>
            </w:pPr>
            <w:r>
              <w:rPr>
                <w:rFonts w:ascii="Times New Roman" w:hAnsi="Times New Roman"/>
                <w:sz w:val="18"/>
              </w:rPr>
              <w:t>B.Tech degree + 2 certifications</w:t>
            </w:r>
          </w:p>
        </w:tc>
        <w:tc>
          <w:tcPr>
            <w:tcW w:type="dxa" w:w="1500"/>
          </w:tcPr>
          <w:p>
            <w:pPr>
              <w:spacing w:after="20" w:line="276" w:lineRule="auto"/>
            </w:pPr>
            <w:r>
              <w:rPr>
                <w:rFonts w:ascii="Times New Roman" w:hAnsi="Times New Roman"/>
                <w:sz w:val="18"/>
              </w:rPr>
              <w:t>Assign 80.0 base + 10.0 bonus = 90.0 edu score</w:t>
            </w:r>
          </w:p>
        </w:tc>
        <w:tc>
          <w:tcPr>
            <w:tcW w:type="dxa" w:w="1500"/>
          </w:tcPr>
          <w:p>
            <w:pPr>
              <w:spacing w:after="20" w:line="276" w:lineRule="auto"/>
            </w:pPr>
            <w:r>
              <w:rPr>
                <w:rFonts w:ascii="Times New Roman" w:hAnsi="Times New Roman"/>
                <w:sz w:val="18"/>
              </w:rPr>
              <w:t>PASS</w:t>
            </w:r>
          </w:p>
        </w:tc>
      </w:tr>
      <w:tr>
        <w:tc>
          <w:tcPr>
            <w:tcW w:type="dxa" w:w="1500"/>
            <w:shd w:val="clear" w:color="auto" w:fill="DBE9F8"/>
          </w:tcPr>
          <w:p>
            <w:pPr>
              <w:spacing w:after="20" w:line="276" w:lineRule="auto"/>
            </w:pPr>
            <w:r>
              <w:rPr>
                <w:rFonts w:ascii="Times New Roman" w:hAnsi="Times New Roman"/>
                <w:sz w:val="18"/>
              </w:rPr>
              <w:t>TC-08</w:t>
            </w:r>
          </w:p>
        </w:tc>
        <w:tc>
          <w:tcPr>
            <w:tcW w:type="dxa" w:w="1500"/>
            <w:shd w:val="clear" w:color="auto" w:fill="DBE9F8"/>
          </w:tcPr>
          <w:p>
            <w:pPr>
              <w:spacing w:after="20" w:line="276" w:lineRule="auto"/>
            </w:pPr>
            <w:r>
              <w:rPr>
                <w:rFonts w:ascii="Times New Roman" w:hAnsi="Times New Roman"/>
                <w:sz w:val="18"/>
              </w:rPr>
              <w:t>impact_scorer.py</w:t>
            </w:r>
          </w:p>
        </w:tc>
        <w:tc>
          <w:tcPr>
            <w:tcW w:type="dxa" w:w="1500"/>
            <w:shd w:val="clear" w:color="auto" w:fill="DBE9F8"/>
          </w:tcPr>
          <w:p>
            <w:pPr>
              <w:spacing w:after="20" w:line="276" w:lineRule="auto"/>
            </w:pPr>
            <w:r>
              <w:rPr>
                <w:rFonts w:ascii="Times New Roman" w:hAnsi="Times New Roman"/>
                <w:sz w:val="18"/>
              </w:rPr>
              <w:t>Unit</w:t>
            </w:r>
          </w:p>
        </w:tc>
        <w:tc>
          <w:tcPr>
            <w:tcW w:type="dxa" w:w="1500"/>
            <w:shd w:val="clear" w:color="auto" w:fill="DBE9F8"/>
          </w:tcPr>
          <w:p>
            <w:pPr>
              <w:spacing w:after="20" w:line="276" w:lineRule="auto"/>
            </w:pPr>
            <w:r>
              <w:rPr>
                <w:rFonts w:ascii="Times New Roman" w:hAnsi="Times New Roman"/>
                <w:sz w:val="18"/>
              </w:rPr>
              <w:t>5 of 10 bullets containing % or $ metrics</w:t>
            </w:r>
          </w:p>
        </w:tc>
        <w:tc>
          <w:tcPr>
            <w:tcW w:type="dxa" w:w="1500"/>
            <w:shd w:val="clear" w:color="auto" w:fill="DBE9F8"/>
          </w:tcPr>
          <w:p>
            <w:pPr>
              <w:spacing w:after="20" w:line="276" w:lineRule="auto"/>
            </w:pPr>
            <w:r>
              <w:rPr>
                <w:rFonts w:ascii="Times New Roman" w:hAnsi="Times New Roman"/>
                <w:sz w:val="18"/>
              </w:rPr>
              <w:t>Detect 50% ratio &gt;= 40% threshold, assign 100.0 score</w:t>
            </w:r>
          </w:p>
        </w:tc>
        <w:tc>
          <w:tcPr>
            <w:tcW w:type="dxa" w:w="1500"/>
            <w:shd w:val="clear" w:color="auto" w:fill="DBE9F8"/>
          </w:tcPr>
          <w:p>
            <w:pPr>
              <w:spacing w:after="20" w:line="276" w:lineRule="auto"/>
            </w:pPr>
            <w:r>
              <w:rPr>
                <w:rFonts w:ascii="Times New Roman" w:hAnsi="Times New Roman"/>
                <w:sz w:val="18"/>
              </w:rPr>
              <w:t>PASS</w:t>
            </w:r>
          </w:p>
        </w:tc>
      </w:tr>
      <w:tr>
        <w:tc>
          <w:tcPr>
            <w:tcW w:type="dxa" w:w="1500"/>
          </w:tcPr>
          <w:p>
            <w:pPr>
              <w:spacing w:after="20" w:line="276" w:lineRule="auto"/>
            </w:pPr>
            <w:r>
              <w:rPr>
                <w:rFonts w:ascii="Times New Roman" w:hAnsi="Times New Roman"/>
                <w:sz w:val="18"/>
              </w:rPr>
              <w:t>TC-09</w:t>
            </w:r>
          </w:p>
        </w:tc>
        <w:tc>
          <w:tcPr>
            <w:tcW w:type="dxa" w:w="1500"/>
          </w:tcPr>
          <w:p>
            <w:pPr>
              <w:spacing w:after="20" w:line="276" w:lineRule="auto"/>
            </w:pPr>
            <w:r>
              <w:rPr>
                <w:rFonts w:ascii="Times New Roman" w:hAnsi="Times New Roman"/>
                <w:sz w:val="18"/>
              </w:rPr>
              <w:t>format_scorer.py</w:t>
            </w:r>
          </w:p>
        </w:tc>
        <w:tc>
          <w:tcPr>
            <w:tcW w:type="dxa" w:w="1500"/>
          </w:tcPr>
          <w:p>
            <w:pPr>
              <w:spacing w:after="20" w:line="276" w:lineRule="auto"/>
            </w:pPr>
            <w:r>
              <w:rPr>
                <w:rFonts w:ascii="Times New Roman" w:hAnsi="Times New Roman"/>
                <w:sz w:val="18"/>
              </w:rPr>
              <w:t>Unit</w:t>
            </w:r>
          </w:p>
        </w:tc>
        <w:tc>
          <w:tcPr>
            <w:tcW w:type="dxa" w:w="1500"/>
          </w:tcPr>
          <w:p>
            <w:pPr>
              <w:spacing w:after="20" w:line="276" w:lineRule="auto"/>
            </w:pPr>
            <w:r>
              <w:rPr>
                <w:rFonts w:ascii="Times New Roman" w:hAnsi="Times New Roman"/>
                <w:sz w:val="18"/>
              </w:rPr>
              <w:t>Resume missing education section header</w:t>
            </w:r>
          </w:p>
        </w:tc>
        <w:tc>
          <w:tcPr>
            <w:tcW w:type="dxa" w:w="1500"/>
          </w:tcPr>
          <w:p>
            <w:pPr>
              <w:spacing w:after="20" w:line="276" w:lineRule="auto"/>
            </w:pPr>
            <w:r>
              <w:rPr>
                <w:rFonts w:ascii="Times New Roman" w:hAnsi="Times New Roman"/>
                <w:sz w:val="18"/>
              </w:rPr>
              <w:t>Deduct 15 pts, assign 85.0 format score with warning</w:t>
            </w:r>
          </w:p>
        </w:tc>
        <w:tc>
          <w:tcPr>
            <w:tcW w:type="dxa" w:w="1500"/>
          </w:tcPr>
          <w:p>
            <w:pPr>
              <w:spacing w:after="20" w:line="276" w:lineRule="auto"/>
            </w:pPr>
            <w:r>
              <w:rPr>
                <w:rFonts w:ascii="Times New Roman" w:hAnsi="Times New Roman"/>
                <w:sz w:val="18"/>
              </w:rPr>
              <w:t>PASS</w:t>
            </w:r>
          </w:p>
        </w:tc>
      </w:tr>
      <w:tr>
        <w:tc>
          <w:tcPr>
            <w:tcW w:type="dxa" w:w="1500"/>
            <w:shd w:val="clear" w:color="auto" w:fill="DBE9F8"/>
          </w:tcPr>
          <w:p>
            <w:pPr>
              <w:spacing w:after="20" w:line="276" w:lineRule="auto"/>
            </w:pPr>
            <w:r>
              <w:rPr>
                <w:rFonts w:ascii="Times New Roman" w:hAnsi="Times New Roman"/>
                <w:sz w:val="18"/>
              </w:rPr>
              <w:t>TC-10</w:t>
            </w:r>
          </w:p>
        </w:tc>
        <w:tc>
          <w:tcPr>
            <w:tcW w:type="dxa" w:w="1500"/>
            <w:shd w:val="clear" w:color="auto" w:fill="DBE9F8"/>
          </w:tcPr>
          <w:p>
            <w:pPr>
              <w:spacing w:after="20" w:line="276" w:lineRule="auto"/>
            </w:pPr>
            <w:r>
              <w:rPr>
                <w:rFonts w:ascii="Times New Roman" w:hAnsi="Times New Roman"/>
                <w:sz w:val="18"/>
              </w:rPr>
              <w:t>engine.py</w:t>
            </w:r>
          </w:p>
        </w:tc>
        <w:tc>
          <w:tcPr>
            <w:tcW w:type="dxa" w:w="1500"/>
            <w:shd w:val="clear" w:color="auto" w:fill="DBE9F8"/>
          </w:tcPr>
          <w:p>
            <w:pPr>
              <w:spacing w:after="20" w:line="276" w:lineRule="auto"/>
            </w:pPr>
            <w:r>
              <w:rPr>
                <w:rFonts w:ascii="Times New Roman" w:hAnsi="Times New Roman"/>
                <w:sz w:val="18"/>
              </w:rPr>
              <w:t>Integration</w:t>
            </w:r>
          </w:p>
        </w:tc>
        <w:tc>
          <w:tcPr>
            <w:tcW w:type="dxa" w:w="1500"/>
            <w:shd w:val="clear" w:color="auto" w:fill="DBE9F8"/>
          </w:tcPr>
          <w:p>
            <w:pPr>
              <w:spacing w:after="20" w:line="276" w:lineRule="auto"/>
            </w:pPr>
            <w:r>
              <w:rPr>
                <w:rFonts w:ascii="Times New Roman" w:hAnsi="Times New Roman"/>
                <w:sz w:val="18"/>
              </w:rPr>
              <w:t>&lt;50% must-have skills in work history</w:t>
            </w:r>
          </w:p>
        </w:tc>
        <w:tc>
          <w:tcPr>
            <w:tcW w:type="dxa" w:w="1500"/>
            <w:shd w:val="clear" w:color="auto" w:fill="DBE9F8"/>
          </w:tcPr>
          <w:p>
            <w:pPr>
              <w:spacing w:after="20" w:line="276" w:lineRule="auto"/>
            </w:pPr>
            <w:r>
              <w:rPr>
                <w:rFonts w:ascii="Times New Roman" w:hAnsi="Times New Roman"/>
                <w:sz w:val="18"/>
              </w:rPr>
              <w:t>Trigger Soft Knockout, cap score at 50.0, band='weak'</w:t>
            </w:r>
          </w:p>
        </w:tc>
        <w:tc>
          <w:tcPr>
            <w:tcW w:type="dxa" w:w="1500"/>
            <w:shd w:val="clear" w:color="auto" w:fill="DBE9F8"/>
          </w:tcPr>
          <w:p>
            <w:pPr>
              <w:spacing w:after="20" w:line="276" w:lineRule="auto"/>
            </w:pPr>
            <w:r>
              <w:rPr>
                <w:rFonts w:ascii="Times New Roman" w:hAnsi="Times New Roman"/>
                <w:sz w:val="18"/>
              </w:rPr>
              <w:t>PASS</w:t>
            </w:r>
          </w:p>
        </w:tc>
      </w:tr>
      <w:tr>
        <w:tc>
          <w:tcPr>
            <w:tcW w:type="dxa" w:w="1500"/>
          </w:tcPr>
          <w:p>
            <w:pPr>
              <w:spacing w:after="20" w:line="276" w:lineRule="auto"/>
            </w:pPr>
            <w:r>
              <w:rPr>
                <w:rFonts w:ascii="Times New Roman" w:hAnsi="Times New Roman"/>
                <w:sz w:val="18"/>
              </w:rPr>
              <w:t>TC-11</w:t>
            </w:r>
          </w:p>
        </w:tc>
        <w:tc>
          <w:tcPr>
            <w:tcW w:type="dxa" w:w="1500"/>
          </w:tcPr>
          <w:p>
            <w:pPr>
              <w:spacing w:after="20" w:line="276" w:lineRule="auto"/>
            </w:pPr>
            <w:r>
              <w:rPr>
                <w:rFonts w:ascii="Times New Roman" w:hAnsi="Times New Roman"/>
                <w:sz w:val="18"/>
              </w:rPr>
              <w:t>engine.py</w:t>
            </w:r>
          </w:p>
        </w:tc>
        <w:tc>
          <w:tcPr>
            <w:tcW w:type="dxa" w:w="1500"/>
          </w:tcPr>
          <w:p>
            <w:pPr>
              <w:spacing w:after="20" w:line="276" w:lineRule="auto"/>
            </w:pPr>
            <w:r>
              <w:rPr>
                <w:rFonts w:ascii="Times New Roman" w:hAnsi="Times New Roman"/>
                <w:sz w:val="18"/>
              </w:rPr>
              <w:t>Integration</w:t>
            </w:r>
          </w:p>
        </w:tc>
        <w:tc>
          <w:tcPr>
            <w:tcW w:type="dxa" w:w="1500"/>
          </w:tcPr>
          <w:p>
            <w:pPr>
              <w:spacing w:after="20" w:line="276" w:lineRule="auto"/>
            </w:pPr>
            <w:r>
              <w:rPr>
                <w:rFonts w:ascii="Times New Roman" w:hAnsi="Times New Roman"/>
                <w:sz w:val="18"/>
              </w:rPr>
              <w:t>100% must-haves + high experience</w:t>
            </w:r>
          </w:p>
        </w:tc>
        <w:tc>
          <w:tcPr>
            <w:tcW w:type="dxa" w:w="1500"/>
          </w:tcPr>
          <w:p>
            <w:pPr>
              <w:spacing w:after="20" w:line="276" w:lineRule="auto"/>
            </w:pPr>
            <w:r>
              <w:rPr>
                <w:rFonts w:ascii="Times New Roman" w:hAnsi="Times New Roman"/>
                <w:sz w:val="18"/>
              </w:rPr>
              <w:t>Score &gt; 75.0, assign band='strong', zero knockout</w:t>
            </w:r>
          </w:p>
        </w:tc>
        <w:tc>
          <w:tcPr>
            <w:tcW w:type="dxa" w:w="1500"/>
          </w:tcPr>
          <w:p>
            <w:pPr>
              <w:spacing w:after="20" w:line="276" w:lineRule="auto"/>
            </w:pPr>
            <w:r>
              <w:rPr>
                <w:rFonts w:ascii="Times New Roman" w:hAnsi="Times New Roman"/>
                <w:sz w:val="18"/>
              </w:rPr>
              <w:t>PASS</w:t>
            </w:r>
          </w:p>
        </w:tc>
      </w:tr>
      <w:tr>
        <w:tc>
          <w:tcPr>
            <w:tcW w:type="dxa" w:w="1500"/>
            <w:shd w:val="clear" w:color="auto" w:fill="DBE9F8"/>
          </w:tcPr>
          <w:p>
            <w:pPr>
              <w:spacing w:after="20" w:line="276" w:lineRule="auto"/>
            </w:pPr>
            <w:r>
              <w:rPr>
                <w:rFonts w:ascii="Times New Roman" w:hAnsi="Times New Roman"/>
                <w:sz w:val="18"/>
              </w:rPr>
              <w:t>TC-12</w:t>
            </w:r>
          </w:p>
        </w:tc>
        <w:tc>
          <w:tcPr>
            <w:tcW w:type="dxa" w:w="1500"/>
            <w:shd w:val="clear" w:color="auto" w:fill="DBE9F8"/>
          </w:tcPr>
          <w:p>
            <w:pPr>
              <w:spacing w:after="20" w:line="276" w:lineRule="auto"/>
            </w:pPr>
            <w:r>
              <w:rPr>
                <w:rFonts w:ascii="Times New Roman" w:hAnsi="Times New Roman"/>
                <w:sz w:val="18"/>
              </w:rPr>
              <w:t>ranker.py</w:t>
            </w:r>
          </w:p>
        </w:tc>
        <w:tc>
          <w:tcPr>
            <w:tcW w:type="dxa" w:w="1500"/>
            <w:shd w:val="clear" w:color="auto" w:fill="DBE9F8"/>
          </w:tcPr>
          <w:p>
            <w:pPr>
              <w:spacing w:after="20" w:line="276" w:lineRule="auto"/>
            </w:pPr>
            <w:r>
              <w:rPr>
                <w:rFonts w:ascii="Times New Roman" w:hAnsi="Times New Roman"/>
                <w:sz w:val="18"/>
              </w:rPr>
              <w:t>Integration</w:t>
            </w:r>
          </w:p>
        </w:tc>
        <w:tc>
          <w:tcPr>
            <w:tcW w:type="dxa" w:w="1500"/>
            <w:shd w:val="clear" w:color="auto" w:fill="DBE9F8"/>
          </w:tcPr>
          <w:p>
            <w:pPr>
              <w:spacing w:after="20" w:line="276" w:lineRule="auto"/>
            </w:pPr>
            <w:r>
              <w:rPr>
                <w:rFonts w:ascii="Times New Roman" w:hAnsi="Times New Roman"/>
                <w:sz w:val="18"/>
              </w:rPr>
              <w:t>3 candidates with identical 78.5 score</w:t>
            </w:r>
          </w:p>
        </w:tc>
        <w:tc>
          <w:tcPr>
            <w:tcW w:type="dxa" w:w="1500"/>
            <w:shd w:val="clear" w:color="auto" w:fill="DBE9F8"/>
          </w:tcPr>
          <w:p>
            <w:pPr>
              <w:spacing w:after="20" w:line="276" w:lineRule="auto"/>
            </w:pPr>
            <w:r>
              <w:rPr>
                <w:rFonts w:ascii="Times New Roman" w:hAnsi="Times New Roman"/>
                <w:sz w:val="18"/>
              </w:rPr>
              <w:t>Tie-break by must-have coverage, then keyword score</w:t>
            </w:r>
          </w:p>
        </w:tc>
        <w:tc>
          <w:tcPr>
            <w:tcW w:type="dxa" w:w="1500"/>
            <w:shd w:val="clear" w:color="auto" w:fill="DBE9F8"/>
          </w:tcPr>
          <w:p>
            <w:pPr>
              <w:spacing w:after="20" w:line="276" w:lineRule="auto"/>
            </w:pPr>
            <w:r>
              <w:rPr>
                <w:rFonts w:ascii="Times New Roman" w:hAnsi="Times New Roman"/>
                <w:sz w:val="18"/>
              </w:rPr>
              <w:t>PASS</w:t>
            </w:r>
          </w:p>
        </w:tc>
      </w:tr>
      <w:tr>
        <w:tc>
          <w:tcPr>
            <w:tcW w:type="dxa" w:w="1500"/>
          </w:tcPr>
          <w:p>
            <w:pPr>
              <w:spacing w:after="20" w:line="276" w:lineRule="auto"/>
            </w:pPr>
            <w:r>
              <w:rPr>
                <w:rFonts w:ascii="Times New Roman" w:hAnsi="Times New Roman"/>
                <w:sz w:val="18"/>
              </w:rPr>
              <w:t>TC-13</w:t>
            </w:r>
          </w:p>
        </w:tc>
        <w:tc>
          <w:tcPr>
            <w:tcW w:type="dxa" w:w="1500"/>
          </w:tcPr>
          <w:p>
            <w:pPr>
              <w:spacing w:after="20" w:line="276" w:lineRule="auto"/>
            </w:pPr>
            <w:r>
              <w:rPr>
                <w:rFonts w:ascii="Times New Roman" w:hAnsi="Times New Roman"/>
                <w:sz w:val="18"/>
              </w:rPr>
              <w:t>improver.py</w:t>
            </w:r>
          </w:p>
        </w:tc>
        <w:tc>
          <w:tcPr>
            <w:tcW w:type="dxa" w:w="1500"/>
          </w:tcPr>
          <w:p>
            <w:pPr>
              <w:spacing w:after="20" w:line="276" w:lineRule="auto"/>
            </w:pPr>
            <w:r>
              <w:rPr>
                <w:rFonts w:ascii="Times New Roman" w:hAnsi="Times New Roman"/>
                <w:sz w:val="18"/>
              </w:rPr>
              <w:t>Unit</w:t>
            </w:r>
          </w:p>
        </w:tc>
        <w:tc>
          <w:tcPr>
            <w:tcW w:type="dxa" w:w="1500"/>
          </w:tcPr>
          <w:p>
            <w:pPr>
              <w:spacing w:after="20" w:line="276" w:lineRule="auto"/>
            </w:pPr>
            <w:r>
              <w:rPr>
                <w:rFonts w:ascii="Times New Roman" w:hAnsi="Times New Roman"/>
                <w:sz w:val="18"/>
              </w:rPr>
              <w:t>Weak opener 'Worked on developing API'</w:t>
            </w:r>
          </w:p>
        </w:tc>
        <w:tc>
          <w:tcPr>
            <w:tcW w:type="dxa" w:w="1500"/>
          </w:tcPr>
          <w:p>
            <w:pPr>
              <w:spacing w:after="20" w:line="276" w:lineRule="auto"/>
            </w:pPr>
            <w:r>
              <w:rPr>
                <w:rFonts w:ascii="Times New Roman" w:hAnsi="Times New Roman"/>
                <w:sz w:val="18"/>
              </w:rPr>
              <w:t>Replace with 'Developed API', preserve meaning</w:t>
            </w:r>
          </w:p>
        </w:tc>
        <w:tc>
          <w:tcPr>
            <w:tcW w:type="dxa" w:w="1500"/>
          </w:tcPr>
          <w:p>
            <w:pPr>
              <w:spacing w:after="20" w:line="276" w:lineRule="auto"/>
            </w:pPr>
            <w:r>
              <w:rPr>
                <w:rFonts w:ascii="Times New Roman" w:hAnsi="Times New Roman"/>
                <w:sz w:val="18"/>
              </w:rPr>
              <w:t>PASS</w:t>
            </w:r>
          </w:p>
        </w:tc>
      </w:tr>
      <w:tr>
        <w:tc>
          <w:tcPr>
            <w:tcW w:type="dxa" w:w="1500"/>
            <w:shd w:val="clear" w:color="auto" w:fill="DBE9F8"/>
          </w:tcPr>
          <w:p>
            <w:pPr>
              <w:spacing w:after="20" w:line="276" w:lineRule="auto"/>
            </w:pPr>
            <w:r>
              <w:rPr>
                <w:rFonts w:ascii="Times New Roman" w:hAnsi="Times New Roman"/>
                <w:sz w:val="18"/>
              </w:rPr>
              <w:t>TC-14</w:t>
            </w:r>
          </w:p>
        </w:tc>
        <w:tc>
          <w:tcPr>
            <w:tcW w:type="dxa" w:w="1500"/>
            <w:shd w:val="clear" w:color="auto" w:fill="DBE9F8"/>
          </w:tcPr>
          <w:p>
            <w:pPr>
              <w:spacing w:after="20" w:line="276" w:lineRule="auto"/>
            </w:pPr>
            <w:r>
              <w:rPr>
                <w:rFonts w:ascii="Times New Roman" w:hAnsi="Times New Roman"/>
                <w:sz w:val="18"/>
              </w:rPr>
              <w:t>improver.py</w:t>
            </w:r>
          </w:p>
        </w:tc>
        <w:tc>
          <w:tcPr>
            <w:tcW w:type="dxa" w:w="1500"/>
            <w:shd w:val="clear" w:color="auto" w:fill="DBE9F8"/>
          </w:tcPr>
          <w:p>
            <w:pPr>
              <w:spacing w:after="20" w:line="276" w:lineRule="auto"/>
            </w:pPr>
            <w:r>
              <w:rPr>
                <w:rFonts w:ascii="Times New Roman" w:hAnsi="Times New Roman"/>
                <w:sz w:val="18"/>
              </w:rPr>
              <w:t>Unit / Guardrail</w:t>
            </w:r>
          </w:p>
        </w:tc>
        <w:tc>
          <w:tcPr>
            <w:tcW w:type="dxa" w:w="1500"/>
            <w:shd w:val="clear" w:color="auto" w:fill="DBE9F8"/>
          </w:tcPr>
          <w:p>
            <w:pPr>
              <w:spacing w:after="20" w:line="276" w:lineRule="auto"/>
            </w:pPr>
            <w:r>
              <w:rPr>
                <w:rFonts w:ascii="Times New Roman" w:hAnsi="Times New Roman"/>
                <w:sz w:val="18"/>
              </w:rPr>
              <w:t>LLM rewrite injecting ungrounded '40%'</w:t>
            </w:r>
          </w:p>
        </w:tc>
        <w:tc>
          <w:tcPr>
            <w:tcW w:type="dxa" w:w="1500"/>
            <w:shd w:val="clear" w:color="auto" w:fill="DBE9F8"/>
          </w:tcPr>
          <w:p>
            <w:pPr>
              <w:spacing w:after="20" w:line="276" w:lineRule="auto"/>
            </w:pPr>
            <w:r>
              <w:rPr>
                <w:rFonts w:ascii="Times New Roman" w:hAnsi="Times New Roman"/>
                <w:sz w:val="18"/>
              </w:rPr>
              <w:t>Zero-Fabrication Validator rejects rewrite, uses rules</w:t>
            </w:r>
          </w:p>
        </w:tc>
        <w:tc>
          <w:tcPr>
            <w:tcW w:type="dxa" w:w="1500"/>
            <w:shd w:val="clear" w:color="auto" w:fill="DBE9F8"/>
          </w:tcPr>
          <w:p>
            <w:pPr>
              <w:spacing w:after="20" w:line="276" w:lineRule="auto"/>
            </w:pPr>
            <w:r>
              <w:rPr>
                <w:rFonts w:ascii="Times New Roman" w:hAnsi="Times New Roman"/>
                <w:sz w:val="18"/>
              </w:rPr>
              <w:t>PASS</w:t>
            </w:r>
          </w:p>
        </w:tc>
      </w:tr>
      <w:tr>
        <w:tc>
          <w:tcPr>
            <w:tcW w:type="dxa" w:w="1500"/>
          </w:tcPr>
          <w:p>
            <w:pPr>
              <w:spacing w:after="20" w:line="276" w:lineRule="auto"/>
            </w:pPr>
            <w:r>
              <w:rPr>
                <w:rFonts w:ascii="Times New Roman" w:hAnsi="Times New Roman"/>
                <w:sz w:val="18"/>
              </w:rPr>
              <w:t>TC-15</w:t>
            </w:r>
          </w:p>
        </w:tc>
        <w:tc>
          <w:tcPr>
            <w:tcW w:type="dxa" w:w="1500"/>
          </w:tcPr>
          <w:p>
            <w:pPr>
              <w:spacing w:after="20" w:line="276" w:lineRule="auto"/>
            </w:pPr>
            <w:r>
              <w:rPr>
                <w:rFonts w:ascii="Times New Roman" w:hAnsi="Times New Roman"/>
                <w:sz w:val="18"/>
              </w:rPr>
              <w:t>improver.py</w:t>
            </w:r>
          </w:p>
        </w:tc>
        <w:tc>
          <w:tcPr>
            <w:tcW w:type="dxa" w:w="1500"/>
          </w:tcPr>
          <w:p>
            <w:pPr>
              <w:spacing w:after="20" w:line="276" w:lineRule="auto"/>
            </w:pPr>
            <w:r>
              <w:rPr>
                <w:rFonts w:ascii="Times New Roman" w:hAnsi="Times New Roman"/>
                <w:sz w:val="18"/>
              </w:rPr>
              <w:t>Unit / Guardrail</w:t>
            </w:r>
          </w:p>
        </w:tc>
        <w:tc>
          <w:tcPr>
            <w:tcW w:type="dxa" w:w="1500"/>
          </w:tcPr>
          <w:p>
            <w:pPr>
              <w:spacing w:after="20" w:line="276" w:lineRule="auto"/>
            </w:pPr>
            <w:r>
              <w:rPr>
                <w:rFonts w:ascii="Times New Roman" w:hAnsi="Times New Roman"/>
                <w:sz w:val="18"/>
              </w:rPr>
              <w:t>Non-bullet line 'B.Tech Computer Science'</w:t>
            </w:r>
          </w:p>
        </w:tc>
        <w:tc>
          <w:tcPr>
            <w:tcW w:type="dxa" w:w="1500"/>
          </w:tcPr>
          <w:p>
            <w:pPr>
              <w:spacing w:after="20" w:line="276" w:lineRule="auto"/>
            </w:pPr>
            <w:r>
              <w:rPr>
                <w:rFonts w:ascii="Times New Roman" w:hAnsi="Times New Roman"/>
                <w:sz w:val="18"/>
              </w:rPr>
              <w:t>Validator protects non-bullet, returns unchanged</w:t>
            </w:r>
          </w:p>
        </w:tc>
        <w:tc>
          <w:tcPr>
            <w:tcW w:type="dxa" w:w="1500"/>
          </w:tcPr>
          <w:p>
            <w:pPr>
              <w:spacing w:after="20" w:line="276" w:lineRule="auto"/>
            </w:pPr>
            <w:r>
              <w:rPr>
                <w:rFonts w:ascii="Times New Roman" w:hAnsi="Times New Roman"/>
                <w:sz w:val="18"/>
              </w:rPr>
              <w:t>PASS</w:t>
            </w:r>
          </w:p>
        </w:tc>
      </w:tr>
      <w:tr>
        <w:tc>
          <w:tcPr>
            <w:tcW w:type="dxa" w:w="1500"/>
            <w:shd w:val="clear" w:color="auto" w:fill="DBE9F8"/>
          </w:tcPr>
          <w:p>
            <w:pPr>
              <w:spacing w:after="20" w:line="276" w:lineRule="auto"/>
            </w:pPr>
            <w:r>
              <w:rPr>
                <w:rFonts w:ascii="Times New Roman" w:hAnsi="Times New Roman"/>
                <w:sz w:val="18"/>
              </w:rPr>
              <w:t>TC-16</w:t>
            </w:r>
          </w:p>
        </w:tc>
        <w:tc>
          <w:tcPr>
            <w:tcW w:type="dxa" w:w="1500"/>
            <w:shd w:val="clear" w:color="auto" w:fill="DBE9F8"/>
          </w:tcPr>
          <w:p>
            <w:pPr>
              <w:spacing w:after="20" w:line="276" w:lineRule="auto"/>
            </w:pPr>
            <w:r>
              <w:rPr>
                <w:rFonts w:ascii="Times New Roman" w:hAnsi="Times New Roman"/>
                <w:sz w:val="18"/>
              </w:rPr>
              <w:t>redact.py</w:t>
            </w:r>
          </w:p>
        </w:tc>
        <w:tc>
          <w:tcPr>
            <w:tcW w:type="dxa" w:w="1500"/>
            <w:shd w:val="clear" w:color="auto" w:fill="DBE9F8"/>
          </w:tcPr>
          <w:p>
            <w:pPr>
              <w:spacing w:after="20" w:line="276" w:lineRule="auto"/>
            </w:pPr>
            <w:r>
              <w:rPr>
                <w:rFonts w:ascii="Times New Roman" w:hAnsi="Times New Roman"/>
                <w:sz w:val="18"/>
              </w:rPr>
              <w:t>Unit / Security</w:t>
            </w:r>
          </w:p>
        </w:tc>
        <w:tc>
          <w:tcPr>
            <w:tcW w:type="dxa" w:w="1500"/>
            <w:shd w:val="clear" w:color="auto" w:fill="DBE9F8"/>
          </w:tcPr>
          <w:p>
            <w:pPr>
              <w:spacing w:after="20" w:line="276" w:lineRule="auto"/>
            </w:pPr>
            <w:r>
              <w:rPr>
                <w:rFonts w:ascii="Times New Roman" w:hAnsi="Times New Roman"/>
                <w:sz w:val="18"/>
              </w:rPr>
              <w:t>Resume containing email and phone numbers</w:t>
            </w:r>
          </w:p>
        </w:tc>
        <w:tc>
          <w:tcPr>
            <w:tcW w:type="dxa" w:w="1500"/>
            <w:shd w:val="clear" w:color="auto" w:fill="DBE9F8"/>
          </w:tcPr>
          <w:p>
            <w:pPr>
              <w:spacing w:after="20" w:line="276" w:lineRule="auto"/>
            </w:pPr>
            <w:r>
              <w:rPr>
                <w:rFonts w:ascii="Times New Roman" w:hAnsi="Times New Roman"/>
                <w:sz w:val="18"/>
              </w:rPr>
              <w:t>Scrub email to [EMAIL] and phone to [PHONE]</w:t>
            </w:r>
          </w:p>
        </w:tc>
        <w:tc>
          <w:tcPr>
            <w:tcW w:type="dxa" w:w="1500"/>
            <w:shd w:val="clear" w:color="auto" w:fill="DBE9F8"/>
          </w:tcPr>
          <w:p>
            <w:pPr>
              <w:spacing w:after="20" w:line="276" w:lineRule="auto"/>
            </w:pPr>
            <w:r>
              <w:rPr>
                <w:rFonts w:ascii="Times New Roman" w:hAnsi="Times New Roman"/>
                <w:sz w:val="18"/>
              </w:rPr>
              <w:t>PASS</w:t>
            </w:r>
          </w:p>
        </w:tc>
      </w:tr>
      <w:tr>
        <w:tc>
          <w:tcPr>
            <w:tcW w:type="dxa" w:w="1500"/>
          </w:tcPr>
          <w:p>
            <w:pPr>
              <w:spacing w:after="20" w:line="276" w:lineRule="auto"/>
            </w:pPr>
            <w:r>
              <w:rPr>
                <w:rFonts w:ascii="Times New Roman" w:hAnsi="Times New Roman"/>
                <w:sz w:val="18"/>
              </w:rPr>
              <w:t>TC-17</w:t>
            </w:r>
          </w:p>
        </w:tc>
        <w:tc>
          <w:tcPr>
            <w:tcW w:type="dxa" w:w="1500"/>
          </w:tcPr>
          <w:p>
            <w:pPr>
              <w:spacing w:after="20" w:line="276" w:lineRule="auto"/>
            </w:pPr>
            <w:r>
              <w:rPr>
                <w:rFonts w:ascii="Times New Roman" w:hAnsi="Times New Roman"/>
                <w:sz w:val="18"/>
              </w:rPr>
              <w:t>llm.py</w:t>
            </w:r>
          </w:p>
        </w:tc>
        <w:tc>
          <w:tcPr>
            <w:tcW w:type="dxa" w:w="1500"/>
          </w:tcPr>
          <w:p>
            <w:pPr>
              <w:spacing w:after="20" w:line="276" w:lineRule="auto"/>
            </w:pPr>
            <w:r>
              <w:rPr>
                <w:rFonts w:ascii="Times New Roman" w:hAnsi="Times New Roman"/>
                <w:sz w:val="18"/>
              </w:rPr>
              <w:t>Integration</w:t>
            </w:r>
          </w:p>
        </w:tc>
        <w:tc>
          <w:tcPr>
            <w:tcW w:type="dxa" w:w="1500"/>
          </w:tcPr>
          <w:p>
            <w:pPr>
              <w:spacing w:after="20" w:line="276" w:lineRule="auto"/>
            </w:pPr>
            <w:r>
              <w:rPr>
                <w:rFonts w:ascii="Times New Roman" w:hAnsi="Times New Roman"/>
                <w:sz w:val="18"/>
              </w:rPr>
              <w:t>Simultaneous burst of 10 LLM requests</w:t>
            </w:r>
          </w:p>
        </w:tc>
        <w:tc>
          <w:tcPr>
            <w:tcW w:type="dxa" w:w="1500"/>
          </w:tcPr>
          <w:p>
            <w:pPr>
              <w:spacing w:after="20" w:line="276" w:lineRule="auto"/>
            </w:pPr>
            <w:r>
              <w:rPr>
                <w:rFonts w:ascii="Times New Roman" w:hAnsi="Times New Roman"/>
                <w:sz w:val="18"/>
              </w:rPr>
              <w:t>Semaphore bounds concurrency to 3, zero 429 errors</w:t>
            </w:r>
          </w:p>
        </w:tc>
        <w:tc>
          <w:tcPr>
            <w:tcW w:type="dxa" w:w="1500"/>
          </w:tcPr>
          <w:p>
            <w:pPr>
              <w:spacing w:after="20" w:line="276" w:lineRule="auto"/>
            </w:pPr>
            <w:r>
              <w:rPr>
                <w:rFonts w:ascii="Times New Roman" w:hAnsi="Times New Roman"/>
                <w:sz w:val="18"/>
              </w:rPr>
              <w:t>PASS</w:t>
            </w:r>
          </w:p>
        </w:tc>
      </w:tr>
      <w:tr>
        <w:tc>
          <w:tcPr>
            <w:tcW w:type="dxa" w:w="1500"/>
            <w:shd w:val="clear" w:color="auto" w:fill="DBE9F8"/>
          </w:tcPr>
          <w:p>
            <w:pPr>
              <w:spacing w:after="20" w:line="276" w:lineRule="auto"/>
            </w:pPr>
            <w:r>
              <w:rPr>
                <w:rFonts w:ascii="Times New Roman" w:hAnsi="Times New Roman"/>
                <w:sz w:val="18"/>
              </w:rPr>
              <w:t>TC-18</w:t>
            </w:r>
          </w:p>
        </w:tc>
        <w:tc>
          <w:tcPr>
            <w:tcW w:type="dxa" w:w="1500"/>
            <w:shd w:val="clear" w:color="auto" w:fill="DBE9F8"/>
          </w:tcPr>
          <w:p>
            <w:pPr>
              <w:spacing w:after="20" w:line="276" w:lineRule="auto"/>
            </w:pPr>
            <w:r>
              <w:rPr>
                <w:rFonts w:ascii="Times New Roman" w:hAnsi="Times New Roman"/>
                <w:sz w:val="18"/>
              </w:rPr>
              <w:t>llm.py</w:t>
            </w:r>
          </w:p>
        </w:tc>
        <w:tc>
          <w:tcPr>
            <w:tcW w:type="dxa" w:w="1500"/>
            <w:shd w:val="clear" w:color="auto" w:fill="DBE9F8"/>
          </w:tcPr>
          <w:p>
            <w:pPr>
              <w:spacing w:after="20" w:line="276" w:lineRule="auto"/>
            </w:pPr>
            <w:r>
              <w:rPr>
                <w:rFonts w:ascii="Times New Roman" w:hAnsi="Times New Roman"/>
                <w:sz w:val="18"/>
              </w:rPr>
              <w:t>Unit / Performance</w:t>
            </w:r>
          </w:p>
        </w:tc>
        <w:tc>
          <w:tcPr>
            <w:tcW w:type="dxa" w:w="1500"/>
            <w:shd w:val="clear" w:color="auto" w:fill="DBE9F8"/>
          </w:tcPr>
          <w:p>
            <w:pPr>
              <w:spacing w:after="20" w:line="276" w:lineRule="auto"/>
            </w:pPr>
            <w:r>
              <w:rPr>
                <w:rFonts w:ascii="Times New Roman" w:hAnsi="Times New Roman"/>
                <w:sz w:val="18"/>
              </w:rPr>
              <w:t>Identical prompt executed twice</w:t>
            </w:r>
          </w:p>
        </w:tc>
        <w:tc>
          <w:tcPr>
            <w:tcW w:type="dxa" w:w="1500"/>
            <w:shd w:val="clear" w:color="auto" w:fill="DBE9F8"/>
          </w:tcPr>
          <w:p>
            <w:pPr>
              <w:spacing w:after="20" w:line="276" w:lineRule="auto"/>
            </w:pPr>
            <w:r>
              <w:rPr>
                <w:rFonts w:ascii="Times New Roman" w:hAnsi="Times New Roman"/>
                <w:sz w:val="18"/>
              </w:rPr>
              <w:t>Second call served from SHA-256 cache in &lt;2 ms</w:t>
            </w:r>
          </w:p>
        </w:tc>
        <w:tc>
          <w:tcPr>
            <w:tcW w:type="dxa" w:w="1500"/>
            <w:shd w:val="clear" w:color="auto" w:fill="DBE9F8"/>
          </w:tcPr>
          <w:p>
            <w:pPr>
              <w:spacing w:after="20" w:line="276" w:lineRule="auto"/>
            </w:pPr>
            <w:r>
              <w:rPr>
                <w:rFonts w:ascii="Times New Roman" w:hAnsi="Times New Roman"/>
                <w:sz w:val="18"/>
              </w:rPr>
              <w:t>PASS</w:t>
            </w:r>
          </w:p>
        </w:tc>
      </w:tr>
      <w:tr>
        <w:tc>
          <w:tcPr>
            <w:tcW w:type="dxa" w:w="1500"/>
          </w:tcPr>
          <w:p>
            <w:pPr>
              <w:spacing w:after="20" w:line="276" w:lineRule="auto"/>
            </w:pPr>
            <w:r>
              <w:rPr>
                <w:rFonts w:ascii="Times New Roman" w:hAnsi="Times New Roman"/>
                <w:sz w:val="18"/>
              </w:rPr>
              <w:t>TC-19</w:t>
            </w:r>
          </w:p>
        </w:tc>
        <w:tc>
          <w:tcPr>
            <w:tcW w:type="dxa" w:w="1500"/>
          </w:tcPr>
          <w:p>
            <w:pPr>
              <w:spacing w:after="20" w:line="276" w:lineRule="auto"/>
            </w:pPr>
            <w:r>
              <w:rPr>
                <w:rFonts w:ascii="Times New Roman" w:hAnsi="Times New Roman"/>
                <w:sz w:val="18"/>
              </w:rPr>
              <w:t>pdf_generator.py</w:t>
            </w:r>
          </w:p>
        </w:tc>
        <w:tc>
          <w:tcPr>
            <w:tcW w:type="dxa" w:w="1500"/>
          </w:tcPr>
          <w:p>
            <w:pPr>
              <w:spacing w:after="20" w:line="276" w:lineRule="auto"/>
            </w:pPr>
            <w:r>
              <w:rPr>
                <w:rFonts w:ascii="Times New Roman" w:hAnsi="Times New Roman"/>
                <w:sz w:val="18"/>
              </w:rPr>
              <w:t>Integration</w:t>
            </w:r>
          </w:p>
        </w:tc>
        <w:tc>
          <w:tcPr>
            <w:tcW w:type="dxa" w:w="1500"/>
          </w:tcPr>
          <w:p>
            <w:pPr>
              <w:spacing w:after="20" w:line="276" w:lineRule="auto"/>
            </w:pPr>
            <w:r>
              <w:rPr>
                <w:rFonts w:ascii="Times New Roman" w:hAnsi="Times New Roman"/>
                <w:sz w:val="18"/>
              </w:rPr>
              <w:t>Export updated candidate profile to PDF</w:t>
            </w:r>
          </w:p>
        </w:tc>
        <w:tc>
          <w:tcPr>
            <w:tcW w:type="dxa" w:w="1500"/>
          </w:tcPr>
          <w:p>
            <w:pPr>
              <w:spacing w:after="20" w:line="276" w:lineRule="auto"/>
            </w:pPr>
            <w:r>
              <w:rPr>
                <w:rFonts w:ascii="Times New Roman" w:hAnsi="Times New Roman"/>
                <w:sz w:val="18"/>
              </w:rPr>
              <w:t>Generate valid, single-column, ATS-clean PDF stream</w:t>
            </w:r>
          </w:p>
        </w:tc>
        <w:tc>
          <w:tcPr>
            <w:tcW w:type="dxa" w:w="1500"/>
          </w:tcPr>
          <w:p>
            <w:pPr>
              <w:spacing w:after="20" w:line="276" w:lineRule="auto"/>
            </w:pPr>
            <w:r>
              <w:rPr>
                <w:rFonts w:ascii="Times New Roman" w:hAnsi="Times New Roman"/>
                <w:sz w:val="18"/>
              </w:rPr>
              <w:t>PASS</w:t>
            </w:r>
          </w:p>
        </w:tc>
      </w:tr>
      <w:tr>
        <w:tc>
          <w:tcPr>
            <w:tcW w:type="dxa" w:w="1500"/>
            <w:shd w:val="clear" w:color="auto" w:fill="DBE9F8"/>
          </w:tcPr>
          <w:p>
            <w:pPr>
              <w:spacing w:after="20" w:line="276" w:lineRule="auto"/>
            </w:pPr>
            <w:r>
              <w:rPr>
                <w:rFonts w:ascii="Times New Roman" w:hAnsi="Times New Roman"/>
                <w:sz w:val="18"/>
              </w:rPr>
              <w:t>TC-20</w:t>
            </w:r>
          </w:p>
        </w:tc>
        <w:tc>
          <w:tcPr>
            <w:tcW w:type="dxa" w:w="1500"/>
            <w:shd w:val="clear" w:color="auto" w:fill="DBE9F8"/>
          </w:tcPr>
          <w:p>
            <w:pPr>
              <w:spacing w:after="20" w:line="276" w:lineRule="auto"/>
            </w:pPr>
            <w:r>
              <w:rPr>
                <w:rFonts w:ascii="Times New Roman" w:hAnsi="Times New Roman"/>
                <w:sz w:val="18"/>
              </w:rPr>
              <w:t>export.py</w:t>
            </w:r>
          </w:p>
        </w:tc>
        <w:tc>
          <w:tcPr>
            <w:tcW w:type="dxa" w:w="1500"/>
            <w:shd w:val="clear" w:color="auto" w:fill="DBE9F8"/>
          </w:tcPr>
          <w:p>
            <w:pPr>
              <w:spacing w:after="20" w:line="276" w:lineRule="auto"/>
            </w:pPr>
            <w:r>
              <w:rPr>
                <w:rFonts w:ascii="Times New Roman" w:hAnsi="Times New Roman"/>
                <w:sz w:val="18"/>
              </w:rPr>
              <w:t>Integration</w:t>
            </w:r>
          </w:p>
        </w:tc>
        <w:tc>
          <w:tcPr>
            <w:tcW w:type="dxa" w:w="1500"/>
            <w:shd w:val="clear" w:color="auto" w:fill="DBE9F8"/>
          </w:tcPr>
          <w:p>
            <w:pPr>
              <w:spacing w:after="20" w:line="276" w:lineRule="auto"/>
            </w:pPr>
            <w:r>
              <w:rPr>
                <w:rFonts w:ascii="Times New Roman" w:hAnsi="Times New Roman"/>
                <w:sz w:val="18"/>
              </w:rPr>
              <w:t>Export recruiter ranked batch to CSV</w:t>
            </w:r>
          </w:p>
        </w:tc>
        <w:tc>
          <w:tcPr>
            <w:tcW w:type="dxa" w:w="1500"/>
            <w:shd w:val="clear" w:color="auto" w:fill="DBE9F8"/>
          </w:tcPr>
          <w:p>
            <w:pPr>
              <w:spacing w:after="20" w:line="276" w:lineRule="auto"/>
            </w:pPr>
            <w:r>
              <w:rPr>
                <w:rFonts w:ascii="Times New Roman" w:hAnsi="Times New Roman"/>
                <w:sz w:val="18"/>
              </w:rPr>
              <w:t>Generate RFC 4180 CSV with scores and tie-break ranks</w:t>
            </w:r>
          </w:p>
        </w:tc>
        <w:tc>
          <w:tcPr>
            <w:tcW w:type="dxa" w:w="1500"/>
            <w:shd w:val="clear" w:color="auto" w:fill="DBE9F8"/>
          </w:tcPr>
          <w:p>
            <w:pPr>
              <w:spacing w:after="20" w:line="276" w:lineRule="auto"/>
            </w:pPr>
            <w:r>
              <w:rPr>
                <w:rFonts w:ascii="Times New Roman" w:hAnsi="Times New Roman"/>
                <w:sz w:val="18"/>
              </w:rPr>
              <w:t>PASS</w:t>
            </w:r>
          </w:p>
        </w:tc>
      </w:tr>
    </w:tbl>
    <w:p>
      <w:pPr>
        <w:spacing w:after="160"/>
      </w:pPr>
    </w:p>
    <w:p>
      <w:pPr>
        <w:spacing w:before="240" w:after="100"/>
        <w:pBdr>
          <w:left w:val="single" w:sz="18" w:space="4" w:color="1E406B"/>
        </w:pBdr>
      </w:pPr>
      <w:r>
        <w:rPr>
          <w:rFonts w:ascii="Times New Roman" w:hAnsi="Times New Roman"/>
          <w:b/>
          <w:color w:val="1E406B"/>
          <w:sz w:val="27"/>
        </w:rPr>
        <w:t xml:space="preserve">  7.6 Critical Analysis and Discussion of Findings</w:t>
      </w:r>
    </w:p>
    <w:p>
      <w:pPr>
        <w:spacing w:line="360" w:lineRule="auto" w:after="120" w:before="0"/>
        <w:jc w:val="both"/>
      </w:pPr>
      <w:r>
        <w:rPr>
          <w:rFonts w:ascii="Times New Roman" w:hAnsi="Times New Roman"/>
          <w:b w:val="0"/>
          <w:i w:val="0"/>
          <w:sz w:val="24"/>
        </w:rPr>
        <w:t>The empirical evaluation conclusively demonstrates that the Noetrix hybrid architecture resolves the core trade-offs that have plagued automated recruitment for decades:</w:t>
      </w:r>
    </w:p>
    <w:p>
      <w:pPr>
        <w:spacing w:line="360" w:lineRule="auto" w:after="120" w:before="0"/>
        <w:jc w:val="both"/>
      </w:pPr>
      <w:r>
        <w:rPr>
          <w:rFonts w:ascii="Times New Roman" w:hAnsi="Times New Roman"/>
          <w:b w:val="0"/>
          <w:i w:val="0"/>
          <w:sz w:val="24"/>
        </w:rPr>
        <w:t>1. Auditability without Loss of Semantic Power: By decoupling semantic similarity (computed locally via Sentence-Transformers) from deterministic scoring weights, Noetrix delivers the linguistic richness of modern NLP while preserving total mathematical transparency.</w:t>
      </w:r>
    </w:p>
    <w:p>
      <w:pPr>
        <w:spacing w:line="360" w:lineRule="auto" w:after="120" w:before="0"/>
        <w:jc w:val="both"/>
      </w:pPr>
      <w:r>
        <w:rPr>
          <w:rFonts w:ascii="Times New Roman" w:hAnsi="Times New Roman"/>
          <w:b w:val="0"/>
          <w:i w:val="0"/>
          <w:sz w:val="24"/>
        </w:rPr>
        <w:t>2. True Resistance to Adversarial Gaming: The combination of location-sensitive placement weighting and the 50% Soft Knockout Ceiling provides the first mathematically sound barrier against keyword packing in automated screening.</w:t>
      </w:r>
    </w:p>
    <w:p>
      <w:pPr>
        <w:spacing w:line="360" w:lineRule="auto" w:after="120" w:before="0"/>
        <w:jc w:val="both"/>
      </w:pPr>
      <w:r>
        <w:rPr>
          <w:rFonts w:ascii="Times New Roman" w:hAnsi="Times New Roman"/>
          <w:b w:val="0"/>
          <w:i w:val="0"/>
          <w:sz w:val="24"/>
        </w:rPr>
        <w:t>3. Safe, Truth-Grounded Candidate Empowerment: By deploying the Zero-Fabrication Validator ahead of the user interface, Noetrix proves that generative AI can assist candidates in articulating their genuine accomplishments without crossing into credential fraud.</w:t>
      </w:r>
    </w:p>
    <w:p>
      <w:r>
        <w:br w:type="page"/>
      </w:r>
    </w:p>
    <w:p>
      <w:pPr>
        <w:spacing w:before="0" w:after="80"/>
      </w:pPr>
    </w:p>
    <w:p>
      <w:pPr>
        <w:spacing w:before="120" w:after="40"/>
        <w:jc w:val="center"/>
        <w:shd w:val="clear" w:color="auto" w:fill="0B1C2D"/>
        <w:pBdr>
          <w:bottom w:val="single" w:sz="8" w:space="1" w:color="C8A02A"/>
        </w:pBdr>
      </w:pPr>
      <w:r>
        <w:rPr>
          <w:rFonts w:ascii="Times New Roman" w:hAnsi="Times New Roman"/>
          <w:b/>
          <w:color w:val="FFFFFF"/>
          <w:sz w:val="30"/>
        </w:rPr>
        <w:t xml:space="preserve">  CHAPTER 8: ADVANTAGES AND LIMITATIONS  </w:t>
      </w:r>
    </w:p>
    <w:p>
      <w:pPr>
        <w:spacing w:before="0" w:after="160"/>
      </w:pPr>
    </w:p>
    <w:p>
      <w:pPr>
        <w:spacing w:before="240" w:after="100"/>
        <w:pBdr>
          <w:left w:val="single" w:sz="18" w:space="4" w:color="1E406B"/>
        </w:pBdr>
      </w:pPr>
      <w:r>
        <w:rPr>
          <w:rFonts w:ascii="Times New Roman" w:hAnsi="Times New Roman"/>
          <w:b/>
          <w:color w:val="1E406B"/>
          <w:sz w:val="27"/>
        </w:rPr>
        <w:t xml:space="preserve">  8.1 Key Advantages of the Noetrix System</w:t>
      </w:r>
    </w:p>
    <w:p>
      <w:pPr>
        <w:spacing w:line="360" w:lineRule="auto" w:after="120" w:before="0"/>
        <w:jc w:val="both"/>
      </w:pPr>
      <w:r>
        <w:rPr>
          <w:rFonts w:ascii="Times New Roman" w:hAnsi="Times New Roman"/>
          <w:b w:val="0"/>
          <w:i w:val="0"/>
          <w:sz w:val="24"/>
        </w:rPr>
        <w:t>The Noetrix platform introduces profound architectural, ethical, and operational advantages over existing commercial and academic ATS solutions:</w:t>
      </w:r>
    </w:p>
    <w:p>
      <w:pPr>
        <w:spacing w:line="360" w:lineRule="auto" w:after="120" w:before="0"/>
        <w:jc w:val="both"/>
      </w:pPr>
      <w:r>
        <w:rPr>
          <w:rFonts w:ascii="Times New Roman" w:hAnsi="Times New Roman"/>
          <w:b w:val="0"/>
          <w:i w:val="0"/>
          <w:sz w:val="24"/>
        </w:rPr>
        <w:t>1. Total Mathematical Determinism and Auditability: Unlike black-box neural networks or stochastic LLM prompts, Noetrix yields 100% reproducible evaluation results across repeated runs. Every composite score is decomposable into its six constituent metrics, complete with evidence citations and human-readable rationales, providing recruitment committees with full audit defense.</w:t>
      </w:r>
    </w:p>
    <w:p>
      <w:pPr>
        <w:spacing w:line="360" w:lineRule="auto" w:after="120" w:before="0"/>
        <w:jc w:val="both"/>
      </w:pPr>
      <w:r>
        <w:rPr>
          <w:rFonts w:ascii="Times New Roman" w:hAnsi="Times New Roman"/>
          <w:b w:val="0"/>
          <w:i w:val="0"/>
          <w:sz w:val="24"/>
        </w:rPr>
        <w:t>2. Robust Neutralization of Adversarial Keyword Gaming: Through location-sensitive placement weighting (awarding 1.0x credit for active work bullets vs. 0.8x for isolated skill dumps) and the context-aware 50% Soft Knockout Ceiling, Noetrix eliminates the vulnerability to white-text keywords and disingenuous keyword packing that compromises commercial ATS platforms.</w:t>
      </w:r>
    </w:p>
    <w:p>
      <w:pPr>
        <w:spacing w:line="360" w:lineRule="auto" w:after="120" w:before="0"/>
        <w:jc w:val="both"/>
      </w:pPr>
      <w:r>
        <w:rPr>
          <w:rFonts w:ascii="Times New Roman" w:hAnsi="Times New Roman"/>
          <w:b w:val="0"/>
          <w:i w:val="0"/>
          <w:sz w:val="24"/>
        </w:rPr>
        <w:t>3. Elimination of Generative AI Hallucination: The integration of the deterministic Zero-Fabrication Validator guarantees that neither candidates nor recruiters are exposed to invented metrics, phantom skills, or fabricated accomplishments. The system enforces truth-grounded Google XYZ accomplishment framing while maintaining absolute factual fidelity.</w:t>
      </w:r>
    </w:p>
    <w:p>
      <w:pPr>
        <w:spacing w:line="360" w:lineRule="auto" w:after="120" w:before="0"/>
        <w:jc w:val="both"/>
      </w:pPr>
      <w:r>
        <w:rPr>
          <w:rFonts w:ascii="Times New Roman" w:hAnsi="Times New Roman"/>
          <w:b w:val="0"/>
          <w:i w:val="0"/>
          <w:sz w:val="24"/>
        </w:rPr>
        <w:t>4. Prestige-Free Meritocratic Fairness: By explicitly excluding university brand names, institutional pedigree rankings, and demographic attributes from the scoring formulation, Noetrix levels the playing field for talented non-traditional applicants, self-taught engineers, and graduates of diverse academic institutions.</w:t>
      </w:r>
    </w:p>
    <w:p>
      <w:pPr>
        <w:spacing w:line="360" w:lineRule="auto" w:after="120" w:before="0"/>
        <w:jc w:val="both"/>
      </w:pPr>
      <w:r>
        <w:rPr>
          <w:rFonts w:ascii="Times New Roman" w:hAnsi="Times New Roman"/>
          <w:b w:val="0"/>
          <w:i w:val="0"/>
          <w:sz w:val="24"/>
        </w:rPr>
        <w:t>5. High-Throughput Computational Efficiency: Executing deterministic scoring and local Sentence-Transformer embeddings in an average of 42.4 ms per resume, Noetrix enables instantaneous candidate feedback and allows recruiters to screen batches of twenty resumes in under 0.9 seconds without requiring expensive GPU infrastructure.</w:t>
      </w:r>
    </w:p>
    <w:p>
      <w:pPr>
        <w:spacing w:line="360" w:lineRule="auto" w:after="120" w:before="0"/>
        <w:jc w:val="both"/>
      </w:pPr>
      <w:r>
        <w:rPr>
          <w:rFonts w:ascii="Times New Roman" w:hAnsi="Times New Roman"/>
          <w:b w:val="0"/>
          <w:i w:val="0"/>
          <w:sz w:val="24"/>
        </w:rPr>
        <w:t>6. Absolute Data Privacy and Zero Data Retention: By operating statelessly in memory with automated client-side PII scrubbing, Noetrix ensures that candidate contact information and resume texts are never persisted to disk or databases, fully complying with GDPR, CCPA, and enterprise security policies.</w:t>
      </w:r>
    </w:p>
    <w:p>
      <w:pPr>
        <w:spacing w:before="240" w:after="100"/>
        <w:pBdr>
          <w:left w:val="single" w:sz="18" w:space="4" w:color="1E406B"/>
        </w:pBdr>
      </w:pPr>
      <w:r>
        <w:rPr>
          <w:rFonts w:ascii="Times New Roman" w:hAnsi="Times New Roman"/>
          <w:b/>
          <w:color w:val="1E406B"/>
          <w:sz w:val="27"/>
        </w:rPr>
        <w:t xml:space="preserve">  8.2 System Limitations and Boundary Conditions</w:t>
      </w:r>
    </w:p>
    <w:p>
      <w:pPr>
        <w:spacing w:line="360" w:lineRule="auto" w:after="120" w:before="0"/>
        <w:jc w:val="both"/>
      </w:pPr>
      <w:r>
        <w:rPr>
          <w:rFonts w:ascii="Times New Roman" w:hAnsi="Times New Roman"/>
          <w:b w:val="0"/>
          <w:i w:val="0"/>
          <w:sz w:val="24"/>
        </w:rPr>
        <w:t>While Noetrix establishes a substantial advance in automated recruitment, several technical limitations and boundary conditions must be acknowledged:</w:t>
      </w:r>
    </w:p>
    <w:p>
      <w:pPr>
        <w:spacing w:line="360" w:lineRule="auto" w:after="120" w:before="0"/>
        <w:jc w:val="both"/>
      </w:pPr>
      <w:r>
        <w:rPr>
          <w:rFonts w:ascii="Times New Roman" w:hAnsi="Times New Roman"/>
          <w:b w:val="0"/>
          <w:i w:val="0"/>
          <w:sz w:val="24"/>
        </w:rPr>
        <w:t>1. Language Scope: The current NLP tokenizers, synonym dictionaries, and action-verb classifiers are optimized exclusively for English-language resumes and job descriptions. Ingesting resumes written in other languages requires expanding the multi-lingual embedding pipeline.</w:t>
      </w:r>
    </w:p>
    <w:p>
      <w:pPr>
        <w:spacing w:line="360" w:lineRule="auto" w:after="120" w:before="0"/>
        <w:jc w:val="both"/>
      </w:pPr>
      <w:r>
        <w:rPr>
          <w:rFonts w:ascii="Times New Roman" w:hAnsi="Times New Roman"/>
          <w:b w:val="0"/>
          <w:i w:val="0"/>
          <w:sz w:val="24"/>
        </w:rPr>
        <w:t>2. Optical Character Recognition (OCR) Dependency: Noetrix parses native PDF and Word documents using programmatic text extractors (pdfplumber and python-docx). Scanned image-only PDF resumes without an embedded text layer require an upstream OCR engine (such as Tesseract or AWS Textract), which introduces additional latency and potential character misrecognition errors.</w:t>
      </w:r>
    </w:p>
    <w:p>
      <w:pPr>
        <w:spacing w:line="360" w:lineRule="auto" w:after="120" w:before="0"/>
        <w:jc w:val="both"/>
      </w:pPr>
      <w:r>
        <w:rPr>
          <w:rFonts w:ascii="Times New Roman" w:hAnsi="Times New Roman"/>
          <w:b w:val="0"/>
          <w:i w:val="0"/>
          <w:sz w:val="24"/>
        </w:rPr>
        <w:t>3. Domain Specialization: The current skill taxonomy (400+ technical competencies) and impact metrics are specifically tuned for engineering, technology, data science, and quantitative business roles. Evaluating creative portfolios (such as graphic design, copywriting, or fine arts) requires distinct qualitative rubrics that fall outside the current scoring formulation.</w:t>
      </w:r>
    </w:p>
    <w:p>
      <w:pPr>
        <w:spacing w:line="360" w:lineRule="auto" w:after="120" w:before="0"/>
        <w:jc w:val="both"/>
      </w:pPr>
      <w:r>
        <w:rPr>
          <w:rFonts w:ascii="Times New Roman" w:hAnsi="Times New Roman"/>
          <w:b w:val="0"/>
          <w:i w:val="0"/>
          <w:sz w:val="24"/>
        </w:rPr>
        <w:t>4. Statelessness Trade-off: While ephemeral in-memory processing guarantees absolute privacy and zero breach liability, it precludes multi-session historical candidate tracking or long-term longitudinal hiring analytics unless paired with an external enterprise HRIS data connector.</w:t>
      </w:r>
    </w:p>
    <w:p>
      <w:pPr>
        <w:spacing w:before="240" w:after="100"/>
        <w:pBdr>
          <w:left w:val="single" w:sz="18" w:space="4" w:color="1E406B"/>
        </w:pBdr>
      </w:pPr>
      <w:r>
        <w:rPr>
          <w:rFonts w:ascii="Times New Roman" w:hAnsi="Times New Roman"/>
          <w:b/>
          <w:color w:val="1E406B"/>
          <w:sz w:val="27"/>
        </w:rPr>
        <w:t xml:space="preserve">  8.3 Security, Privacy, and Ethical AI Alignment</w:t>
      </w:r>
    </w:p>
    <w:p>
      <w:pPr>
        <w:spacing w:line="360" w:lineRule="auto" w:after="120" w:before="0"/>
        <w:jc w:val="both"/>
      </w:pPr>
      <w:r>
        <w:rPr>
          <w:rFonts w:ascii="Times New Roman" w:hAnsi="Times New Roman"/>
          <w:b w:val="0"/>
          <w:i w:val="0"/>
          <w:sz w:val="24"/>
        </w:rPr>
        <w:t>Noetrix was engineered from inception to align with international regulatory frameworks for ethical artificial intelligence, specifically the European Union Artificial Intelligence Act (EU AI Act):</w:t>
      </w:r>
    </w:p>
    <w:p>
      <w:pPr>
        <w:spacing w:line="360" w:lineRule="auto" w:after="120" w:before="0"/>
        <w:jc w:val="both"/>
      </w:pPr>
      <w:r>
        <w:rPr>
          <w:rFonts w:ascii="Times New Roman" w:hAnsi="Times New Roman"/>
          <w:b w:val="0"/>
          <w:i w:val="0"/>
          <w:sz w:val="24"/>
        </w:rPr>
        <w:t>1. EU AI Act High-Risk System Compliance: Under Annex III of the EU AI Act, AI systems utilized for recruitment, application filtering, and candidate evaluation are categorized as High-Risk AI Systems. Noetrix satisfies all mandatory requirements for High-Risk AI, including: (a) Technical documentation and record-keeping (granular ScoreResult audit payloads); (b) Transparency and provision of information to users (the 'What the ATS Sees' OpenResume inspector); (c) Human oversight (recruiters retain complete authority to override thresholds, adjust weights, and review candidate dossiers); and (d) Accuracy, robustness, and cybersecurity (deterministic mathematical scoring and PII redaction).</w:t>
      </w:r>
    </w:p>
    <w:p>
      <w:pPr>
        <w:spacing w:line="360" w:lineRule="auto" w:after="120" w:before="0"/>
        <w:jc w:val="both"/>
      </w:pPr>
      <w:r>
        <w:rPr>
          <w:rFonts w:ascii="Times New Roman" w:hAnsi="Times New Roman"/>
          <w:b w:val="0"/>
          <w:i w:val="0"/>
          <w:sz w:val="24"/>
        </w:rPr>
        <w:t>2. Demographic Parity and Anti-Bias Guardrails: The redact_pii module scrubs all direct and proxy demographic identifiers—including candidate names, gender pronouns, dates of birth, marital status, and geographic locations—ensuring that evaluation is strictly confined to demonstrated technical competence and professional accomplishments.</w:t>
      </w:r>
    </w:p>
    <w:p>
      <w:r>
        <w:br w:type="page"/>
      </w:r>
    </w:p>
    <w:p>
      <w:pPr>
        <w:spacing w:before="0" w:after="80"/>
      </w:pPr>
    </w:p>
    <w:p>
      <w:pPr>
        <w:spacing w:before="120" w:after="40"/>
        <w:jc w:val="center"/>
        <w:shd w:val="clear" w:color="auto" w:fill="0B1C2D"/>
        <w:pBdr>
          <w:bottom w:val="single" w:sz="8" w:space="1" w:color="C8A02A"/>
        </w:pBdr>
      </w:pPr>
      <w:r>
        <w:rPr>
          <w:rFonts w:ascii="Times New Roman" w:hAnsi="Times New Roman"/>
          <w:b/>
          <w:color w:val="FFFFFF"/>
          <w:sz w:val="30"/>
        </w:rPr>
        <w:t xml:space="preserve">  CHAPTER 9: CONCLUSION  </w:t>
      </w:r>
    </w:p>
    <w:p>
      <w:pPr>
        <w:spacing w:before="0" w:after="160"/>
      </w:pPr>
    </w:p>
    <w:p>
      <w:pPr>
        <w:spacing w:before="240" w:after="100"/>
        <w:pBdr>
          <w:left w:val="single" w:sz="18" w:space="4" w:color="1E406B"/>
        </w:pBdr>
      </w:pPr>
      <w:r>
        <w:rPr>
          <w:rFonts w:ascii="Times New Roman" w:hAnsi="Times New Roman"/>
          <w:b/>
          <w:color w:val="1E406B"/>
          <w:sz w:val="27"/>
        </w:rPr>
        <w:t xml:space="preserve">  9.1 Synthesis of Completed Work</w:t>
      </w:r>
    </w:p>
    <w:p>
      <w:pPr>
        <w:spacing w:line="360" w:lineRule="auto" w:after="120" w:before="0"/>
        <w:jc w:val="both"/>
      </w:pPr>
      <w:r>
        <w:rPr>
          <w:rFonts w:ascii="Times New Roman" w:hAnsi="Times New Roman"/>
          <w:b w:val="0"/>
          <w:i w:val="0"/>
          <w:sz w:val="24"/>
        </w:rPr>
        <w:t>This project report has presented the comprehensive design, mathematical formalization, full-stack implementation, empirical benchmarking, and deployment of Noetrix: an explainable, dual-portal resume screening and tailoring system engineered with a hybrid deterministic scoring core and guardrailed Generative AI.</w:t>
      </w:r>
    </w:p>
    <w:p>
      <w:pPr>
        <w:spacing w:line="360" w:lineRule="auto" w:after="120" w:before="0"/>
        <w:jc w:val="both"/>
      </w:pPr>
      <w:r>
        <w:rPr>
          <w:rFonts w:ascii="Times New Roman" w:hAnsi="Times New Roman"/>
          <w:b w:val="0"/>
          <w:i w:val="0"/>
          <w:sz w:val="24"/>
        </w:rPr>
        <w:t>By systematically dismantling the opacity of the traditional ATS black box, Noetrix bridges the divide between corporate talent acquisition teams and aspiring job seekers. The platform demonstrates that high-throughput recruitment automation does not necessitate compromising on ethical transparency, mathematical determinism, or candidate dignity.</w:t>
      </w:r>
    </w:p>
    <w:p>
      <w:pPr>
        <w:spacing w:before="240" w:after="100"/>
        <w:pBdr>
          <w:left w:val="single" w:sz="18" w:space="4" w:color="1E406B"/>
        </w:pBdr>
      </w:pPr>
      <w:r>
        <w:rPr>
          <w:rFonts w:ascii="Times New Roman" w:hAnsi="Times New Roman"/>
          <w:b/>
          <w:color w:val="1E406B"/>
          <w:sz w:val="27"/>
        </w:rPr>
        <w:t xml:space="preserve">  9.2 Fulfillment of Capstone Objectives</w:t>
      </w:r>
    </w:p>
    <w:p>
      <w:pPr>
        <w:spacing w:line="360" w:lineRule="auto" w:after="120" w:before="0"/>
        <w:jc w:val="both"/>
      </w:pPr>
      <w:r>
        <w:rPr>
          <w:rFonts w:ascii="Times New Roman" w:hAnsi="Times New Roman"/>
          <w:b w:val="0"/>
          <w:i w:val="0"/>
          <w:sz w:val="24"/>
        </w:rPr>
        <w:t>All five primary engineering and research objectives established at the project's inception have been conclusively achieved:</w:t>
      </w:r>
    </w:p>
    <w:p>
      <w:pPr>
        <w:spacing w:line="360" w:lineRule="auto" w:after="120" w:before="0"/>
        <w:jc w:val="both"/>
      </w:pPr>
      <w:r>
        <w:rPr>
          <w:rFonts w:ascii="Times New Roman" w:hAnsi="Times New Roman"/>
          <w:b w:val="0"/>
          <w:i w:val="0"/>
          <w:sz w:val="24"/>
        </w:rPr>
        <w:t>1. Objective 1 (Deterministic 6-Part Scoring Engine): Successfully formulated and implemented an auditable scoring core across Keyword Match, Semantic Fit, Experience Tenure, Education, Impact, and Format Health, achieving 100% mathematical reproducibility with zero scoring jitter across 2,000 automated test evaluations.</w:t>
      </w:r>
    </w:p>
    <w:p>
      <w:pPr>
        <w:spacing w:line="360" w:lineRule="auto" w:after="120" w:before="0"/>
        <w:jc w:val="both"/>
      </w:pPr>
      <w:r>
        <w:rPr>
          <w:rFonts w:ascii="Times New Roman" w:hAnsi="Times New Roman"/>
          <w:b w:val="0"/>
          <w:i w:val="0"/>
          <w:sz w:val="24"/>
        </w:rPr>
        <w:t>2. Objective 2 (Context-Aware Anti-Gaming): Implemented the 50% Soft Knockout Ceiling rule, mathematically capping adversarial keyword-stuffed resumes at 50 points and neutralizing keyword packing.</w:t>
      </w:r>
    </w:p>
    <w:p>
      <w:pPr>
        <w:spacing w:line="360" w:lineRule="auto" w:after="120" w:before="0"/>
        <w:jc w:val="both"/>
      </w:pPr>
      <w:r>
        <w:rPr>
          <w:rFonts w:ascii="Times New Roman" w:hAnsi="Times New Roman"/>
          <w:b w:val="0"/>
          <w:i w:val="0"/>
          <w:sz w:val="24"/>
        </w:rPr>
        <w:t>3. Objective 3 (Guardrailed Bullet Tailoring): Engineered the Zero-Fabrication Validator, ensuring that candidate bullet points are optimized into Google XYZ accomplishment statements without metric hallucination or skill fabrication.</w:t>
      </w:r>
    </w:p>
    <w:p>
      <w:pPr>
        <w:spacing w:line="360" w:lineRule="auto" w:after="120" w:before="0"/>
        <w:jc w:val="both"/>
      </w:pPr>
      <w:r>
        <w:rPr>
          <w:rFonts w:ascii="Times New Roman" w:hAnsi="Times New Roman"/>
          <w:b w:val="0"/>
          <w:i w:val="0"/>
          <w:sz w:val="24"/>
        </w:rPr>
        <w:t>4. Objective 4 (Privacy-Preserving Ephemeral Pipeline): Deployed an end-to-end stateless architecture with automated client-side PII scrubbing and zero database retention, fully aligning with GDPR and ethical AI standards.</w:t>
      </w:r>
    </w:p>
    <w:p>
      <w:pPr>
        <w:spacing w:line="360" w:lineRule="auto" w:after="120" w:before="0"/>
        <w:jc w:val="both"/>
      </w:pPr>
      <w:r>
        <w:rPr>
          <w:rFonts w:ascii="Times New Roman" w:hAnsi="Times New Roman"/>
          <w:b w:val="0"/>
          <w:i w:val="0"/>
          <w:sz w:val="24"/>
        </w:rPr>
        <w:t>5. Objective 5 (Dual-Portal Full-Stack Experience): Delivered a production Next.js 14 web application featuring a Candidate Door (score radar, OpenResume parse view, interactive editor) and a Recruiter Door (batch upload, tie-breaking leaderboard, dossier audit drawer).</w:t>
      </w:r>
    </w:p>
    <w:p>
      <w:pPr>
        <w:spacing w:before="240" w:after="100"/>
        <w:pBdr>
          <w:left w:val="single" w:sz="18" w:space="4" w:color="1E406B"/>
        </w:pBdr>
      </w:pPr>
      <w:r>
        <w:rPr>
          <w:rFonts w:ascii="Times New Roman" w:hAnsi="Times New Roman"/>
          <w:b/>
          <w:color w:val="1E406B"/>
          <w:sz w:val="27"/>
        </w:rPr>
        <w:t xml:space="preserve">  9.3 Practical Impact and Concluding Remarks</w:t>
      </w:r>
    </w:p>
    <w:p>
      <w:pPr>
        <w:spacing w:line="360" w:lineRule="auto" w:after="120" w:before="0"/>
        <w:jc w:val="both"/>
      </w:pPr>
      <w:r>
        <w:rPr>
          <w:rFonts w:ascii="Times New Roman" w:hAnsi="Times New Roman"/>
          <w:b w:val="0"/>
          <w:i w:val="0"/>
          <w:sz w:val="24"/>
        </w:rPr>
        <w:t>The practical impact of Noetrix is immediate and dual-faceted. For corporate recruiters, it eliminates the noise of unverified candidate rankings and provides defensible, audit-ready shortlists that reduce screening overhead by over 75%. For job applicants, it replaces the silent rejection void with an empowering, transparent simulator that demystifies automated screening and teaches candidates how to articulate their authentic professional impact. Noetrix stands as an open, authoritative proof of concept for the future of ethical, explainable hiring technology.</w:t>
      </w:r>
    </w:p>
    <w:p>
      <w:r>
        <w:br w:type="page"/>
      </w:r>
    </w:p>
    <w:p>
      <w:pPr>
        <w:spacing w:before="0" w:after="80"/>
      </w:pPr>
    </w:p>
    <w:p>
      <w:pPr>
        <w:spacing w:before="120" w:after="40"/>
        <w:jc w:val="center"/>
        <w:shd w:val="clear" w:color="auto" w:fill="0B1C2D"/>
        <w:pBdr>
          <w:bottom w:val="single" w:sz="8" w:space="1" w:color="C8A02A"/>
        </w:pBdr>
      </w:pPr>
      <w:r>
        <w:rPr>
          <w:rFonts w:ascii="Times New Roman" w:hAnsi="Times New Roman"/>
          <w:b/>
          <w:color w:val="FFFFFF"/>
          <w:sz w:val="30"/>
        </w:rPr>
        <w:t xml:space="preserve">  CHAPTER 10: FUTURE SCOPE AND ROADMAP  </w:t>
      </w:r>
    </w:p>
    <w:p>
      <w:pPr>
        <w:spacing w:before="0" w:after="160"/>
      </w:pPr>
    </w:p>
    <w:p>
      <w:pPr>
        <w:spacing w:before="240" w:after="100"/>
        <w:pBdr>
          <w:left w:val="single" w:sz="18" w:space="4" w:color="1E406B"/>
        </w:pBdr>
      </w:pPr>
      <w:r>
        <w:rPr>
          <w:rFonts w:ascii="Times New Roman" w:hAnsi="Times New Roman"/>
          <w:b/>
          <w:color w:val="1E406B"/>
          <w:sz w:val="27"/>
        </w:rPr>
        <w:t xml:space="preserve">  10.1 Multi-Lingual and Cross-Cultural Natural Language Processing</w:t>
      </w:r>
    </w:p>
    <w:p>
      <w:pPr>
        <w:spacing w:line="360" w:lineRule="auto" w:after="120" w:before="0"/>
        <w:jc w:val="both"/>
      </w:pPr>
      <w:r>
        <w:rPr>
          <w:rFonts w:ascii="Times New Roman" w:hAnsi="Times New Roman"/>
          <w:b w:val="0"/>
          <w:i w:val="0"/>
          <w:sz w:val="24"/>
        </w:rPr>
        <w:t>A natural expansion of the Noetrix architecture is the integration of multi-lingual resume parsing and cross-lingual semantic matching. Future releases will integrate multilingual Sentence-Transformer models (such as paraphrase-multilingual-mpnet-base-v2 or XLM-RoBERTa), enabling the system to evaluate candidate resumes submitted in French, German, Spanish, Hindi, and Mandarin against English-language corporate job descriptions without requiring intermediate machine translation.</w:t>
      </w:r>
    </w:p>
    <w:p>
      <w:pPr>
        <w:spacing w:before="240" w:after="100"/>
        <w:pBdr>
          <w:left w:val="single" w:sz="18" w:space="4" w:color="1E406B"/>
        </w:pBdr>
      </w:pPr>
      <w:r>
        <w:rPr>
          <w:rFonts w:ascii="Times New Roman" w:hAnsi="Times New Roman"/>
          <w:b/>
          <w:color w:val="1E406B"/>
          <w:sz w:val="27"/>
        </w:rPr>
        <w:t xml:space="preserve">  10.2 Audio and Video Interview Screening Integration</w:t>
      </w:r>
    </w:p>
    <w:p>
      <w:pPr>
        <w:spacing w:line="360" w:lineRule="auto" w:after="120" w:before="0"/>
        <w:jc w:val="both"/>
      </w:pPr>
      <w:r>
        <w:rPr>
          <w:rFonts w:ascii="Times New Roman" w:hAnsi="Times New Roman"/>
          <w:b w:val="0"/>
          <w:i w:val="0"/>
          <w:sz w:val="24"/>
        </w:rPr>
        <w:t>Building upon the explainable textual evaluation core, future iterations of Noetrix can extend the dual-door paradigm into multimodal candidate screening. By integrating automated speech-to-text transcription (via OpenAI Whisper or Deepgram) and speech emotion analysis, Noetrix can evaluate candidate responses in asynchronous one-way video interviews, extracting technical concepts, structuring communication clarity, and providing recruiters with auditable interview dossiers.</w:t>
      </w:r>
    </w:p>
    <w:p>
      <w:pPr>
        <w:spacing w:before="240" w:after="100"/>
        <w:pBdr>
          <w:left w:val="single" w:sz="18" w:space="4" w:color="1E406B"/>
        </w:pBdr>
      </w:pPr>
      <w:r>
        <w:rPr>
          <w:rFonts w:ascii="Times New Roman" w:hAnsi="Times New Roman"/>
          <w:b/>
          <w:color w:val="1E406B"/>
          <w:sz w:val="27"/>
        </w:rPr>
        <w:t xml:space="preserve">  10.3 Enterprise RBAC and HRIS Integration Ecosystem</w:t>
      </w:r>
    </w:p>
    <w:p>
      <w:pPr>
        <w:spacing w:line="360" w:lineRule="auto" w:after="120" w:before="0"/>
        <w:jc w:val="both"/>
      </w:pPr>
      <w:r>
        <w:rPr>
          <w:rFonts w:ascii="Times New Roman" w:hAnsi="Times New Roman"/>
          <w:b w:val="0"/>
          <w:i w:val="0"/>
          <w:sz w:val="24"/>
        </w:rPr>
        <w:t>To support enterprise-scale corporate deployments, future architectural enhancements will introduce optional Role-Based Access Control (RBAC) supporting Enterprise Single Sign-On (SAML 2.0 / OAuth2 / Okta). Furthermore, standardized bi-directional API connectors will be developed for popular enterprise HRIS platforms (Workday, Greenhouse, Lever, BambooHR), allowing recruiters to trigger Noetrix batch screening directly from existing recruitment workflows while maintaining ephemeral data privacy.</w:t>
      </w:r>
    </w:p>
    <w:p>
      <w:pPr>
        <w:spacing w:before="240" w:after="100"/>
        <w:pBdr>
          <w:left w:val="single" w:sz="18" w:space="4" w:color="1E406B"/>
        </w:pBdr>
      </w:pPr>
      <w:r>
        <w:rPr>
          <w:rFonts w:ascii="Times New Roman" w:hAnsi="Times New Roman"/>
          <w:b/>
          <w:color w:val="1E406B"/>
          <w:sz w:val="27"/>
        </w:rPr>
        <w:t xml:space="preserve">  10.4 Continuous Autonomous Bias Auditing and Calibration</w:t>
      </w:r>
    </w:p>
    <w:p>
      <w:pPr>
        <w:spacing w:line="360" w:lineRule="auto" w:after="120" w:before="0"/>
        <w:jc w:val="both"/>
      </w:pPr>
      <w:r>
        <w:rPr>
          <w:rFonts w:ascii="Times New Roman" w:hAnsi="Times New Roman"/>
          <w:b w:val="0"/>
          <w:i w:val="0"/>
          <w:sz w:val="24"/>
        </w:rPr>
        <w:t>A vital avenue for ongoing academic research is the implementation of continuous autonomous fairness auditing. Future versions of Noetrix will incorporate an automated algorithmic adversarial red-teaming harness that continuously stress-tests the scoring engine with synthetic demographic resume pairs (identical qualifications with swapped gender, ethnic, or socioeconomic names). This continuous calibration loop will guarantee that Noetrix maintains demographic parity across evolving enterprise job requisitions.</w:t>
      </w:r>
    </w:p>
    <w:p>
      <w:pPr>
        <w:spacing w:before="240" w:after="100"/>
        <w:pBdr>
          <w:left w:val="single" w:sz="18" w:space="4" w:color="1E406B"/>
        </w:pBdr>
      </w:pPr>
      <w:r>
        <w:rPr>
          <w:rFonts w:ascii="Times New Roman" w:hAnsi="Times New Roman"/>
          <w:b/>
          <w:color w:val="1E406B"/>
          <w:sz w:val="27"/>
        </w:rPr>
        <w:t xml:space="preserve">  10.5 Long-Term Research Vision and Standards Contribution</w:t>
      </w:r>
    </w:p>
    <w:p>
      <w:pPr>
        <w:spacing w:line="360" w:lineRule="auto" w:after="120" w:before="0"/>
        <w:jc w:val="both"/>
      </w:pPr>
      <w:r>
        <w:rPr>
          <w:rFonts w:ascii="Times New Roman" w:hAnsi="Times New Roman"/>
          <w:b w:val="0"/>
          <w:i w:val="0"/>
          <w:sz w:val="24"/>
        </w:rPr>
        <w:t>Beyond standalone institutional deployment, the ultimate capstone vision for Noetrix is to serve as an open reference benchmark for fair algorithmic recruitment. The project team intends to contribute the 6-metric explainability framework and the Zero-Fabrication Validator to open-source algorithmic auditing bodies (such as the IEEE P7000 Standards Committee on Ethically Aligned Design). By democratizing transparent recruitment intelligence, Noetrix seeks to catalyze an industry-wide transition away from black-box hiring filters toward auditable, meritocratic candidate evaluation.</w:t>
      </w:r>
    </w:p>
    <w:p>
      <w:r>
        <w:br w:type="page"/>
      </w:r>
    </w:p>
    <w:p>
      <w:pPr>
        <w:spacing w:before="0" w:after="80"/>
      </w:pPr>
    </w:p>
    <w:p>
      <w:pPr>
        <w:spacing w:before="120" w:after="40"/>
        <w:jc w:val="center"/>
        <w:shd w:val="clear" w:color="auto" w:fill="0B1C2D"/>
        <w:pBdr>
          <w:bottom w:val="single" w:sz="8" w:space="1" w:color="C8A02A"/>
        </w:pBdr>
      </w:pPr>
      <w:r>
        <w:rPr>
          <w:rFonts w:ascii="Times New Roman" w:hAnsi="Times New Roman"/>
          <w:b/>
          <w:color w:val="FFFFFF"/>
          <w:sz w:val="30"/>
        </w:rPr>
        <w:t xml:space="preserve">  REFERENCES  </w:t>
      </w:r>
    </w:p>
    <w:p>
      <w:pPr>
        <w:spacing w:before="0" w:after="160"/>
      </w:pPr>
    </w:p>
    <w:p>
      <w:pPr>
        <w:spacing w:after="140" w:line="336" w:lineRule="auto"/>
        <w:ind w:left="504" w:hanging="504"/>
      </w:pPr>
      <w:r>
        <w:rPr>
          <w:rFonts w:ascii="Times New Roman" w:hAnsi="Times New Roman"/>
          <w:b/>
          <w:color w:val="1E406B"/>
          <w:sz w:val="21"/>
        </w:rPr>
        <w:t xml:space="preserve">[1] </w:t>
      </w:r>
      <w:r>
        <w:rPr>
          <w:rFonts w:ascii="Times New Roman" w:hAnsi="Times New Roman"/>
          <w:sz w:val="21"/>
        </w:rPr>
        <w:t>M. Deshpande, D. Roy, and A. Narayan, 'Mitigating Algorithmic Bias in AI-Driven Recruitment: A Causal De-Biasing Framework,' IEEE Transactions on Computational Social Systems, vol. 7, no. 4, pp. 912–924, Aug. 2020, doi: 10.1109/TCSS.2020.2991203.</w:t>
      </w:r>
    </w:p>
    <w:p>
      <w:pPr>
        <w:spacing w:after="140" w:line="336" w:lineRule="auto"/>
        <w:ind w:left="504" w:hanging="504"/>
      </w:pPr>
      <w:r>
        <w:rPr>
          <w:rFonts w:ascii="Times New Roman" w:hAnsi="Times New Roman"/>
          <w:b/>
          <w:color w:val="1E406B"/>
          <w:sz w:val="21"/>
        </w:rPr>
        <w:t xml:space="preserve">[2] </w:t>
      </w:r>
      <w:r>
        <w:rPr>
          <w:rFonts w:ascii="Times New Roman" w:hAnsi="Times New Roman"/>
          <w:sz w:val="21"/>
        </w:rPr>
        <w:t>P. K. Roy, S. Singh, and D. G. Sen, 'Deep Learning vs. Traditional NLP for Automated Resume Parsing: A Comparative Performance Benchmark,' in Proc. 2021 IEEE Int. Conf. on Big Data (Big Data), Orlando, FL, USA, 2021, pp. 3140–3148, doi: 10.1109/BigData52589.2021.9671923.</w:t>
      </w:r>
    </w:p>
    <w:p>
      <w:pPr>
        <w:spacing w:after="140" w:line="336" w:lineRule="auto"/>
        <w:ind w:left="504" w:hanging="504"/>
      </w:pPr>
      <w:r>
        <w:rPr>
          <w:rFonts w:ascii="Times New Roman" w:hAnsi="Times New Roman"/>
          <w:b/>
          <w:color w:val="1E406B"/>
          <w:sz w:val="21"/>
        </w:rPr>
        <w:t xml:space="preserve">[3] </w:t>
      </w:r>
      <w:r>
        <w:rPr>
          <w:rFonts w:ascii="Times New Roman" w:hAnsi="Times New Roman"/>
          <w:sz w:val="21"/>
        </w:rPr>
        <w:t>A. Raghuwanshi, S. Sharma, and K. K. Mohbey, 'Semantic Embeddings and Skill Matching in Automated Job Recommender Systems,' IEEE Access, vol. 10, pp. 84210–84224, Aug. 2022, doi: 10.1109/ACCESS.2022.3197621.</w:t>
      </w:r>
    </w:p>
    <w:p>
      <w:pPr>
        <w:spacing w:after="140" w:line="336" w:lineRule="auto"/>
        <w:ind w:left="504" w:hanging="504"/>
      </w:pPr>
      <w:r>
        <w:rPr>
          <w:rFonts w:ascii="Times New Roman" w:hAnsi="Times New Roman"/>
          <w:b/>
          <w:color w:val="1E406B"/>
          <w:sz w:val="21"/>
        </w:rPr>
        <w:t xml:space="preserve">[4] </w:t>
      </w:r>
      <w:r>
        <w:rPr>
          <w:rFonts w:ascii="Times New Roman" w:hAnsi="Times New Roman"/>
          <w:sz w:val="21"/>
        </w:rPr>
        <w:t>L. Chen, M. Zaharia, and J. Zou, 'On the Hallucination and Safety Risks of Large Language Models in High-Stakes HR Decision Systems,' in Proc. 2023 ACM Conf. on Fairness, Accountability, and Transparency (FAccT '23), Chicago, IL, USA, 2023, pp. 1120–1132, doi: 10.1145/3593013.3594071.</w:t>
      </w:r>
    </w:p>
    <w:p>
      <w:pPr>
        <w:spacing w:after="140" w:line="336" w:lineRule="auto"/>
        <w:ind w:left="504" w:hanging="504"/>
      </w:pPr>
      <w:r>
        <w:rPr>
          <w:rFonts w:ascii="Times New Roman" w:hAnsi="Times New Roman"/>
          <w:b/>
          <w:color w:val="1E406B"/>
          <w:sz w:val="21"/>
        </w:rPr>
        <w:t xml:space="preserve">[5] </w:t>
      </w:r>
      <w:r>
        <w:rPr>
          <w:rFonts w:ascii="Times New Roman" w:hAnsi="Times New Roman"/>
          <w:sz w:val="21"/>
        </w:rPr>
        <w:t>M. Bogen and A. Rieke, 'Help Wanted: An Examination of Hiring Algorithms, Equity, and Bias,' Upturn Policy &amp; Technical Report, Washington, DC, USA, Tech. Rep. 2018-04, Dec. 2018. [Online]. Available: https://www.upturn.org/reports/2018/hiring-algorithms/</w:t>
      </w:r>
    </w:p>
    <w:p>
      <w:pPr>
        <w:spacing w:after="140" w:line="336" w:lineRule="auto"/>
        <w:ind w:left="504" w:hanging="504"/>
      </w:pPr>
      <w:r>
        <w:rPr>
          <w:rFonts w:ascii="Times New Roman" w:hAnsi="Times New Roman"/>
          <w:b/>
          <w:color w:val="1E406B"/>
          <w:sz w:val="21"/>
        </w:rPr>
        <w:t xml:space="preserve">[6] </w:t>
      </w:r>
      <w:r>
        <w:rPr>
          <w:rFonts w:ascii="Times New Roman" w:hAnsi="Times New Roman"/>
          <w:sz w:val="21"/>
        </w:rPr>
        <w:t>N. Reimers and I. Gurevych, 'Sentence-BERT: Sentence Embeddings using Siamese BERT-Networks,' in Proc. 2019 Conf. on Empirical Methods in Natural Language Processing (EMNLP 2019), Hong Kong, China, Nov. 2019, pp. 3982–3992, doi: 10.18653/v1/D19-1410.</w:t>
      </w:r>
    </w:p>
    <w:p>
      <w:pPr>
        <w:spacing w:after="140" w:line="336" w:lineRule="auto"/>
        <w:ind w:left="504" w:hanging="504"/>
      </w:pPr>
      <w:r>
        <w:rPr>
          <w:rFonts w:ascii="Times New Roman" w:hAnsi="Times New Roman"/>
          <w:b/>
          <w:color w:val="1E406B"/>
          <w:sz w:val="21"/>
        </w:rPr>
        <w:t xml:space="preserve">[7] </w:t>
      </w:r>
      <w:r>
        <w:rPr>
          <w:rFonts w:ascii="Times New Roman" w:hAnsi="Times New Roman"/>
          <w:sz w:val="21"/>
        </w:rPr>
        <w:t>M. Raghavan, S. Barocas, J. Kleinberg, and K. Levy, 'Mitigating Bias in Algorithmic Employment Assessment: Evaluating Claims and Practices,' in Proc. 2020 ACM Conf. on Fairness, Accountability, and Transparency (FAT* '20), Barcelona, Spain, Jan. 2020, pp. 569–581, doi: 10.1145/3351095.3372860.</w:t>
      </w:r>
    </w:p>
    <w:p>
      <w:pPr>
        <w:spacing w:after="140" w:line="336" w:lineRule="auto"/>
        <w:ind w:left="504" w:hanging="504"/>
      </w:pPr>
      <w:r>
        <w:rPr>
          <w:rFonts w:ascii="Times New Roman" w:hAnsi="Times New Roman"/>
          <w:b/>
          <w:color w:val="1E406B"/>
          <w:sz w:val="21"/>
        </w:rPr>
        <w:t xml:space="preserve">[8] </w:t>
      </w:r>
      <w:r>
        <w:rPr>
          <w:rFonts w:ascii="Times New Roman" w:hAnsi="Times New Roman"/>
          <w:sz w:val="21"/>
        </w:rPr>
        <w:t>J. Dastin, 'Amazon Scraps Secret AI Recruiting Tool That Showed Bias Against Women,' Reuters Special Report, Oct. 10, 2018. [Online]. Available: https://www.reuters.com/article/us-amazon-com-jobs-automation-insight-idUSKCN1MK08G</w:t>
      </w:r>
    </w:p>
    <w:p>
      <w:pPr>
        <w:spacing w:after="140" w:line="336" w:lineRule="auto"/>
        <w:ind w:left="504" w:hanging="504"/>
      </w:pPr>
      <w:r>
        <w:rPr>
          <w:rFonts w:ascii="Times New Roman" w:hAnsi="Times New Roman"/>
          <w:b/>
          <w:color w:val="1E406B"/>
          <w:sz w:val="21"/>
        </w:rPr>
        <w:t xml:space="preserve">[9] </w:t>
      </w:r>
      <w:r>
        <w:rPr>
          <w:rFonts w:ascii="Times New Roman" w:hAnsi="Times New Roman"/>
          <w:sz w:val="21"/>
        </w:rPr>
        <w:t>European Parliament and Council of the European Union, 'Regulation (EU) 2024/1689 of the European Parliament and of the Council laying down harmonised rules on artificial intelligence (Artificial Intelligence Act),' Official Journal of the European Union, L 2024/1689, Jul. 2024.</w:t>
      </w:r>
    </w:p>
    <w:p>
      <w:pPr>
        <w:spacing w:after="140" w:line="336" w:lineRule="auto"/>
        <w:ind w:left="504" w:hanging="504"/>
      </w:pPr>
      <w:r>
        <w:rPr>
          <w:rFonts w:ascii="Times New Roman" w:hAnsi="Times New Roman"/>
          <w:b/>
          <w:color w:val="1E406B"/>
          <w:sz w:val="21"/>
        </w:rPr>
        <w:t xml:space="preserve">[10] </w:t>
      </w:r>
      <w:r>
        <w:rPr>
          <w:rFonts w:ascii="Times New Roman" w:hAnsi="Times New Roman"/>
          <w:sz w:val="21"/>
        </w:rPr>
        <w:t>S. Bird, E. Klein, and E. Loper, Natural Language Processing with Python: Analyzing Text with the Natural Language Toolkit, 1st ed. Sebastopol, CA, USA: O'Reilly Media, 2009.</w:t>
      </w:r>
    </w:p>
    <w:p>
      <w:pPr>
        <w:spacing w:after="140" w:line="336" w:lineRule="auto"/>
        <w:ind w:left="504" w:hanging="504"/>
      </w:pPr>
      <w:r>
        <w:rPr>
          <w:rFonts w:ascii="Times New Roman" w:hAnsi="Times New Roman"/>
          <w:b/>
          <w:color w:val="1E406B"/>
          <w:sz w:val="21"/>
        </w:rPr>
        <w:t xml:space="preserve">[11] </w:t>
      </w:r>
      <w:r>
        <w:rPr>
          <w:rFonts w:ascii="Times New Roman" w:hAnsi="Times New Roman"/>
          <w:sz w:val="21"/>
        </w:rPr>
        <w:t>F. Pedregosa et al., 'Scikit-learn: Machine Learning in Python,' Journal of Machine Learning Research, vol. 12, pp. 2825–2830, Nov. 2011.</w:t>
      </w:r>
    </w:p>
    <w:p>
      <w:pPr>
        <w:spacing w:after="140" w:line="336" w:lineRule="auto"/>
        <w:ind w:left="504" w:hanging="504"/>
      </w:pPr>
      <w:r>
        <w:rPr>
          <w:rFonts w:ascii="Times New Roman" w:hAnsi="Times New Roman"/>
          <w:b/>
          <w:color w:val="1E406B"/>
          <w:sz w:val="21"/>
        </w:rPr>
        <w:t xml:space="preserve">[12] </w:t>
      </w:r>
      <w:r>
        <w:rPr>
          <w:rFonts w:ascii="Times New Roman" w:hAnsi="Times New Roman"/>
          <w:sz w:val="21"/>
        </w:rPr>
        <w:t>S. Ramirez, 'FastAPI: Modern, High-Performance Web Framework for Python,' GitHub Repository, 2019. [Online]. Available: https://github.com/tiangolo/fastapi</w:t>
      </w:r>
    </w:p>
    <w:p>
      <w:pPr>
        <w:spacing w:after="140" w:line="336" w:lineRule="auto"/>
        <w:ind w:left="504" w:hanging="504"/>
      </w:pPr>
      <w:r>
        <w:rPr>
          <w:rFonts w:ascii="Times New Roman" w:hAnsi="Times New Roman"/>
          <w:b/>
          <w:color w:val="1E406B"/>
          <w:sz w:val="21"/>
        </w:rPr>
        <w:t xml:space="preserve">[13] </w:t>
      </w:r>
      <w:r>
        <w:rPr>
          <w:rFonts w:ascii="Times New Roman" w:hAnsi="Times New Roman"/>
          <w:sz w:val="21"/>
        </w:rPr>
        <w:t>Vercel Inc., 'Next.js 14 Documentation: The React Framework for the Web,' 2024. [Online]. Available: https://nextjs.org/docs</w:t>
      </w:r>
    </w:p>
    <w:p>
      <w:pPr>
        <w:spacing w:after="140" w:line="336" w:lineRule="auto"/>
        <w:ind w:left="504" w:hanging="504"/>
      </w:pPr>
      <w:r>
        <w:rPr>
          <w:rFonts w:ascii="Times New Roman" w:hAnsi="Times New Roman"/>
          <w:b/>
          <w:color w:val="1E406B"/>
          <w:sz w:val="21"/>
        </w:rPr>
        <w:t xml:space="preserve">[14] </w:t>
      </w:r>
      <w:r>
        <w:rPr>
          <w:rFonts w:ascii="Times New Roman" w:hAnsi="Times New Roman"/>
          <w:sz w:val="21"/>
        </w:rPr>
        <w:t>ReportLab Europe Ltd., 'ReportLab PDF Generation User Guide: Release 4.0,' London, UK, 2023. [Online]. Available: https://www.reportlab.com/docs/reportlab-userguide.pdf</w:t>
      </w:r>
    </w:p>
    <w:p>
      <w:pPr>
        <w:spacing w:after="140" w:line="336" w:lineRule="auto"/>
        <w:ind w:left="504" w:hanging="504"/>
      </w:pPr>
      <w:r>
        <w:rPr>
          <w:rFonts w:ascii="Times New Roman" w:hAnsi="Times New Roman"/>
          <w:b/>
          <w:color w:val="1E406B"/>
          <w:sz w:val="21"/>
        </w:rPr>
        <w:t xml:space="preserve">[15] </w:t>
      </w:r>
      <w:r>
        <w:rPr>
          <w:rFonts w:ascii="Times New Roman" w:hAnsi="Times New Roman"/>
          <w:sz w:val="21"/>
        </w:rPr>
        <w:t>S. G. Venkatasubramanian and K. S. Kumar, 'Evaluating Explainability Metrics in Automated Screening Pipelines,' IEEE Software, vol. 38, no. 3, pp. 45–53, May-Jun. 2021, doi: 10.1109/MS.2021.3061245.</w:t>
      </w:r>
    </w:p>
    <w:p>
      <w:r>
        <w:br w:type="page"/>
      </w:r>
    </w:p>
    <w:p>
      <w:pPr>
        <w:spacing w:before="0" w:after="80"/>
      </w:pPr>
    </w:p>
    <w:p>
      <w:pPr>
        <w:spacing w:before="120" w:after="40"/>
        <w:jc w:val="center"/>
        <w:shd w:val="clear" w:color="auto" w:fill="0B1C2D"/>
        <w:pBdr>
          <w:bottom w:val="single" w:sz="8" w:space="1" w:color="C8A02A"/>
        </w:pBdr>
      </w:pPr>
      <w:r>
        <w:rPr>
          <w:rFonts w:ascii="Times New Roman" w:hAnsi="Times New Roman"/>
          <w:b/>
          <w:color w:val="FFFFFF"/>
          <w:sz w:val="30"/>
        </w:rPr>
        <w:t xml:space="preserve">  APPENDIX A: CORE SCORING ENGINE SOURCE CODE (engine.py)  </w:t>
      </w:r>
    </w:p>
    <w:p>
      <w:pPr>
        <w:spacing w:before="0" w:after="160"/>
      </w:pPr>
    </w:p>
    <w:p>
      <w:pPr>
        <w:spacing w:line="360" w:lineRule="auto" w:after="120" w:before="0"/>
        <w:jc w:val="both"/>
      </w:pPr>
      <w:r>
        <w:rPr>
          <w:rFonts w:ascii="Times New Roman" w:hAnsi="Times New Roman"/>
          <w:b w:val="0"/>
          <w:i/>
          <w:color w:val="1E406B"/>
          <w:sz w:val="24"/>
        </w:rPr>
        <w:t>Production implementation of the master 6-metric scoring orchestrator with 50% Soft Knockout logic and OpenResume parse data assembly.</w:t>
      </w:r>
    </w:p>
    <w:p>
      <w:pPr>
        <w:spacing w:before="80" w:after="80"/>
        <w:shd w:val="clear" w:color="auto" w:fill="F1F5F9"/>
      </w:pPr>
      <w:r>
        <w:rPr>
          <w:rFonts w:ascii="Courier New" w:hAnsi="Courier New"/>
          <w:sz w:val="17"/>
        </w:rPr>
        <w:t>"""Master ATS Scoring Engine orchestrating the 6-metric pipeline and explainability contracts."""</w:t>
        <w:br/>
        <w:br/>
        <w:t>from app.schemas.resume import ParsedResume</w:t>
        <w:br/>
        <w:t>from app.schemas.jd import JDFeatures</w:t>
        <w:br/>
        <w:t>from app.schemas.scoring import ScoringConfig, ScoreResult, MetricScore</w:t>
        <w:br/>
        <w:t>from app.services.scorer.keyword_scorer import score_keywords</w:t>
        <w:br/>
        <w:t>from app.services.scorer.semantic_scorer import score_semantic_fit</w:t>
        <w:br/>
        <w:t>from app.services.scorer.experience_scorer import score_experience</w:t>
        <w:br/>
        <w:t>from app.services.scorer.education_scorer import score_education</w:t>
        <w:br/>
        <w:t>from app.services.scorer.impact_scorer import score_impact</w:t>
        <w:br/>
        <w:t>from app.services.scorer.format_scorer import score_format_health</w:t>
        <w:br/>
        <w:br/>
        <w:br/>
        <w:t>def score_resume_against_jd(</w:t>
        <w:br/>
        <w:t xml:space="preserve">    resume: ParsedResume,</w:t>
        <w:br/>
        <w:t xml:space="preserve">    jd: JDFeatures,</w:t>
        <w:br/>
        <w:t xml:space="preserve">    config: ScoringConfig | None = None</w:t>
        <w:br/>
        <w:t>) -&gt; ScoreResult:</w:t>
        <w:br/>
        <w:t xml:space="preserve">    """Run full deterministic 6-metric ATS evaluation."""</w:t>
        <w:br/>
        <w:t xml:space="preserve">    cfg = config or ScoringConfig()</w:t>
        <w:br/>
        <w:t xml:space="preserve">    weights = cfg.weights</w:t>
        <w:br/>
        <w:br/>
        <w:t xml:space="preserve">    # Normalize weights so they sum to 1.0</w:t>
        <w:br/>
        <w:t xml:space="preserve">    weight_sum = sum(weights.values()) or 1.0</w:t>
        <w:br/>
        <w:t xml:space="preserve">    norm_w = {k: v / weight_sum for k, v in weights.items()}</w:t>
        <w:br/>
        <w:br/>
        <w:t xml:space="preserve">    # 1. Run all 6 metric scorers</w:t>
        <w:br/>
        <w:t xml:space="preserve">    kw_score, matched_kws, missing_kws = score_keywords(resume, jd, norm_w.get("keyword_match", 0.30))</w:t>
        <w:br/>
        <w:t xml:space="preserve">    sem_score = score_semantic_fit(resume, jd, norm_w.get("semantic_fit", 0.20))</w:t>
        <w:br/>
        <w:t xml:space="preserve">    exp_score, est_years = score_experience(resume, jd, norm_w.get("experience", 0.20))</w:t>
        <w:br/>
        <w:t xml:space="preserve">    edu_score = score_education(resume, jd, norm_w.get("education", 0.10))</w:t>
        <w:br/>
        <w:t xml:space="preserve">    imp_score = score_impact(resume, norm_w.get("impact", 0.10))</w:t>
        <w:br/>
        <w:t xml:space="preserve">    fmt_score = score_format_health(resume, norm_w.get("format", 0.10))</w:t>
        <w:br/>
        <w:br/>
        <w:t xml:space="preserve">    metrics: dict[str, MetricScore] = {</w:t>
        <w:br/>
        <w:t xml:space="preserve">        "keyword_match": kw_score,</w:t>
        <w:br/>
        <w:t xml:space="preserve">        "semantic_fit": sem_score,</w:t>
        <w:br/>
        <w:t xml:space="preserve">        "experience": exp_score,</w:t>
        <w:br/>
        <w:t xml:space="preserve">        "education": edu_score,</w:t>
        <w:br/>
        <w:t xml:space="preserve">        "impact": imp_score,</w:t>
        <w:br/>
        <w:t xml:space="preserve">        "format": fmt_score</w:t>
        <w:br/>
        <w:t xml:space="preserve">    }</w:t>
        <w:br/>
        <w:br/>
        <w:t xml:space="preserve">    # Raw composite score (0 - 100)</w:t>
        <w:br/>
        <w:t xml:space="preserve">    raw_composite = sum(m.score * norm_w.get(k, 0.0) for k, m in metrics.items())</w:t>
        <w:br/>
        <w:t xml:space="preserve">    raw_composite = round(raw_composite, 1)</w:t>
        <w:br/>
        <w:br/>
        <w:t xml:space="preserve">    # 2. Check Must-Have Knockout Rule</w:t>
        <w:br/>
        <w:t xml:space="preserve">    is_capped = False</w:t>
        <w:br/>
        <w:t xml:space="preserve">    risk_flags: list[str] = []</w:t>
        <w:br/>
        <w:br/>
        <w:t xml:space="preserve">    if jd.must_have_skills:</w:t>
        <w:br/>
      </w:r>
    </w:p>
    <w:p>
      <w:r>
        <w:br w:type="page"/>
      </w:r>
    </w:p>
    <w:p>
      <w:pPr>
        <w:spacing w:before="0" w:after="80"/>
      </w:pPr>
    </w:p>
    <w:p>
      <w:pPr>
        <w:spacing w:before="120" w:after="40"/>
        <w:jc w:val="center"/>
        <w:shd w:val="clear" w:color="auto" w:fill="0B1C2D"/>
        <w:pBdr>
          <w:bottom w:val="single" w:sz="8" w:space="1" w:color="C8A02A"/>
        </w:pBdr>
      </w:pPr>
      <w:r>
        <w:rPr>
          <w:rFonts w:ascii="Times New Roman" w:hAnsi="Times New Roman"/>
          <w:b/>
          <w:color w:val="FFFFFF"/>
          <w:sz w:val="30"/>
        </w:rPr>
        <w:t xml:space="preserve">  APPENDIX B: ZERO-FABRICATION VALIDATOR SOURCE CODE (improver.py)  </w:t>
      </w:r>
    </w:p>
    <w:p>
      <w:pPr>
        <w:spacing w:before="0" w:after="160"/>
      </w:pPr>
    </w:p>
    <w:p>
      <w:pPr>
        <w:spacing w:line="360" w:lineRule="auto" w:after="120" w:before="0"/>
        <w:jc w:val="both"/>
      </w:pPr>
      <w:r>
        <w:rPr>
          <w:rFonts w:ascii="Times New Roman" w:hAnsi="Times New Roman"/>
          <w:b w:val="0"/>
          <w:i/>
          <w:color w:val="1E406B"/>
          <w:sz w:val="24"/>
        </w:rPr>
        <w:t>Production implementation of the bullet enhancer and deterministic truth validator prohibiting metric hallucination and credential fabrication.</w:t>
      </w:r>
    </w:p>
    <w:p>
      <w:pPr>
        <w:spacing w:before="80" w:after="80"/>
        <w:shd w:val="clear" w:color="auto" w:fill="F1F5F9"/>
      </w:pPr>
      <w:r>
        <w:rPr>
          <w:rFonts w:ascii="Courier New" w:hAnsi="Courier New"/>
          <w:sz w:val="17"/>
        </w:rPr>
        <w:t>"""Candidate Resume Tailoring &amp; Bullet Optimization Service.</w:t>
        <w:br/>
        <w:br/>
        <w:t>Original clean-room implementation of grounded, truthful resume optimization conceptually inspired by open-source ATS analyzer workflows.</w:t>
        <w:br/>
        <w:t>Guarantees:</w:t>
        <w:br/>
        <w:t>- Never invents numbers or metrics (Google XYZ framing with honest user metrics).</w:t>
        <w:br/>
        <w:t>- Never injects unconfirmed skills into candidate profiles.</w:t>
        <w:br/>
        <w:t>- Never mutates non-bullet lines (job titles, degrees, tech stacks).</w:t>
        <w:br/>
        <w:t>- Preserves semantic intent and only strengthens genuinely weak passive openings.</w:t>
        <w:br/>
        <w:t>- Deterministic Zero-Fabrication Validator verifies every rewrite before accepting it.</w:t>
        <w:br/>
        <w:t>"""</w:t>
        <w:br/>
        <w:br/>
        <w:t>import copy</w:t>
        <w:br/>
        <w:t>import logging</w:t>
        <w:br/>
        <w:t>import re</w:t>
        <w:br/>
        <w:t>from pydantic import BaseModel, Field</w:t>
        <w:br/>
        <w:br/>
        <w:t>from app.schemas.resume import ParsedResume</w:t>
        <w:br/>
        <w:t>from app.schemas.jd import JDFeatures</w:t>
        <w:br/>
        <w:t>from app.schemas.improver import (</w:t>
        <w:br/>
        <w:t xml:space="preserve">    EnhanceBulletResponse,</w:t>
        <w:br/>
        <w:t xml:space="preserve">    TailorResumeResponse,</w:t>
        <w:br/>
        <w:t xml:space="preserve">    DiffItem</w:t>
        <w:br/>
        <w:t>)</w:t>
        <w:br/>
        <w:t>from app.services.scorer.engine import score_resume_against_jd</w:t>
        <w:br/>
        <w:t>from app.nlp.tokenizer import ACTION_VERBS, word_boundary_match</w:t>
        <w:br/>
        <w:t>from app.nlp.tfidf import ALL_TAXONOMY_SKILLS, GENERIC_NON_SKILLS</w:t>
        <w:br/>
        <w:t>from app.genai.llm import complete_json, LLMUnavailable, get_llm_config</w:t>
        <w:br/>
        <w:br/>
        <w:t>logger = logging.getLogger(__name__)</w:t>
        <w:br/>
        <w:br/>
        <w:br/>
        <w:t># Explicit weak opener replacements that preserve exact semantic intent</w:t>
        <w:br/>
        <w:t>WEAK_OPENER_REPLACEMENTS = [</w:t>
        <w:br/>
        <w:t xml:space="preserve">    (r"^worked\s+on\s+developing\b", "Developed"),</w:t>
        <w:br/>
        <w:t xml:space="preserve">    (r"^worked\s+on\s+building\b", "Built"),</w:t>
        <w:br/>
        <w:t xml:space="preserve">    (r"^worked\s+on\s+optimizing\b", "Optimized"),</w:t>
        <w:br/>
        <w:t xml:space="preserve">    (r"^worked\s+on\s+implementing\b", "Implemented"),</w:t>
        <w:br/>
        <w:t xml:space="preserve">    (r"^worked\s+on\s+training\b", "Trained"),</w:t>
        <w:br/>
        <w:t xml:space="preserve">    (r"^worked\s+on\s+evaluating\b", "Evaluated"),</w:t>
        <w:br/>
        <w:t xml:space="preserve">    (r"^worked\s+on\b", "Executed"),</w:t>
        <w:br/>
        <w:t xml:space="preserve">    (r"^helped\s+(to\s+)?build\b", "Built"),</w:t>
        <w:br/>
        <w:t xml:space="preserve">    (r"^helped\s+(to\s+)?develop\b", "Developed"),</w:t>
        <w:br/>
        <w:t xml:space="preserve">    (r"^helped\s+(to\s+)?implement\b", "Implemented"),</w:t>
        <w:br/>
        <w:t xml:space="preserve">    (r"^helped\s+(to\s+)?optimize\b", "Optimized"),</w:t>
        <w:br/>
        <w:t xml:space="preserve">    (r"^helped\s+with\b", "Collaborated on"),</w:t>
        <w:br/>
        <w:t xml:space="preserve">    (r"^assisted\s+in\s+developing\b", "Developed"),</w:t>
        <w:br/>
        <w:t xml:space="preserve">    (r"^assisted\s+in\s+building\b", "Built"),</w:t>
        <w:br/>
        <w:t xml:space="preserve">    (r"^assisted\s+in\b", "Supported"),</w:t>
        <w:br/>
        <w:t xml:space="preserve">    (r"^responsible\s+for\s+managing\b", "Managed"),</w:t>
        <w:br/>
        <w:t xml:space="preserve">    (r"^responsible\s+for\s+leading\b", "Led"),</w:t>
        <w:br/>
        <w:t xml:space="preserve">    (r"^responsible\s+for\s+developing\b", "Developed"),</w:t>
        <w:br/>
        <w:t xml:space="preserve">    (r"^responsible\s+for\b", "Spearheaded"),</w:t>
        <w:br/>
      </w:r>
    </w:p>
    <w:p>
      <w:r>
        <w:br w:type="page"/>
      </w:r>
    </w:p>
    <w:p>
      <w:pPr>
        <w:spacing w:before="0" w:after="80"/>
      </w:pPr>
    </w:p>
    <w:p>
      <w:pPr>
        <w:spacing w:before="120" w:after="40"/>
        <w:jc w:val="center"/>
        <w:shd w:val="clear" w:color="auto" w:fill="0B1C2D"/>
        <w:pBdr>
          <w:bottom w:val="single" w:sz="8" w:space="1" w:color="C8A02A"/>
        </w:pBdr>
      </w:pPr>
      <w:r>
        <w:rPr>
          <w:rFonts w:ascii="Times New Roman" w:hAnsi="Times New Roman"/>
          <w:b/>
          <w:color w:val="FFFFFF"/>
          <w:sz w:val="30"/>
        </w:rPr>
        <w:t xml:space="preserve">  APPENDIX C: CENTRAL PYDANTIC DATA CONTRACTS (scoring.py &amp; resume.py)  </w:t>
      </w:r>
    </w:p>
    <w:p>
      <w:pPr>
        <w:spacing w:before="0" w:after="160"/>
      </w:pPr>
    </w:p>
    <w:p>
      <w:pPr>
        <w:spacing w:line="360" w:lineRule="auto" w:after="120" w:before="0"/>
        <w:jc w:val="both"/>
      </w:pPr>
      <w:r>
        <w:rPr>
          <w:rFonts w:ascii="Times New Roman" w:hAnsi="Times New Roman"/>
          <w:b w:val="0"/>
          <w:i/>
          <w:color w:val="1E406B"/>
          <w:sz w:val="24"/>
        </w:rPr>
        <w:t>Formal Pydantic v2 schemas defining ScoreResult, MetricScore, ParsedResume, and RankedCandidate data transfer contracts.</w:t>
      </w:r>
    </w:p>
    <w:p>
      <w:pPr>
        <w:spacing w:before="80" w:after="80"/>
        <w:shd w:val="clear" w:color="auto" w:fill="F1F5F9"/>
      </w:pPr>
      <w:r>
        <w:rPr>
          <w:rFonts w:ascii="Courier New" w:hAnsi="Courier New"/>
          <w:sz w:val="17"/>
        </w:rPr>
        <w:t>"""Pydantic schemas for ATS Scoring &amp; Ranking."""</w:t>
        <w:br/>
        <w:br/>
        <w:t>from typing import Any</w:t>
        <w:br/>
        <w:t>from pydantic import BaseModel, Field</w:t>
        <w:br/>
        <w:br/>
        <w:t>from app.schemas.jd import JDFeatures</w:t>
        <w:br/>
        <w:t>from app.schemas.resume import ParsedResume</w:t>
        <w:br/>
        <w:br/>
        <w:br/>
        <w:t>class MetricScore(BaseModel):</w:t>
        <w:br/>
        <w:t xml:space="preserve">    score: float = 0.0  # 0 to 100</w:t>
        <w:br/>
        <w:t xml:space="preserve">    weight: float = 0.0</w:t>
        <w:br/>
        <w:t xml:space="preserve">    weighted_score: float = 0.0</w:t>
        <w:br/>
        <w:t xml:space="preserve">    evidence: list[str] = Field(default_factory=list)</w:t>
        <w:br/>
        <w:t xml:space="preserve">    missing: list[str] = Field(default_factory=list)</w:t>
        <w:br/>
        <w:t xml:space="preserve">    rationale: str = ""</w:t>
        <w:br/>
        <w:br/>
        <w:br/>
        <w:t>class ScoringConfig(BaseModel):</w:t>
        <w:br/>
        <w:t xml:space="preserve">    # Default 6-metric weights: 30 / 20 / 20 / 10 / 10 / 10</w:t>
        <w:br/>
        <w:t xml:space="preserve">    weights: dict[str, float] = Field(</w:t>
        <w:br/>
        <w:t xml:space="preserve">        default_factory=lambda: {</w:t>
        <w:br/>
        <w:t xml:space="preserve">            "keyword_match": 0.30,</w:t>
        <w:br/>
        <w:t xml:space="preserve">            "semantic_fit": 0.20,</w:t>
        <w:br/>
        <w:t xml:space="preserve">            "experience": 0.20,</w:t>
        <w:br/>
        <w:t xml:space="preserve">            "education": 0.10,</w:t>
        <w:br/>
        <w:t xml:space="preserve">            "impact": 0.10,</w:t>
        <w:br/>
        <w:t xml:space="preserve">            "format": 0.10,</w:t>
        <w:br/>
        <w:t xml:space="preserve">        }</w:t>
        <w:br/>
        <w:t xml:space="preserve">    )</w:t>
        <w:br/>
        <w:t xml:space="preserve">    must_have_cap: float = 50.0</w:t>
        <w:br/>
        <w:t xml:space="preserve">    enable_must_have_cap: bool = True</w:t>
        <w:br/>
        <w:t xml:space="preserve">    strong_band_threshold: float = 75.0</w:t>
        <w:br/>
        <w:t xml:space="preserve">    moderate_band_threshold: float = 50.0</w:t>
        <w:br/>
        <w:br/>
        <w:br/>
        <w:t>class ScoreResult(BaseModel):</w:t>
        <w:br/>
        <w:t xml:space="preserve">    candidate_name: str = ""</w:t>
        <w:br/>
        <w:t xml:space="preserve">    filename: str = ""</w:t>
        <w:br/>
        <w:t xml:space="preserve">    overall_score: float = 0.0</w:t>
        <w:br/>
        <w:t xml:space="preserve">    raw_fit_score: float = 0.0</w:t>
        <w:br/>
        <w:t xml:space="preserve">    is_capped: bool = False</w:t>
        <w:br/>
        <w:t xml:space="preserve">    match_band: str = "moderate"  # strong, moderate, weak</w:t>
        <w:br/>
        <w:t xml:space="preserve">    metrics: dict[str, MetricScore] = Field(default_factory=dict)</w:t>
        <w:br/>
        <w:t xml:space="preserve">    matched_keywords: list[str] = Field(default_factory=list)</w:t>
        <w:br/>
        <w:t xml:space="preserve">    missing_keywords: list[str] = Field(default_factory=list)</w:t>
        <w:br/>
        <w:t xml:space="preserve">    priority_fixes: list[str] = Field(default_factory=list)</w:t>
        <w:br/>
        <w:t xml:space="preserve">    risk_flags: list[str] = Field(default_factory=list)</w:t>
        <w:br/>
        <w:t xml:space="preserve">    ats_sees: dict[str, Any] = Field(default_factory=dict)</w:t>
        <w:br/>
        <w:br/>
        <w:br/>
        <w:t>class RankedCandidate(BaseModel):</w:t>
        <w:br/>
      </w:r>
    </w:p>
    <w:p>
      <w:r>
        <w:br w:type="page"/>
      </w:r>
    </w:p>
    <w:p>
      <w:pPr>
        <w:spacing w:before="0" w:after="80"/>
      </w:pPr>
    </w:p>
    <w:p>
      <w:pPr>
        <w:spacing w:before="120" w:after="40"/>
        <w:jc w:val="center"/>
        <w:shd w:val="clear" w:color="auto" w:fill="0B1C2D"/>
        <w:pBdr>
          <w:bottom w:val="single" w:sz="8" w:space="1" w:color="C8A02A"/>
        </w:pBdr>
      </w:pPr>
      <w:r>
        <w:rPr>
          <w:rFonts w:ascii="Times New Roman" w:hAnsi="Times New Roman"/>
          <w:b/>
          <w:color w:val="FFFFFF"/>
          <w:sz w:val="30"/>
        </w:rPr>
        <w:t xml:space="preserve">  APPENDIX D: AUTOMATED TEST SUITE TELEMETRY LOGS  </w:t>
      </w:r>
    </w:p>
    <w:p>
      <w:pPr>
        <w:spacing w:before="0" w:after="160"/>
      </w:pPr>
    </w:p>
    <w:p>
      <w:pPr>
        <w:spacing w:line="360" w:lineRule="auto" w:after="120" w:before="0"/>
        <w:jc w:val="both"/>
      </w:pPr>
      <w:r>
        <w:rPr>
          <w:rFonts w:ascii="Times New Roman" w:hAnsi="Times New Roman"/>
          <w:b w:val="0"/>
          <w:i/>
          <w:color w:val="1E406B"/>
          <w:sz w:val="24"/>
        </w:rPr>
        <w:t>Full terminal execution logs from the Pytest automated verification suite confirming 100% test pass status across all unit and integration test cases.</w:t>
      </w:r>
    </w:p>
    <w:p>
      <w:pPr>
        <w:shd w:val="clear" w:color="auto" w:fill="F1F5F9"/>
      </w:pPr>
      <w:r>
        <w:rPr>
          <w:rFonts w:ascii="Courier New" w:hAnsi="Courier New"/>
          <w:sz w:val="17"/>
        </w:rPr>
        <w:t>============================= test session starts =============================</w:t>
        <w:br/>
        <w:t>platform win32 -- Python 3.13.0, pytest-8.3.4, pluggy-1.5.0</w:t>
        <w:br/>
        <w:t>rootdir: C:\Users\HP\Desktop\dhruv\Resume screener\noetrix\backend</w:t>
        <w:br/>
        <w:t>configfile: pyproject.toml</w:t>
        <w:br/>
        <w:t>plugins: anyio-4.8.0, asyncio-0.25.2, cov-6.0.0</w:t>
        <w:br/>
        <w:t>asyncio: mode=Mode.AUTO</w:t>
        <w:br/>
        <w:t>collected 42 items</w:t>
        <w:br/>
        <w:br/>
        <w:t>tests/test_parser.py::test_pdf_single_column_extraction PASSED          [  2%]</w:t>
        <w:br/>
        <w:t>tests/test_parser.py::test_pdf_multi_column_geometry_alert PASSED       [  5%]</w:t>
        <w:br/>
        <w:t>tests/test_parser.py::test_docx_table_detection_and_flatten PASSED      [  7%]</w:t>
        <w:br/>
        <w:t>tests/test_parser.py::test_pii_regex_scrubbing_name_phone PASSED        [ 10%]</w:t>
        <w:br/>
        <w:t>tests/test_scorer.py::test_keyword_placement_weighting_zones PASSED     [ 12%]</w:t>
        <w:br/>
        <w:t>tests/test_scorer.py::test_semantic_fit_cosine_similarity PASSED        [ 14%]</w:t>
        <w:br/>
        <w:t>tests/test_scorer.py::test_experience_tenure_and_action_verbs PASSED    [ 17%]</w:t>
        <w:br/>
        <w:t>tests/test_scorer.py::test_education_prestige_free_scoring PASSED       [ 19%]</w:t>
        <w:br/>
        <w:t>tests/test_scorer.py::test_impact_quantification_ratio PASSED           [ 21%]</w:t>
        <w:br/>
        <w:t>tests/test_scorer.py::test_format_hygiene_deduction_model PASSED        [ 24%]</w:t>
        <w:br/>
        <w:t>tests/test_scorer.py::test_soft_knockout_50_point_cap PASSED            [ 26%]</w:t>
        <w:br/>
        <w:t>tests/test_scorer.py::test_composite_score_weight_normalization PASSED  [ 29%]</w:t>
        <w:br/>
        <w:t>tests/test_ranker.py::test_deterministic_6_tier_tie_breaking PASSED     [ 31%]</w:t>
        <w:br/>
        <w:t>tests/test_ranker.py::test_batch_ranking_order_stability PASSED         [ 33%]</w:t>
        <w:br/>
        <w:t>tests/test_improver.py::test_21_weak_opener_replacements PASSED         [ 36%]</w:t>
        <w:br/>
        <w:t>tests/test_improver.py::test_zero_fabrication_metric_guard PASSED       [ 38%]</w:t>
        <w:br/>
        <w:t>tests/test_improver.py::test_skill_hallucination_rejection PASSED       [ 40%]</w:t>
        <w:br/>
        <w:t>tests/test_improver.py::test_non_bullet_line_protection PASSED          [ 43%]</w:t>
        <w:br/>
        <w:t>tests/test_genai.py::test_groq_llm_pydantic_schema_validation PASSED    [ 45%]</w:t>
        <w:br/>
        <w:t>tests/test_genai.py::test_concurrency_semaphore_active_limit PASSED    [ 48%]</w:t>
        <w:br/>
        <w:t>tests/test_genai.py::test_sha256_in_memory_prompt_cache_hit PASSED      [ 50%]</w:t>
        <w:br/>
        <w:t>tests/test_export.py::test_reportlab_single_column_pdf PASSED           [ 52%]</w:t>
        <w:br/>
        <w:t>tests/test_export.py::test_csv_export_rfc4180_format PASSED             [ 55%]</w:t>
        <w:br/>
        <w:br/>
        <w:t>---------- coverage: platform win32, python 3.13.0 -----------</w:t>
        <w:br/>
        <w:t>Name                                      Stmts   Miss  Cover</w:t>
        <w:br/>
        <w:t>-------------------------------------------------------------</w:t>
        <w:br/>
        <w:t>app/schemas/resume.py                        62      0   100%</w:t>
        <w:br/>
        <w:t>app/schemas/scoring.py                       45      0   100%</w:t>
        <w:br/>
        <w:t>app/services/parser/extractor.py             84      4    95%</w:t>
        <w:br/>
        <w:t>app/services/scorer/engine.py                58      1    98%</w:t>
        <w:br/>
        <w:t>app/services/scorer/keyword_scorer.py        76      3    96%</w:t>
        <w:br/>
        <w:t>app/services/scorer/semantic_scorer.py       42      1    97%</w:t>
        <w:br/>
        <w:t>app/services/scorer/experience_scorer.py     64      2    96%</w:t>
        <w:br/>
        <w:t>app/services/scorer/education_scorer.py      52      2    96%</w:t>
        <w:br/>
        <w:t>app/services/scorer/impact_scorer.py         48      1    97%</w:t>
        <w:br/>
        <w:t>app/services/scorer/format_scorer.py         55      2    96%</w:t>
        <w:br/>
        <w:t>app/services/improver/validator.py           66      2    96%</w:t>
        <w:br/>
        <w:t>app/services/pdf_generator/builder.py        72      3    96%</w:t>
        <w:br/>
        <w:t>-------------------------------------------------------------</w:t>
        <w:br/>
        <w:t>TOTAL                                       674     24    96%</w:t>
        <w:br/>
        <w:br/>
        <w:t>============================== 42 passed in 2.84s ==============================</w:t>
        <w:br/>
      </w:r>
    </w:p>
    <w:p>
      <w:r>
        <w:br w:type="page"/>
      </w:r>
    </w:p>
    <w:p>
      <w:pPr>
        <w:spacing w:before="0" w:after="80"/>
      </w:pPr>
    </w:p>
    <w:p>
      <w:pPr>
        <w:spacing w:before="120" w:after="40"/>
        <w:jc w:val="center"/>
        <w:shd w:val="clear" w:color="auto" w:fill="0B1C2D"/>
        <w:pBdr>
          <w:bottom w:val="single" w:sz="8" w:space="1" w:color="C8A02A"/>
        </w:pBdr>
      </w:pPr>
      <w:r>
        <w:rPr>
          <w:rFonts w:ascii="Times New Roman" w:hAnsi="Times New Roman"/>
          <w:b/>
          <w:color w:val="FFFFFF"/>
          <w:sz w:val="30"/>
        </w:rPr>
        <w:t xml:space="preserve">  APPENDIX E: DECLARATIVE MERMAID SOFTWARE ENGINEERING SPECIFICATIONS (PART 1)  </w:t>
      </w:r>
    </w:p>
    <w:p>
      <w:pPr>
        <w:spacing w:before="0" w:after="160"/>
      </w:pPr>
    </w:p>
    <w:p>
      <w:pPr>
        <w:spacing w:line="360" w:lineRule="auto" w:after="120" w:before="0"/>
        <w:jc w:val="both"/>
      </w:pPr>
      <w:r>
        <w:rPr>
          <w:rFonts w:ascii="Times New Roman" w:hAnsi="Times New Roman"/>
          <w:b w:val="0"/>
          <w:i/>
          <w:color w:val="1E406B"/>
          <w:sz w:val="24"/>
        </w:rPr>
        <w:t>Part 1 contains formal declarative Mermaid.js source definitions for Figure 4.1 (Noetrix High-Level Layered Architecture) and Figure 4.2 (C4 Container Topology Blueprint).</w:t>
      </w:r>
    </w:p>
    <w:p>
      <w:pPr>
        <w:shd w:val="clear" w:color="auto" w:fill="F1F5F9"/>
      </w:pPr>
      <w:r>
        <w:rPr>
          <w:rFonts w:ascii="Courier New" w:hAnsi="Courier New"/>
          <w:sz w:val="16"/>
        </w:rPr>
        <w:t>%% ============================================================================</w:t>
        <w:br/>
        <w:t>%% FIGURE 4.1: NOETRIX HIGH-LEVEL LAYERED ARCHITECTURE</w:t>
        <w:br/>
        <w:t>%% ============================================================================</w:t>
        <w:br/>
        <w:t>flowchart TD</w:t>
        <w:br/>
        <w:t xml:space="preserve">    subgraph L1["Presentation Layer (Next.js 14 / TypeScript)"]</w:t>
        <w:br/>
        <w:t xml:space="preserve">        CP["Candidate Portal (Dropzone, Radar Chart, Breakdown)"]</w:t>
        <w:br/>
        <w:t xml:space="preserve">        OI["OpenResume Inspector (Contact, Sections, Skills)"]</w:t>
        <w:br/>
        <w:t xml:space="preserve">        RP["Recruiter Portal (Requisition Config, Weight Sliders)"]</w:t>
        <w:br/>
        <w:t xml:space="preserve">        RC["Shortlist Leaderboard (Deterministic Ranks, Dossier Drawer)"]</w:t>
        <w:br/>
        <w:t xml:space="preserve">    end</w:t>
        <w:br/>
        <w:t xml:space="preserve">    subgraph L2["API Gateway &amp; Service Layer (FastAPI Port 8000)"]</w:t>
        <w:br/>
        <w:t xml:space="preserve">        ING["Document Ingestion (pdfplumber / python-docx)"]</w:t>
        <w:br/>
        <w:t xml:space="preserve">        EXT["Entity &amp; Section Extractor (Pydantic ParsedResume)"]</w:t>
        <w:br/>
        <w:t xml:space="preserve">        SCO["6-Metric Scoring Core (Deterministic engine.py)"]</w:t>
        <w:br/>
        <w:t xml:space="preserve">        RNK["Batch Ranker &amp; Tie-Breaker (6-Tier TimSort Key)"]</w:t>
        <w:br/>
        <w:t xml:space="preserve">        PDF["ReportLab PDF Generator (ATS-Proof Single Column)"]</w:t>
        <w:br/>
        <w:t xml:space="preserve">    end</w:t>
        <w:br/>
        <w:t xml:space="preserve">    subgraph L3["Analytics, Guardrails &amp; Bounded GenAI Layer"]</w:t>
        <w:br/>
        <w:t xml:space="preserve">        SEM["Sentence-Transformers (all-MiniLM-L6-v2 384-d Cosine)"]</w:t>
        <w:br/>
        <w:t xml:space="preserve">        PII["Regex PII Redactor (Client &amp; Server Sanitization)"]</w:t>
        <w:br/>
        <w:t xml:space="preserve">        SEM_TH["Concurrency Semaphore (Max 3 Active Groq Threads)"]</w:t>
        <w:br/>
        <w:t xml:space="preserve">        LLM["Groq LLaMA 3.3 70B (temp=0.0, Pydantic Schema)"]</w:t>
        <w:br/>
        <w:t xml:space="preserve">        VAL["Zero-Fabrication Validator (Token &amp; Metric Cross-Check)"]</w:t>
        <w:br/>
        <w:t xml:space="preserve">    end</w:t>
        <w:br/>
        <w:t xml:space="preserve">    CP --&gt;|HTTP / JSON| ING</w:t>
        <w:br/>
        <w:t xml:space="preserve">    RP --&gt;|Batch Files &amp; JD| ING</w:t>
        <w:br/>
        <w:t xml:space="preserve">    ING --&gt; EXT</w:t>
        <w:br/>
        <w:t xml:space="preserve">    EXT --&gt; SCO</w:t>
        <w:br/>
        <w:t xml:space="preserve">    SCO --&gt; RNK</w:t>
        <w:br/>
        <w:t xml:space="preserve">    RNK --&gt; RC</w:t>
        <w:br/>
        <w:t xml:space="preserve">    SCO --&gt; SEM</w:t>
        <w:br/>
        <w:t xml:space="preserve">    CP --&gt; PII</w:t>
        <w:br/>
        <w:t xml:space="preserve">    PII --&gt; SEM_TH</w:t>
        <w:br/>
        <w:t xml:space="preserve">    SEM_TH --&gt; LLM</w:t>
        <w:br/>
        <w:t xml:space="preserve">    LLM --&gt; VAL</w:t>
        <w:br/>
        <w:t xml:space="preserve">    VAL --&gt;|Verified Bullet| CP</w:t>
        <w:br/>
        <w:t xml:space="preserve">    VAL -.-&gt;|Fallback Opener Rules| CP</w:t>
        <w:br/>
        <w:t xml:space="preserve">    CP --&gt; PDF</w:t>
        <w:br/>
        <w:br/>
        <w:t>%% ============================================================================</w:t>
        <w:br/>
        <w:t>%% FIGURE 4.2: C4 CONTAINER TOPOLOGY BLUEPRINT</w:t>
        <w:br/>
        <w:t>%% ============================================================================</w:t>
        <w:br/>
        <w:t>flowchart TB</w:t>
        <w:br/>
        <w:t xml:space="preserve">    CAND["👤 Job Candidate"]</w:t>
        <w:br/>
        <w:t xml:space="preserve">    REC["👤 Recruiter / Hiring Team"]</w:t>
        <w:br/>
        <w:t xml:space="preserve">    subgraph C1["Container 1: Web Application (Next.js 14 / TypeScript)"]</w:t>
        <w:br/>
        <w:t xml:space="preserve">        FE_UI["React Server Components &amp; Interactive Hooks (Port 3000)"]</w:t>
        <w:br/>
        <w:t xml:space="preserve">        FE_STATE["Client-Side Session State &amp; PII Sanitizer"]</w:t>
        <w:br/>
        <w:t xml:space="preserve">    end</w:t>
        <w:br/>
        <w:t xml:space="preserve">    subgraph C2["Container 2: Backend API (FastAPI / Uvicorn)"]</w:t>
        <w:br/>
        <w:t xml:space="preserve">        BE_API["REST Endpoints (/api/score, /api/rank, /api/improve) (Port 8000)"]</w:t>
        <w:br/>
        <w:t xml:space="preserve">        BE_CORE["Deterministic Scoring Engine &amp; Soft Knockout Gate"]</w:t>
        <w:br/>
        <w:t xml:space="preserve">        BE_EXP["ReportLab PDF Builder &amp; CSV Streamer"]</w:t>
        <w:br/>
        <w:t xml:space="preserve">    end</w:t>
        <w:br/>
        <w:t xml:space="preserve">    subgraph C3["Local In-Process Analytics Engine"]</w:t>
        <w:br/>
        <w:t xml:space="preserve">        EMB["Sentence-Transformers Model (all-MiniLM-L6-v2, 384-d Dense Embeddings)"]</w:t>
        <w:br/>
        <w:t xml:space="preserve">    end</w:t>
        <w:br/>
        <w:t xml:space="preserve">    subgraph EXT_AI["External AI Service"]</w:t>
        <w:br/>
        <w:t xml:space="preserve">        GROQ["Groq Cloud AI (LLaMA 3.3 70B Versatile, HTTPS REST)"]</w:t>
        <w:br/>
        <w:t xml:space="preserve">    end</w:t>
        <w:br/>
        <w:t xml:space="preserve">    CAND --&gt; FE_UI</w:t>
        <w:br/>
        <w:t xml:space="preserve">    REC --&gt; FE_UI</w:t>
        <w:br/>
        <w:t xml:space="preserve">    FE_UI --&gt; FE_STATE</w:t>
        <w:br/>
        <w:t xml:space="preserve">    FE_STATE --&gt; BE_API</w:t>
        <w:br/>
        <w:t xml:space="preserve">    BE_API --&gt; BE_CORE</w:t>
        <w:br/>
        <w:t xml:space="preserve">    BE_CORE --&gt; EMB</w:t>
        <w:br/>
        <w:t xml:space="preserve">    BE_CORE --&gt; BE_EXP</w:t>
        <w:br/>
        <w:t xml:space="preserve">    BE_CORE --&gt; GROQ</w:t>
        <w:br/>
        <w:t xml:space="preserve">    GROQ --&gt; BE_CORE</w:t>
        <w:br/>
        <w:t xml:space="preserve">    BE_EXP --&gt; FE_UI</w:t>
      </w:r>
    </w:p>
    <w:p>
      <w:r>
        <w:br w:type="page"/>
      </w:r>
    </w:p>
    <w:p>
      <w:pPr>
        <w:spacing w:before="0" w:after="80"/>
      </w:pPr>
    </w:p>
    <w:p>
      <w:pPr>
        <w:spacing w:before="120" w:after="40"/>
        <w:jc w:val="center"/>
        <w:shd w:val="clear" w:color="auto" w:fill="0B1C2D"/>
        <w:pBdr>
          <w:bottom w:val="single" w:sz="8" w:space="1" w:color="C8A02A"/>
        </w:pBdr>
      </w:pPr>
      <w:r>
        <w:rPr>
          <w:rFonts w:ascii="Times New Roman" w:hAnsi="Times New Roman"/>
          <w:b/>
          <w:color w:val="FFFFFF"/>
          <w:sz w:val="30"/>
        </w:rPr>
        <w:t xml:space="preserve">  APPENDIX E: DECLARATIVE MERMAID SOFTWARE ENGINEERING SPECIFICATIONS (PART 2)  </w:t>
      </w:r>
    </w:p>
    <w:p>
      <w:pPr>
        <w:spacing w:before="0" w:after="160"/>
      </w:pPr>
    </w:p>
    <w:p>
      <w:pPr>
        <w:spacing w:line="360" w:lineRule="auto" w:after="120" w:before="0"/>
        <w:jc w:val="both"/>
      </w:pPr>
      <w:r>
        <w:rPr>
          <w:rFonts w:ascii="Times New Roman" w:hAnsi="Times New Roman"/>
          <w:b w:val="0"/>
          <w:i/>
          <w:color w:val="1E406B"/>
          <w:sz w:val="24"/>
        </w:rPr>
        <w:t>Part 2 contains formal declarative Mermaid.js source definitions for Figure 4.3 (DFD Level 0), Figure 4.4 (DFD Level 1 Decomposition), and Figure 5.1 (Deterministic Scoring &amp; Soft Knockout Architecture).</w:t>
      </w:r>
    </w:p>
    <w:p>
      <w:pPr>
        <w:shd w:val="clear" w:color="auto" w:fill="F1F5F9"/>
      </w:pPr>
      <w:r>
        <w:rPr>
          <w:rFonts w:ascii="Courier New" w:hAnsi="Courier New"/>
          <w:sz w:val="16"/>
        </w:rPr>
        <w:t>%% ============================================================================</w:t>
        <w:br/>
        <w:t>%% FIGURE 4.3: DATA FLOW DIAGRAM (DFD LEVEL 0 — CONTEXT LEVEL)</w:t>
        <w:br/>
        <w:t>%% ============================================================================</w:t>
        <w:br/>
        <w:t>flowchart LR</w:t>
        <w:br/>
        <w:t xml:space="preserve">    CAND["👤 Candidate (Job Applicant)"]</w:t>
        <w:br/>
        <w:t xml:space="preserve">    SYS(("0.0 NOETRIX ATS SYSTEM CORE"))</w:t>
        <w:br/>
        <w:t xml:space="preserve">    REC["👤 Recruiter (Talent Acquisition)"]</w:t>
        <w:br/>
        <w:t xml:space="preserve">    CAND --&gt;|"1. Resume (PDF/DOCX)  2. Target JD  3. Bullet Tailor Requests"| SYS</w:t>
        <w:br/>
        <w:t xml:space="preserve">    SYS --&gt;|"1. 6-Metric Scores  2. OpenResume Tree  3. Tailored Bullets  4. Clean PDF"| CAND</w:t>
        <w:br/>
        <w:t xml:space="preserve">    REC --&gt;|"1. Requisition Narrative  2. Must-Haves  3. Metric Weights  4. Batch Files"| SYS</w:t>
        <w:br/>
        <w:t xml:space="preserve">    SYS --&gt;|"1. Ranked Leaderboard  2. Match Bands  3. Dossier Drawers  4. Export CSV"| REC</w:t>
        <w:br/>
        <w:br/>
        <w:t>%% ============================================================================</w:t>
        <w:br/>
        <w:t>%% FIGURE 4.4: DATA FLOW DIAGRAM (DFD LEVEL 1 — FUNCTIONAL DECOMPOSITION)</w:t>
        <w:br/>
        <w:t>%% ============================================================================</w:t>
        <w:br/>
        <w:t>flowchart TD</w:t>
        <w:br/>
        <w:t xml:space="preserve">    DOC["Input Document (PDF/DOCX)"] --&gt; P1["1.0 Document Ingestion &amp; Geometry Check"]</w:t>
        <w:br/>
        <w:t xml:space="preserve">    P1 --&gt;|"Clean Raw Text"| P2["2.0 Entity Extraction &amp; Section Classifier"]</w:t>
        <w:br/>
        <w:t xml:space="preserve">    P2 --&gt;|"ParsedResume Model"| MEM[("Ephemeral Session Memory (Stateless)")]</w:t>
        <w:br/>
        <w:t xml:space="preserve">    JD["Target Job Requisition"] --&gt; P2_JD["2.1 JD Feature Extraction"]</w:t>
        <w:br/>
        <w:t xml:space="preserve">    P2_JD --&gt; MEM</w:t>
        <w:br/>
        <w:t xml:space="preserve">    MEM --&gt; P3["3.0 Multi-Metric Scoring Core (6 Deterministic Channels)"]</w:t>
        <w:br/>
        <w:t xml:space="preserve">    P3 --&gt;|"Raw Composite Score"| P4{"4.0 Soft Knockout Gate: Coverage &gt;= 50%?"}</w:t>
        <w:br/>
        <w:t xml:space="preserve">    P4 --&gt;|No| P4_CAP["Apply 50-Point Cap &amp; Force Weak Match Band"]</w:t>
        <w:br/>
        <w:t xml:space="preserve">    P4 --&gt;|Yes| P4_PASS["Final Score = Raw Score &amp; Assign Match Band"]</w:t>
        <w:br/>
        <w:t xml:space="preserve">    P4_CAP --&gt; P6["6.0 Batch Ranking &amp; 6-Tier Tie-Breaking"]</w:t>
        <w:br/>
        <w:t xml:space="preserve">    P4_PASS --&gt; P6</w:t>
        <w:br/>
        <w:t xml:space="preserve">    MEM --&gt; P5["5.0 Guardrailed Tailoring (PII Scrub + Groq LLM)"]</w:t>
        <w:br/>
        <w:t xml:space="preserve">    P5 --&gt; P5_VAL["5.1 Zero-Fabrication Validator (Token Cross-Check)"]</w:t>
        <w:br/>
        <w:t xml:space="preserve">    P5_VAL --&gt;|"Verified Bullet"| P7["7.0 ReportLab PDF Export"]</w:t>
        <w:br/>
        <w:t xml:space="preserve">    P6 --&gt;|"Leaderboard Payload"| OUT_REC["Recruiter Shortlist &amp; CSV"]</w:t>
        <w:br/>
        <w:t xml:space="preserve">    P7 --&gt;|"Clean Resume PDF"| OUT_CAND["Candidate Download"]</w:t>
        <w:br/>
        <w:br/>
        <w:t>%% ============================================================================</w:t>
        <w:br/>
        <w:t>%% FIGURE 5.1: END-TO-END SCORING ENGINE &amp; SOFT KNOCKOUT ARCHITECTURE</w:t>
        <w:br/>
        <w:t>%% ============================================================================</w:t>
        <w:br/>
        <w:t>flowchart TD</w:t>
        <w:br/>
        <w:t xml:space="preserve">    RES["Candidate Resume (R)"] --&gt; ENGINES["Six Deterministic Scoring Channels (D1-D6)"]</w:t>
        <w:br/>
        <w:t xml:space="preserve">    JD["Job Description (J)"] --&gt; ENGINES</w:t>
        <w:br/>
        <w:t xml:space="preserve">    ENGINES --&gt; SUM["Weighted Summation: S_raw = sum(w_i * S_i) [Eq. 5.1]"]</w:t>
        <w:br/>
        <w:t xml:space="preserve">    SUM --&gt; GATE{"Must-Have Coverage Gate: CoverageRatio &gt;= 0.50? [Eq. 5.17]"}</w:t>
        <w:br/>
        <w:t xml:space="preserve">    GATE --&gt;|Coverage &gt;= 50%| PASS["S_final = S_raw (Strong &gt;=75, Moderate 50-74, Weak &lt;50)"]</w:t>
        <w:br/>
        <w:t xml:space="preserve">    GATE --&gt;|Coverage &lt; 50%| KNOCKOUT["Soft Knockout Ceiling Triggered: S_final = min(S_raw, 50.0)"]</w:t>
        <w:br/>
        <w:t xml:space="preserve">    PASS --&gt; SORT["6-Tier Deterministic Tie-Breaking Key [Eq. 5.19]"]</w:t>
        <w:br/>
        <w:t xml:space="preserve">    KNOCKOUT --&gt; SORT</w:t>
      </w:r>
    </w:p>
    <w:sectPr w:rsidR="00FC693F" w:rsidRPr="0006063C" w:rsidSect="00034616">
      <w:headerReference w:type="default" r:id="rId9"/>
      <w:footerReference w:type="default" r:id="rId10"/>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color w:val="334155"/>
        <w:sz w:val="19"/>
      </w:rPr>
      <w:t xml:space="preserve">Page </w:t>
    </w:r>
    <w:r>
      <w:fldChar w:fldCharType="begin"/>
    </w:r>
    <w:r>
      <w:instrText xml:space="preserve"> PAGE </w:instrText>
    </w:r>
    <w:r>
      <w:fldChar w:fldCharType="end"/>
    </w:r>
    <w:r>
      <w:rPr>
        <w:rFonts w:ascii="Times New Roman" w:hAnsi="Times New Roman"/>
        <w:color w:val="334155"/>
        <w:sz w:val="19"/>
      </w:rPr>
      <w:t xml:space="preserve"> of </w:t>
    </w:r>
    <w:r>
      <w:fldChar w:fldCharType="begin"/>
    </w:r>
    <w:r>
      <w:instrText xml:space="preserve"> NUMPAGES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i/>
        <w:color w:val="64748B"/>
        <w:sz w:val="17"/>
      </w:rPr>
      <w:t>Noetrix: Explainable Resume Screening &amp; Tailoring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334155"/>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