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Methodology and Results: Hybrid_v3 V3.4 Dynamic Model Selection</w:t>
      </w:r>
    </w:p>
    <w:p>
      <w:pPr>
        <w:jc w:val="center"/>
      </w:pPr>
      <w:r>
        <w:rPr>
          <w:i/>
          <w:sz w:val="22"/>
        </w:rPr>
        <w:t>Eight-Class Skin-Lesion Classification on ISIC 2019</w:t>
      </w:r>
    </w:p>
    <w:p>
      <w:pPr>
        <w:pStyle w:val="Heading1"/>
      </w:pPr>
      <w:r>
        <w:t>3. Methodology</w:t>
      </w:r>
    </w:p>
    <w:p>
      <w:pPr>
        <w:pStyle w:val="Heading2"/>
      </w:pPr>
      <w:r>
        <w:t>3.1 Dataset and Data Partitioning</w:t>
      </w:r>
    </w:p>
    <w:p>
      <w:r>
        <w:t>The study used the ISIC 2019 dermoscopic image dataset for eight-class skin-lesion classification: actinic keratosis (AK), basal cell carcinoma (BCC), benign keratosis-like lesions (BKL), dermatofibroma (DF), melanoma (MEL), melanocytic nevus (NV), squamous cell carcinoma (SCC), and vascular lesions (VASC). The dataset contained 25,331 images. The verified partition comprised 20,053 training images, 4,011 validation images, and 1,267 test images. The dataset was strongly imbalanced, with NV accounting for 12,875 images (50.8%) and DF for 239 images (0.94%). Consequently, accuracy was complemented by balanced accuracy and macro F1 to better characterize performance across minority classes.</w:t>
      </w:r>
    </w:p>
    <w:p>
      <w:r>
        <w:t>To reduce data leakage caused by related images, the repository used a group-aware stratified splitting procedure. Exact duplicates were investigated using MD5 hashing, with 50 duplicate groups identified. Images sharing a lesion identifier were grouped so that the same lesion could not occur across partitions. StratifiedGroupKFold with a fixed random seed of 42 was used to construct the development/test split and the subsequent training/validation split.</w:t>
      </w:r>
    </w:p>
    <w:p>
      <w:pPr>
        <w:pStyle w:val="Heading2"/>
      </w:pPr>
      <w:r>
        <w:t>3.2 Image Preprocessing</w:t>
      </w:r>
    </w:p>
    <w:p>
      <w:r>
        <w:t>All images were processed at a spatial resolution of 224 × 224 pixels. During training, the pipeline applied augmentation including random resized cropping, horizontal and vertical flips, random rotation within ±15°, random affine transformations, color jitter, and random erasing. Validation and test images were resized and center-cropped. ImageNet normalization was applied using mean (0.485, 0.456, 0.406) and standard deviation (0.229, 0.224, 0.225).</w:t>
      </w:r>
    </w:p>
    <w:p>
      <w:pPr>
        <w:pStyle w:val="Heading2"/>
      </w:pPr>
      <w:r>
        <w:t>3.3 Expert Model Pool</w:t>
      </w:r>
    </w:p>
    <w:p>
      <w:r>
        <w:t>The hybrid system consisted of six pretrained image-classification experts: ResNet-50, EfficientNet-v2-S, EfficientNet-B3, MobileNet-v3-Large, DeiT-Tiny, and Swin-Tiny. The first four models formed the CNN subset, while DeiT-Tiny and Swin-Tiny represented the vision transformer (ViT) subset. CNN models were initialized with ImageNet-pretrained torchvision weights, while the ViT models were instantiated through TIMM with ImageNet-pretrained weights. The final classification heads were configured for eight output classes.</w:t>
      </w:r>
    </w:p>
    <w:p>
      <w:r>
        <w:t>The CNN training configuration used AdamW with a learning rate of 3×10⁻⁴, weight decay of 1×10⁻⁴, batch size 16, cosine annealing with warmup, 30 maximum epochs, and early stopping with patience 7. The ViT configuration used AdamW with a learning rate of 1×10⁻⁴, weight decay 1×10⁻⁴, batch size 16, 30 maximum epochs, early stopping patience 7, and random seed 42.</w:t>
      </w:r>
    </w:p>
    <w:p>
      <w:pPr>
        <w:pStyle w:val="Heading2"/>
      </w:pPr>
      <w:r>
        <w:t>3.4 Prediction Matrix and Dynamic Selection</w:t>
      </w:r>
    </w:p>
    <w:p>
      <w:r>
        <w:t>Each expert produced a class prediction and associated confidence score for every evaluation sample. Additional prediction-derived statistics included entropy, confidence margins, ranking information, inter-model agreement, and pairwise confidence differences. These outputs were assembled into a model-selection feature matrix. The V3.4 selector did not directly predict the lesion class; instead, it predicted which expert should be trusted for the current sample. The final lesion prediction was then taken from the selected expert.</w:t>
      </w:r>
    </w:p>
    <w:p>
      <w:r>
        <w:t>The original V3.4 feature representation contained 183 features. These included individual model confidence and uncertainty measures, model reliability statistics, ranking features, voting/agreement features, pairwise model comparisons, class-support features, global confidence statistics, overconfidence signals, and interaction features. The selector was implemented as a Random Forest with 700 trees, maximum depth 14, minimum leaf size 3, sqrt feature sampling, balanced-subsample class weighting, random state 42, and parallel execution.</w:t>
      </w:r>
    </w:p>
    <w:p>
      <w:pPr>
        <w:pStyle w:val="Heading2"/>
      </w:pPr>
      <w:r>
        <w:t>3.5 Selector Target and Cross-Validation</w:t>
      </w:r>
    </w:p>
    <w:p>
      <w:r>
        <w:t>The selector target represented the expert expected to provide the most reliable prediction for each sample. When one or more experts were correct, the original V3.4 target construction favored the correct expert with the highest class-aware reliability, with global reliability used for tie-breaking. If no expert was correct, the reliability-based rule selected the strongest alternative. The resulting target distribution was dominated by EfficientNet-v2-S (807 samples), followed by ResNet-50 (167), DeiT-Tiny (158), MobileNet-v3-Large (71), Swin-Tiny (48), and EfficientNet-B3 (16).</w:t>
      </w:r>
    </w:p>
    <w:p>
      <w:r>
        <w:t>Selector training used five-fold StratifiedKFold cross-validation with shuffling and random seed 42. Out-of-fold predictions were collected across folds. The repository also retained a final selector trained on the complete evaluation matrix for the historical V3.4 evaluation.</w:t>
      </w:r>
    </w:p>
    <w:p>
      <w:pPr>
        <w:pStyle w:val="Heading2"/>
      </w:pPr>
      <w:r>
        <w:t>3.6 Evaluation Metrics and Baselines</w:t>
      </w:r>
    </w:p>
    <w:p>
      <w:r>
        <w:t>Performance was evaluated using accuracy, balanced accuracy, and macro F1. Accuracy measures the proportion of correctly classified samples. Balanced accuracy is the macro-average of per-class recall, while macro F1 gives equal weight to each class. The selector was compared with the strongest individual expert, majority voting, confidence-based winner selection, the preceding V3.3 selector, and an oracle upper bound. The oracle retrospectively selects a correct expert whenever at least one expert is correct and therefore represents an upper bound rather than a deployable method.</w:t>
      </w:r>
    </w:p>
    <w:p>
      <w:pPr>
        <w:pStyle w:val="Heading2"/>
      </w:pPr>
      <w:r>
        <w:t>3.7 Leakage Audit and Clean Evaluation</w:t>
      </w:r>
    </w:p>
    <w:p>
      <w:r>
        <w:t>Because the original V3.4 feature construction used evaluation-set correctness and true-class information, a separate forensic audit was performed. The audit identified direct and indirect label-derived features, including true-class indicators, true-class support, wrong-class support, and class reliability calculated as a function of the true class. These quantities cannot be computed for a genuinely unseen test sample.</w:t>
      </w:r>
    </w:p>
    <w:p>
      <w:r>
        <w:t>A clean V3.4 branch was therefore evaluated using prediction-available features. It replaced true-class reliability with predicted-class reliability, removed true-class support and class indicator features, computed reliability statistics from the training fold only, and performed a runtime leakage check. This branch used five-fold out-of-fold evaluation and is treated as the more conservative estimate of leakage-safe generalization.</w:t>
      </w:r>
    </w:p>
    <w:p>
      <w:pPr>
        <w:pStyle w:val="Heading1"/>
      </w:pPr>
      <w:r>
        <w:t>4. Results</w:t>
      </w:r>
    </w:p>
    <w:p>
      <w:pPr>
        <w:pStyle w:val="Heading2"/>
      </w:pPr>
      <w:r>
        <w:t>4.1 Individual Expert Performance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Model</w:t>
            </w:r>
          </w:p>
        </w:tc>
        <w:tc>
          <w:tcPr>
            <w:tcW w:type="dxa" w:w="2448"/>
          </w:tcPr>
          <w:p>
            <w:r>
              <w:t>Accuracy (%)</w:t>
            </w:r>
          </w:p>
        </w:tc>
        <w:tc>
          <w:tcPr>
            <w:tcW w:type="dxa" w:w="2448"/>
          </w:tcPr>
          <w:p>
            <w:r>
              <w:t>Balanced Accuracy (%)</w:t>
            </w:r>
          </w:p>
        </w:tc>
        <w:tc>
          <w:tcPr>
            <w:tcW w:type="dxa" w:w="2448"/>
          </w:tcPr>
          <w:p>
            <w:r>
              <w:t>Macro F1 (%)</w:t>
            </w:r>
          </w:p>
        </w:tc>
      </w:tr>
      <w:tr>
        <w:tc>
          <w:tcPr>
            <w:tcW w:type="dxa" w:w="2448"/>
          </w:tcPr>
          <w:p>
            <w:r>
              <w:t>ResNet-50</w:t>
            </w:r>
          </w:p>
        </w:tc>
        <w:tc>
          <w:tcPr>
            <w:tcW w:type="dxa" w:w="2448"/>
          </w:tcPr>
          <w:p>
            <w:r>
              <w:t>73.88</w:t>
            </w:r>
          </w:p>
        </w:tc>
        <w:tc>
          <w:tcPr>
            <w:tcW w:type="dxa" w:w="2448"/>
          </w:tcPr>
          <w:p>
            <w:r>
              <w:t>65.77</w:t>
            </w:r>
          </w:p>
        </w:tc>
        <w:tc>
          <w:tcPr>
            <w:tcW w:type="dxa" w:w="2448"/>
          </w:tcPr>
          <w:p>
            <w:r>
              <w:t>61.43</w:t>
            </w:r>
          </w:p>
        </w:tc>
      </w:tr>
      <w:tr>
        <w:tc>
          <w:tcPr>
            <w:tcW w:type="dxa" w:w="2448"/>
          </w:tcPr>
          <w:p>
            <w:r>
              <w:t>EfficientNet-v2-S</w:t>
            </w:r>
          </w:p>
        </w:tc>
        <w:tc>
          <w:tcPr>
            <w:tcW w:type="dxa" w:w="2448"/>
          </w:tcPr>
          <w:p>
            <w:r>
              <w:t>74.43</w:t>
            </w:r>
          </w:p>
        </w:tc>
        <w:tc>
          <w:tcPr>
            <w:tcW w:type="dxa" w:w="2448"/>
          </w:tcPr>
          <w:p>
            <w:r>
              <w:t>60.39</w:t>
            </w:r>
          </w:p>
        </w:tc>
        <w:tc>
          <w:tcPr>
            <w:tcW w:type="dxa" w:w="2448"/>
          </w:tcPr>
          <w:p>
            <w:r>
              <w:t>59.32</w:t>
            </w:r>
          </w:p>
        </w:tc>
      </w:tr>
      <w:tr>
        <w:tc>
          <w:tcPr>
            <w:tcW w:type="dxa" w:w="2448"/>
          </w:tcPr>
          <w:p>
            <w:r>
              <w:t>EfficientNet-B3</w:t>
            </w:r>
          </w:p>
        </w:tc>
        <w:tc>
          <w:tcPr>
            <w:tcW w:type="dxa" w:w="2448"/>
          </w:tcPr>
          <w:p>
            <w:r>
              <w:t>70.96</w:t>
            </w:r>
          </w:p>
        </w:tc>
        <w:tc>
          <w:tcPr>
            <w:tcW w:type="dxa" w:w="2448"/>
          </w:tcPr>
          <w:p>
            <w:r>
              <w:t>58.67</w:t>
            </w:r>
          </w:p>
        </w:tc>
        <w:tc>
          <w:tcPr>
            <w:tcW w:type="dxa" w:w="2448"/>
          </w:tcPr>
          <w:p>
            <w:r>
              <w:t>55.67</w:t>
            </w:r>
          </w:p>
        </w:tc>
      </w:tr>
      <w:tr>
        <w:tc>
          <w:tcPr>
            <w:tcW w:type="dxa" w:w="2448"/>
          </w:tcPr>
          <w:p>
            <w:r>
              <w:t>MobileNet-v3-Large</w:t>
            </w:r>
          </w:p>
        </w:tc>
        <w:tc>
          <w:tcPr>
            <w:tcW w:type="dxa" w:w="2448"/>
          </w:tcPr>
          <w:p>
            <w:r>
              <w:t>73.64</w:t>
            </w:r>
          </w:p>
        </w:tc>
        <w:tc>
          <w:tcPr>
            <w:tcW w:type="dxa" w:w="2448"/>
          </w:tcPr>
          <w:p>
            <w:r>
              <w:t>58.55</w:t>
            </w:r>
          </w:p>
        </w:tc>
        <w:tc>
          <w:tcPr>
            <w:tcW w:type="dxa" w:w="2448"/>
          </w:tcPr>
          <w:p>
            <w:r>
              <w:t>55.92</w:t>
            </w:r>
          </w:p>
        </w:tc>
      </w:tr>
      <w:tr>
        <w:tc>
          <w:tcPr>
            <w:tcW w:type="dxa" w:w="2448"/>
          </w:tcPr>
          <w:p>
            <w:r>
              <w:t>DeiT-Tiny</w:t>
            </w:r>
          </w:p>
        </w:tc>
        <w:tc>
          <w:tcPr>
            <w:tcW w:type="dxa" w:w="2448"/>
          </w:tcPr>
          <w:p>
            <w:r>
              <w:t>72.14</w:t>
            </w:r>
          </w:p>
        </w:tc>
        <w:tc>
          <w:tcPr>
            <w:tcW w:type="dxa" w:w="2448"/>
          </w:tcPr>
          <w:p>
            <w:r>
              <w:t>57.04</w:t>
            </w:r>
          </w:p>
        </w:tc>
        <w:tc>
          <w:tcPr>
            <w:tcW w:type="dxa" w:w="2448"/>
          </w:tcPr>
          <w:p>
            <w:r>
              <w:t>56.20</w:t>
            </w:r>
          </w:p>
        </w:tc>
      </w:tr>
      <w:tr>
        <w:tc>
          <w:tcPr>
            <w:tcW w:type="dxa" w:w="2448"/>
          </w:tcPr>
          <w:p>
            <w:r>
              <w:t>Swin-Tiny</w:t>
            </w:r>
          </w:p>
        </w:tc>
        <w:tc>
          <w:tcPr>
            <w:tcW w:type="dxa" w:w="2448"/>
          </w:tcPr>
          <w:p>
            <w:r>
              <w:t>73.01</w:t>
            </w:r>
          </w:p>
        </w:tc>
        <w:tc>
          <w:tcPr>
            <w:tcW w:type="dxa" w:w="2448"/>
          </w:tcPr>
          <w:p>
            <w:r>
              <w:t>56.39</w:t>
            </w:r>
          </w:p>
        </w:tc>
        <w:tc>
          <w:tcPr>
            <w:tcW w:type="dxa" w:w="2448"/>
          </w:tcPr>
          <w:p>
            <w:r>
              <w:t>54.40</w:t>
            </w:r>
          </w:p>
        </w:tc>
      </w:tr>
    </w:tbl>
    <w:p>
      <w:r>
        <w:t>EfficientNet-v2-S achieved the highest overall accuracy among the six experts (74.43%), whereas ResNet-50 achieved the highest balanced accuracy (65.77%) and macro F1 (61.43%). This divergence indicates that model ranking depends on the evaluation criterion and supports the motivation for dynamic rather than fixed expert selection.</w:t>
      </w:r>
    </w:p>
    <w:p>
      <w:pPr>
        <w:pStyle w:val="Heading2"/>
      </w:pPr>
      <w:r>
        <w:t>4.2 Comparison of Hybrid Strategies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Pr>
          <w:p>
            <w:r>
              <w:t>Method</w:t>
            </w:r>
          </w:p>
        </w:tc>
        <w:tc>
          <w:tcPr>
            <w:tcW w:type="dxa" w:w="1958"/>
          </w:tcPr>
          <w:p>
            <w:r>
              <w:t>Accuracy (%)</w:t>
            </w:r>
          </w:p>
        </w:tc>
        <w:tc>
          <w:tcPr>
            <w:tcW w:type="dxa" w:w="1958"/>
          </w:tcPr>
          <w:p>
            <w:r>
              <w:t>Balanced Accuracy (%)</w:t>
            </w:r>
          </w:p>
        </w:tc>
        <w:tc>
          <w:tcPr>
            <w:tcW w:type="dxa" w:w="1958"/>
          </w:tcPr>
          <w:p>
            <w:r>
              <w:t>Macro F1 (%)</w:t>
            </w:r>
          </w:p>
        </w:tc>
        <w:tc>
          <w:tcPr>
            <w:tcW w:type="dxa" w:w="1958"/>
          </w:tcPr>
          <w:p>
            <w:r>
              <w:t>Δ Accuracy vs. Best Single (pp)</w:t>
            </w:r>
          </w:p>
        </w:tc>
      </w:tr>
      <w:tr>
        <w:tc>
          <w:tcPr>
            <w:tcW w:type="dxa" w:w="1958"/>
          </w:tcPr>
          <w:p>
            <w:r>
              <w:t>Best Single: EfficientNet-v2-S</w:t>
            </w:r>
          </w:p>
        </w:tc>
        <w:tc>
          <w:tcPr>
            <w:tcW w:type="dxa" w:w="1958"/>
          </w:tcPr>
          <w:p>
            <w:r>
              <w:t>74.43</w:t>
            </w:r>
          </w:p>
        </w:tc>
        <w:tc>
          <w:tcPr>
            <w:tcW w:type="dxa" w:w="1958"/>
          </w:tcPr>
          <w:p>
            <w:r>
              <w:t>60.39</w:t>
            </w:r>
          </w:p>
        </w:tc>
        <w:tc>
          <w:tcPr>
            <w:tcW w:type="dxa" w:w="1958"/>
          </w:tcPr>
          <w:p>
            <w:r>
              <w:t>59.32</w:t>
            </w:r>
          </w:p>
        </w:tc>
        <w:tc>
          <w:tcPr>
            <w:tcW w:type="dxa" w:w="1958"/>
          </w:tcPr>
          <w:p>
            <w:r>
              <w:t>—</w:t>
            </w:r>
          </w:p>
        </w:tc>
      </w:tr>
      <w:tr>
        <w:tc>
          <w:tcPr>
            <w:tcW w:type="dxa" w:w="1958"/>
          </w:tcPr>
          <w:p>
            <w:r>
              <w:t>Majority Vote</w:t>
            </w:r>
          </w:p>
        </w:tc>
        <w:tc>
          <w:tcPr>
            <w:tcW w:type="dxa" w:w="1958"/>
          </w:tcPr>
          <w:p>
            <w:r>
              <w:t>77.51</w:t>
            </w:r>
          </w:p>
        </w:tc>
        <w:tc>
          <w:tcPr>
            <w:tcW w:type="dxa" w:w="1958"/>
          </w:tcPr>
          <w:p>
            <w:r>
              <w:t>63.08</w:t>
            </w:r>
          </w:p>
        </w:tc>
        <w:tc>
          <w:tcPr>
            <w:tcW w:type="dxa" w:w="1958"/>
          </w:tcPr>
          <w:p>
            <w:r>
              <w:t>62.43</w:t>
            </w:r>
          </w:p>
        </w:tc>
        <w:tc>
          <w:tcPr>
            <w:tcW w:type="dxa" w:w="1958"/>
          </w:tcPr>
          <w:p>
            <w:r>
              <w:t>+3.08</w:t>
            </w:r>
          </w:p>
        </w:tc>
      </w:tr>
      <w:tr>
        <w:tc>
          <w:tcPr>
            <w:tcW w:type="dxa" w:w="1958"/>
          </w:tcPr>
          <w:p>
            <w:r>
              <w:t>Confidence Winner</w:t>
            </w:r>
          </w:p>
        </w:tc>
        <w:tc>
          <w:tcPr>
            <w:tcW w:type="dxa" w:w="1958"/>
          </w:tcPr>
          <w:p>
            <w:r>
              <w:t>76.56</w:t>
            </w:r>
          </w:p>
        </w:tc>
        <w:tc>
          <w:tcPr>
            <w:tcW w:type="dxa" w:w="1958"/>
          </w:tcPr>
          <w:p>
            <w:r>
              <w:t>63.87</w:t>
            </w:r>
          </w:p>
        </w:tc>
        <w:tc>
          <w:tcPr>
            <w:tcW w:type="dxa" w:w="1958"/>
          </w:tcPr>
          <w:p>
            <w:r>
              <w:t>62.05</w:t>
            </w:r>
          </w:p>
        </w:tc>
        <w:tc>
          <w:tcPr>
            <w:tcW w:type="dxa" w:w="1958"/>
          </w:tcPr>
          <w:p>
            <w:r>
              <w:t>+2.13</w:t>
            </w:r>
          </w:p>
        </w:tc>
      </w:tr>
      <w:tr>
        <w:tc>
          <w:tcPr>
            <w:tcW w:type="dxa" w:w="1958"/>
          </w:tcPr>
          <w:p>
            <w:r>
              <w:t>V3.3 Selector</w:t>
            </w:r>
          </w:p>
        </w:tc>
        <w:tc>
          <w:tcPr>
            <w:tcW w:type="dxa" w:w="1958"/>
          </w:tcPr>
          <w:p>
            <w:r>
              <w:t>82.72</w:t>
            </w:r>
          </w:p>
        </w:tc>
        <w:tc>
          <w:tcPr>
            <w:tcW w:type="dxa" w:w="1958"/>
          </w:tcPr>
          <w:p>
            <w:r>
              <w:t>73.12</w:t>
            </w:r>
          </w:p>
        </w:tc>
        <w:tc>
          <w:tcPr>
            <w:tcW w:type="dxa" w:w="1958"/>
          </w:tcPr>
          <w:p>
            <w:r>
              <w:t>70.93</w:t>
            </w:r>
          </w:p>
        </w:tc>
        <w:tc>
          <w:tcPr>
            <w:tcW w:type="dxa" w:w="1958"/>
          </w:tcPr>
          <w:p>
            <w:r>
              <w:t>+8.29</w:t>
            </w:r>
          </w:p>
        </w:tc>
      </w:tr>
      <w:tr>
        <w:tc>
          <w:tcPr>
            <w:tcW w:type="dxa" w:w="1958"/>
          </w:tcPr>
          <w:p>
            <w:r>
              <w:t>V3.4 Selector (Original)</w:t>
            </w:r>
          </w:p>
        </w:tc>
        <w:tc>
          <w:tcPr>
            <w:tcW w:type="dxa" w:w="1958"/>
          </w:tcPr>
          <w:p>
            <w:r>
              <w:t>87.53</w:t>
            </w:r>
          </w:p>
        </w:tc>
        <w:tc>
          <w:tcPr>
            <w:tcW w:type="dxa" w:w="1958"/>
          </w:tcPr>
          <w:p>
            <w:r>
              <w:t>80.61</w:t>
            </w:r>
          </w:p>
        </w:tc>
        <w:tc>
          <w:tcPr>
            <w:tcW w:type="dxa" w:w="1958"/>
          </w:tcPr>
          <w:p>
            <w:r>
              <w:t>79.24</w:t>
            </w:r>
          </w:p>
        </w:tc>
        <w:tc>
          <w:tcPr>
            <w:tcW w:type="dxa" w:w="1958"/>
          </w:tcPr>
          <w:p>
            <w:r>
              <w:t>+13.10</w:t>
            </w:r>
          </w:p>
        </w:tc>
      </w:tr>
      <w:tr>
        <w:tc>
          <w:tcPr>
            <w:tcW w:type="dxa" w:w="1958"/>
          </w:tcPr>
          <w:p>
            <w:r>
              <w:t>Oracle</w:t>
            </w:r>
          </w:p>
        </w:tc>
        <w:tc>
          <w:tcPr>
            <w:tcW w:type="dxa" w:w="1958"/>
          </w:tcPr>
          <w:p>
            <w:r>
              <w:t>91.87</w:t>
            </w:r>
          </w:p>
        </w:tc>
        <w:tc>
          <w:tcPr>
            <w:tcW w:type="dxa" w:w="1958"/>
          </w:tcPr>
          <w:p>
            <w:r>
              <w:t>83.67</w:t>
            </w:r>
          </w:p>
        </w:tc>
        <w:tc>
          <w:tcPr>
            <w:tcW w:type="dxa" w:w="1958"/>
          </w:tcPr>
          <w:p>
            <w:r>
              <w:t>83.10</w:t>
            </w:r>
          </w:p>
        </w:tc>
        <w:tc>
          <w:tcPr>
            <w:tcW w:type="dxa" w:w="1958"/>
          </w:tcPr>
          <w:p>
            <w:r>
              <w:t>+17.44</w:t>
            </w:r>
          </w:p>
        </w:tc>
      </w:tr>
    </w:tbl>
    <w:p>
      <w:r>
        <w:t>Under the repository's original evaluation protocol, V3.4 achieved 87.53% accuracy, 80.61% balanced accuracy, and 79.24% macro F1 on 1,267 evaluation samples. This corresponds to an absolute accuracy improvement of 13.10 percentage points over EfficientNet-v2-S and 17.60% relative improvement in accuracy. The oracle accuracy was 91.87%, leaving a 4.34-point gap between V3.4 and the theoretical expert-pool upper bound.</w:t>
      </w:r>
    </w:p>
    <w:p>
      <w:pPr>
        <w:pStyle w:val="Heading2"/>
      </w:pPr>
      <w:r>
        <w:t>4.3 Per-Class Performance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Class</w:t>
            </w:r>
          </w:p>
        </w:tc>
        <w:tc>
          <w:tcPr>
            <w:tcW w:type="dxa" w:w="2448"/>
          </w:tcPr>
          <w:p>
            <w:r>
              <w:t>Samples</w:t>
            </w:r>
          </w:p>
        </w:tc>
        <w:tc>
          <w:tcPr>
            <w:tcW w:type="dxa" w:w="2448"/>
          </w:tcPr>
          <w:p>
            <w:r>
              <w:t>V3.4 Accuracy (%)</w:t>
            </w:r>
          </w:p>
        </w:tc>
        <w:tc>
          <w:tcPr>
            <w:tcW w:type="dxa" w:w="2448"/>
          </w:tcPr>
          <w:p>
            <w:r>
              <w:t>V3.4 − EfficientNet-v2-S (pp)</w:t>
            </w:r>
          </w:p>
        </w:tc>
      </w:tr>
      <w:tr>
        <w:tc>
          <w:tcPr>
            <w:tcW w:type="dxa" w:w="2448"/>
          </w:tcPr>
          <w:p>
            <w:r>
              <w:t>AK</w:t>
            </w:r>
          </w:p>
        </w:tc>
        <w:tc>
          <w:tcPr>
            <w:tcW w:type="dxa" w:w="2448"/>
          </w:tcPr>
          <w:p>
            <w:r>
              <w:t>44</w:t>
            </w:r>
          </w:p>
        </w:tc>
        <w:tc>
          <w:tcPr>
            <w:tcW w:type="dxa" w:w="2448"/>
          </w:tcPr>
          <w:p>
            <w:r>
              <w:t>50.00</w:t>
            </w:r>
          </w:p>
        </w:tc>
        <w:tc>
          <w:tcPr>
            <w:tcW w:type="dxa" w:w="2448"/>
          </w:tcPr>
          <w:p>
            <w:r>
              <w:t>+11.36</w:t>
            </w:r>
          </w:p>
        </w:tc>
      </w:tr>
      <w:tr>
        <w:tc>
          <w:tcPr>
            <w:tcW w:type="dxa" w:w="2448"/>
          </w:tcPr>
          <w:p>
            <w:r>
              <w:t>BCC</w:t>
            </w:r>
          </w:p>
        </w:tc>
        <w:tc>
          <w:tcPr>
            <w:tcW w:type="dxa" w:w="2448"/>
          </w:tcPr>
          <w:p>
            <w:r>
              <w:t>167</w:t>
            </w:r>
          </w:p>
        </w:tc>
        <w:tc>
          <w:tcPr>
            <w:tcW w:type="dxa" w:w="2448"/>
          </w:tcPr>
          <w:p>
            <w:r>
              <w:t>91.62</w:t>
            </w:r>
          </w:p>
        </w:tc>
        <w:tc>
          <w:tcPr>
            <w:tcW w:type="dxa" w:w="2448"/>
          </w:tcPr>
          <w:p>
            <w:r>
              <w:t>+16.17</w:t>
            </w:r>
          </w:p>
        </w:tc>
      </w:tr>
      <w:tr>
        <w:tc>
          <w:tcPr>
            <w:tcW w:type="dxa" w:w="2448"/>
          </w:tcPr>
          <w:p>
            <w:r>
              <w:t>BKL</w:t>
            </w:r>
          </w:p>
        </w:tc>
        <w:tc>
          <w:tcPr>
            <w:tcW w:type="dxa" w:w="2448"/>
          </w:tcPr>
          <w:p>
            <w:r>
              <w:t>132</w:t>
            </w:r>
          </w:p>
        </w:tc>
        <w:tc>
          <w:tcPr>
            <w:tcW w:type="dxa" w:w="2448"/>
          </w:tcPr>
          <w:p>
            <w:r>
              <w:t>83.33</w:t>
            </w:r>
          </w:p>
        </w:tc>
        <w:tc>
          <w:tcPr>
            <w:tcW w:type="dxa" w:w="2448"/>
          </w:tcPr>
          <w:p>
            <w:r>
              <w:t>+18.94</w:t>
            </w:r>
          </w:p>
        </w:tc>
      </w:tr>
      <w:tr>
        <w:tc>
          <w:tcPr>
            <w:tcW w:type="dxa" w:w="2448"/>
          </w:tcPr>
          <w:p>
            <w:r>
              <w:t>DF</w:t>
            </w:r>
          </w:p>
        </w:tc>
        <w:tc>
          <w:tcPr>
            <w:tcW w:type="dxa" w:w="2448"/>
          </w:tcPr>
          <w:p>
            <w:r>
              <w:t>11</w:t>
            </w:r>
          </w:p>
        </w:tc>
        <w:tc>
          <w:tcPr>
            <w:tcW w:type="dxa" w:w="2448"/>
          </w:tcPr>
          <w:p>
            <w:r>
              <w:t>81.82</w:t>
            </w:r>
          </w:p>
        </w:tc>
        <w:tc>
          <w:tcPr>
            <w:tcW w:type="dxa" w:w="2448"/>
          </w:tcPr>
          <w:p>
            <w:r>
              <w:t>+54.55</w:t>
            </w:r>
          </w:p>
        </w:tc>
      </w:tr>
      <w:tr>
        <w:tc>
          <w:tcPr>
            <w:tcW w:type="dxa" w:w="2448"/>
          </w:tcPr>
          <w:p>
            <w:r>
              <w:t>MEL</w:t>
            </w:r>
          </w:p>
        </w:tc>
        <w:tc>
          <w:tcPr>
            <w:tcW w:type="dxa" w:w="2448"/>
          </w:tcPr>
          <w:p>
            <w:r>
              <w:t>226</w:t>
            </w:r>
          </w:p>
        </w:tc>
        <w:tc>
          <w:tcPr>
            <w:tcW w:type="dxa" w:w="2448"/>
          </w:tcPr>
          <w:p>
            <w:r>
              <w:t>80.09</w:t>
            </w:r>
          </w:p>
        </w:tc>
        <w:tc>
          <w:tcPr>
            <w:tcW w:type="dxa" w:w="2448"/>
          </w:tcPr>
          <w:p>
            <w:r>
              <w:t>+16.81</w:t>
            </w:r>
          </w:p>
        </w:tc>
      </w:tr>
      <w:tr>
        <w:tc>
          <w:tcPr>
            <w:tcW w:type="dxa" w:w="2448"/>
          </w:tcPr>
          <w:p>
            <w:r>
              <w:t>NV</w:t>
            </w:r>
          </w:p>
        </w:tc>
        <w:tc>
          <w:tcPr>
            <w:tcW w:type="dxa" w:w="2448"/>
          </w:tcPr>
          <w:p>
            <w:r>
              <w:t>644</w:t>
            </w:r>
          </w:p>
        </w:tc>
        <w:tc>
          <w:tcPr>
            <w:tcW w:type="dxa" w:w="2448"/>
          </w:tcPr>
          <w:p>
            <w:r>
              <w:t>93.48</w:t>
            </w:r>
          </w:p>
        </w:tc>
        <w:tc>
          <w:tcPr>
            <w:tcW w:type="dxa" w:w="2448"/>
          </w:tcPr>
          <w:p>
            <w:r>
              <w:t>+8.39</w:t>
            </w:r>
          </w:p>
        </w:tc>
      </w:tr>
      <w:tr>
        <w:tc>
          <w:tcPr>
            <w:tcW w:type="dxa" w:w="2448"/>
          </w:tcPr>
          <w:p>
            <w:r>
              <w:t>SCC</w:t>
            </w:r>
          </w:p>
        </w:tc>
        <w:tc>
          <w:tcPr>
            <w:tcW w:type="dxa" w:w="2448"/>
          </w:tcPr>
          <w:p>
            <w:r>
              <w:t>31</w:t>
            </w:r>
          </w:p>
        </w:tc>
        <w:tc>
          <w:tcPr>
            <w:tcW w:type="dxa" w:w="2448"/>
          </w:tcPr>
          <w:p>
            <w:r>
              <w:t>64.52</w:t>
            </w:r>
          </w:p>
        </w:tc>
        <w:tc>
          <w:tcPr>
            <w:tcW w:type="dxa" w:w="2448"/>
          </w:tcPr>
          <w:p>
            <w:r>
              <w:t>+35.48</w:t>
            </w:r>
          </w:p>
        </w:tc>
      </w:tr>
      <w:tr>
        <w:tc>
          <w:tcPr>
            <w:tcW w:type="dxa" w:w="2448"/>
          </w:tcPr>
          <w:p>
            <w:r>
              <w:t>VASC</w:t>
            </w:r>
          </w:p>
        </w:tc>
        <w:tc>
          <w:tcPr>
            <w:tcW w:type="dxa" w:w="2448"/>
          </w:tcPr>
          <w:p>
            <w:r>
              <w:t>12</w:t>
            </w:r>
          </w:p>
        </w:tc>
        <w:tc>
          <w:tcPr>
            <w:tcW w:type="dxa" w:w="2448"/>
          </w:tcPr>
          <w:p>
            <w:r>
              <w:t>100.00</w:t>
            </w:r>
          </w:p>
        </w:tc>
        <w:tc>
          <w:tcPr>
            <w:tcW w:type="dxa" w:w="2448"/>
          </w:tcPr>
          <w:p>
            <w:r>
              <w:t>+16.67</w:t>
            </w:r>
          </w:p>
        </w:tc>
      </w:tr>
    </w:tbl>
    <w:p>
      <w:r>
        <w:t>The largest improvements over EfficientNet-v2-S occurred for DF (+54.55 percentage points), SCC (+35.48 points), and BKL (+18.94 points). V3.4 reached 80.09% accuracy for MEL and 93.48% for NV. The DF and VASC estimates should be interpreted cautiously because their test sample counts were only 11 and 12, respectively.</w:t>
      </w:r>
    </w:p>
    <w:p>
      <w:pPr>
        <w:pStyle w:val="Heading2"/>
      </w:pPr>
      <w:r>
        <w:t>4.4 Complementarity and Rescue/Harm Analysis</w:t>
      </w:r>
    </w:p>
    <w:p>
      <w:r>
        <w:t>The expert pool exhibited substantial complementarity: the oracle accuracy was 91.87%, compared with 74.43% for the best single model. Thus, a 17.44-point performance gap was theoretically available through perfect sample-wise routing. The original V3.4 selector recovered 13.10 points of this gap, equivalent to approximately 75.1% of the available oracle gap.</w:t>
      </w:r>
    </w:p>
    <w:p>
      <w:r>
        <w:t>Relative to V3.3, V3.4 corrected 90 samples on which V3.3 was incorrect but V3.4 was correct, while it introduced 29 breaks in the opposite direction, producing a net improvement of 61 samples. The original evaluation also reported 55 regression cases in which EfficientNet-v2-S was correct but the V3.4 selector selected an incorrect expert.</w:t>
      </w:r>
    </w:p>
    <w:p>
      <w:pPr>
        <w:pStyle w:val="Heading2"/>
      </w:pPr>
      <w:r>
        <w:t>4.5 Leakage-Safe V3.4 Result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Protocol</w:t>
            </w:r>
          </w:p>
        </w:tc>
        <w:tc>
          <w:tcPr>
            <w:tcW w:type="dxa" w:w="2448"/>
          </w:tcPr>
          <w:p>
            <w:r>
              <w:t>Accuracy (%)</w:t>
            </w:r>
          </w:p>
        </w:tc>
        <w:tc>
          <w:tcPr>
            <w:tcW w:type="dxa" w:w="2448"/>
          </w:tcPr>
          <w:p>
            <w:r>
              <w:t>Balanced Accuracy (%)</w:t>
            </w:r>
          </w:p>
        </w:tc>
        <w:tc>
          <w:tcPr>
            <w:tcW w:type="dxa" w:w="2448"/>
          </w:tcPr>
          <w:p>
            <w:r>
              <w:t>Macro F1 (%)</w:t>
            </w:r>
          </w:p>
        </w:tc>
      </w:tr>
      <w:tr>
        <w:tc>
          <w:tcPr>
            <w:tcW w:type="dxa" w:w="2448"/>
          </w:tcPr>
          <w:p>
            <w:r>
              <w:t>Original V3.4</w:t>
            </w:r>
          </w:p>
        </w:tc>
        <w:tc>
          <w:tcPr>
            <w:tcW w:type="dxa" w:w="2448"/>
          </w:tcPr>
          <w:p>
            <w:r>
              <w:t>87.53</w:t>
            </w:r>
          </w:p>
        </w:tc>
        <w:tc>
          <w:tcPr>
            <w:tcW w:type="dxa" w:w="2448"/>
          </w:tcPr>
          <w:p>
            <w:r>
              <w:t>80.61</w:t>
            </w:r>
          </w:p>
        </w:tc>
        <w:tc>
          <w:tcPr>
            <w:tcW w:type="dxa" w:w="2448"/>
          </w:tcPr>
          <w:p>
            <w:r>
              <w:t>79.24</w:t>
            </w:r>
          </w:p>
        </w:tc>
      </w:tr>
      <w:tr>
        <w:tc>
          <w:tcPr>
            <w:tcW w:type="dxa" w:w="2448"/>
          </w:tcPr>
          <w:p>
            <w:r>
              <w:t>Clean V3.4, 5-fold OOF</w:t>
            </w:r>
          </w:p>
        </w:tc>
        <w:tc>
          <w:tcPr>
            <w:tcW w:type="dxa" w:w="2448"/>
          </w:tcPr>
          <w:p>
            <w:r>
              <w:t>77.51</w:t>
            </w:r>
          </w:p>
        </w:tc>
        <w:tc>
          <w:tcPr>
            <w:tcW w:type="dxa" w:w="2448"/>
          </w:tcPr>
          <w:p>
            <w:r>
              <w:t>64.83</w:t>
            </w:r>
          </w:p>
        </w:tc>
        <w:tc>
          <w:tcPr>
            <w:tcW w:type="dxa" w:w="2448"/>
          </w:tcPr>
          <w:p>
            <w:r>
              <w:t>63.54</w:t>
            </w:r>
          </w:p>
        </w:tc>
      </w:tr>
    </w:tbl>
    <w:p>
      <w:r>
        <w:t>The leakage audit is essential when interpreting the 87.53% result. The original implementation uses true-class information and evaluation-set correctness when constructing selector features. Therefore, 87.53% should be described as the performance of the original repository protocol, not as a leakage-free deployment generalization result. After removing label-derived features and computing reliability statistics only from training folds, the clean V3.4 branch achieved 77.51% accuracy, 64.83% balanced accuracy, and 63.54% macro F1 under five-fold OOF evaluation. For a research paper making a deployment or generalization claim, the clean result is the methodologically appropriate primary result; the 87.53% value may be reported separately as the historical/original V3.4 result with its protocol explicitly stated.</w:t>
      </w:r>
    </w:p>
    <w:p>
      <w:pPr>
        <w:pStyle w:val="Heading2"/>
      </w:pPr>
      <w:r>
        <w:t>4.6 Interpretation of the Results</w:t>
      </w:r>
    </w:p>
    <w:p>
      <w:r>
        <w:t>The results demonstrate that the six-expert pool contains meaningful complementary information. Static strategies such as majority voting and confidence-based selection produced only modest improvements over the strongest individual model, whereas learned dynamic selection produced a larger gain under the original protocol. The strongest improvements occurred in classes for which the best individual model was relatively weak, consistent with the intended role of the selector as a routing mechanism that exploits architecture-specific specialization.</w:t>
      </w:r>
    </w:p>
    <w:p>
      <w:r>
        <w:t>At the same time, dynamic selection introduces a trade-off: switching away from a strong baseline prediction can create harmful errors. The leakage-safe branch provides a substantially more conservative estimate of performance and demonstrates why strict out-of-fold feature construction is necessary for scientifically valid selector evaluation.</w:t>
      </w:r>
    </w:p>
    <w:p>
      <w:pPr>
        <w:pStyle w:val="Heading2"/>
      </w:pPr>
      <w:r>
        <w:t>4.7 Reproducibility and Reporting Note</w:t>
      </w:r>
    </w:p>
    <w:p>
      <w:r>
        <w:t>The reported methodology and numerical values are restricted to the supplied repository audit. The source evidence verifies the dataset, split counts, preprocessing, expert models, selector configuration, evaluation metrics, and output values. Exact original shell commands, complete training logs, exact checkpoint paths, and statistical significance tests were not verified in the supplied evidence. Accordingly, these details are not asserted here.</w:t>
      </w:r>
    </w:p>
    <w:p>
      <w:pPr>
        <w:pStyle w:val="Heading1"/>
      </w:pPr>
      <w:r>
        <w:t>Source Basis</w:t>
      </w:r>
    </w:p>
    <w:p>
      <w:r>
        <w:t>This condensed methodology and results section was prepared directly from the supplied V3.4 forensic reconstruction document and preserves its distinction between the original repository-measured V3.4 result and the leakage-safe clean V3.4 result.</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Research Paper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Hybrid_v3 V3.4 — Methodology and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