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Calibri" w:cs="Calibri" w:eastAsia="Calibri" w:hAnsi="Calibri"/>
          <w:b/>
          <w:bCs/>
          <w:color w:val="0F4D28"/>
          <w:sz w:val="72"/>
          <w:szCs w:val="72"/>
        </w:rPr>
        <w:t xml:space="preserve">GREEN PM</w:t>
      </w:r>
    </w:p>
    <w:p>
      <w:pPr>
        <w:spacing w:after="80" w:before="0"/>
        <w:jc w:val="center"/>
      </w:pPr>
      <w:r>
        <w:rPr>
          <w:rFonts w:ascii="Calibri" w:cs="Calibri" w:eastAsia="Calibri" w:hAnsi="Calibri"/>
          <w:b/>
          <w:bCs/>
          <w:color w:val="1A6B3A"/>
          <w:sz w:val="40"/>
          <w:szCs w:val="40"/>
        </w:rPr>
        <w:t xml:space="preserve">v4 Engineering Architecture</w:t>
      </w:r>
    </w:p>
    <w:p>
      <w:pPr>
        <w:spacing w:after="0" w:before="80"/>
      </w:pPr>
    </w:p>
    <w:p>
      <w:pPr>
        <w:spacing w:after="80" w:before="0"/>
        <w:jc w:val="center"/>
      </w:pPr>
      <w:r>
        <w:rPr>
          <w:rFonts w:ascii="Calibri" w:cs="Calibri" w:eastAsia="Calibri" w:hAnsi="Calibri"/>
          <w:color w:val="6B7280"/>
          <w:sz w:val="22"/>
          <w:szCs w:val="22"/>
        </w:rPr>
        <w:t xml:space="preserve">Engine-Centric Platform · Autonomous Intelligence Services · Event-Driven</w:t>
      </w:r>
    </w:p>
    <w:p>
      <w:pPr>
        <w:spacing w:after="80" w:before="0"/>
        <w:jc w:val="center"/>
      </w:pPr>
      <w:r>
        <w:rPr>
          <w:rFonts w:ascii="Calibri" w:cs="Calibri" w:eastAsia="Calibri" w:hAnsi="Calibri"/>
          <w:color w:val="6B7280"/>
          <w:sz w:val="22"/>
          <w:szCs w:val="22"/>
        </w:rPr>
        <w:t xml:space="preserve">GCP Cloud Run · FastAPI · Next.js 14 · GraphQL · WebSocket · Pub/Sub</w:t>
      </w:r>
    </w:p>
    <w:p>
      <w:pPr>
        <w:spacing w:after="0" w:before="160"/>
      </w:pPr>
    </w:p>
    <w:p>
      <w:pPr>
        <w:spacing w:after="80" w:before="0"/>
        <w:jc w:val="center"/>
      </w:pPr>
      <w:r>
        <w:rPr>
          <w:rFonts w:ascii="Calibri" w:cs="Calibri" w:eastAsia="Calibri" w:hAnsi="Calibri"/>
          <w:color w:val="374151"/>
          <w:sz w:val="20"/>
          <w:szCs w:val="20"/>
        </w:rPr>
        <w:t xml:space="preserve">Version 4.0  ·  August 2026  ·  Confidential</w:t>
      </w:r>
    </w:p>
    <w:p>
      <w:pPr>
        <w:spacing w:after="80" w:before="0"/>
        <w:jc w:val="center"/>
      </w:pPr>
      <w:r>
        <w:rPr>
          <w:rFonts w:ascii="Calibri" w:cs="Calibri" w:eastAsia="Calibri" w:hAnsi="Calibri"/>
          <w:color w:val="374151"/>
          <w:sz w:val="20"/>
          <w:szCs w:val="20"/>
        </w:rPr>
        <w:t xml:space="preserve">GreenflIQ Engineering — Internal Reference</w:t>
      </w:r>
    </w:p>
    <w:p>
      <w:r>
        <w:br w:type="page"/>
      </w:r>
    </w:p>
    <w:p>
      <w:pPr>
        <w:pStyle w:val="Heading1"/>
        <w:spacing w:after="160" w:before="480"/>
      </w:pPr>
      <w:r>
        <w:rPr>
          <w:rFonts w:ascii="Calibri" w:cs="Calibri" w:eastAsia="Calibri" w:hAnsi="Calibri"/>
          <w:b/>
          <w:bCs/>
          <w:color w:val="0F4D28"/>
          <w:sz w:val="40"/>
          <w:szCs w:val="40"/>
        </w:rPr>
        <w:t xml:space="preserve">1. Architecture Philosophy — The v4 Shift</w:t>
      </w:r>
    </w:p>
    <w:p>
      <w:pPr>
        <w:spacing w:after="100" w:before="60"/>
      </w:pPr>
      <w:r>
        <w:rPr>
          <w:rFonts w:ascii="Calibri" w:cs="Calibri" w:eastAsia="Calibri" w:hAnsi="Calibri"/>
          <w:color w:val="111827"/>
          <w:sz w:val="22"/>
          <w:szCs w:val="22"/>
        </w:rPr>
        <w:t xml:space="preserve">Green PM v4 represents a fundamental architectural reorientation: from service-oriented to engine-oriented. In v3, bounded-context services were called sequentially by the UI to retrieve and update domain data. In v4, the 15 engines are autonomous, event-driven, always-on intelligence services that process ProjectEvents independently of any user interaction.</w:t>
      </w:r>
    </w:p>
    <w:p>
      <w:pPr>
        <w:spacing w:after="0" w:before="120"/>
      </w:pPr>
    </w:p>
    <w:p>
      <w:pPr>
        <w:pStyle w:val="Heading2"/>
        <w:spacing w:after="120" w:before="320"/>
      </w:pPr>
      <w:r>
        <w:rPr>
          <w:rFonts w:ascii="Calibri" w:cs="Calibri" w:eastAsia="Calibri" w:hAnsi="Calibri"/>
          <w:b/>
          <w:bCs/>
          <w:color w:val="1A6B3A"/>
          <w:sz w:val="26"/>
          <w:szCs w:val="26"/>
        </w:rPr>
        <w:t xml:space="preserve">1.1 The Engine Principle</w:t>
      </w:r>
    </w:p>
    <w:p>
      <w:pPr>
        <w:spacing w:after="100" w:before="60"/>
      </w:pPr>
      <w:r>
        <w:rPr>
          <w:rFonts w:ascii="Calibri" w:cs="Calibri" w:eastAsia="Calibri" w:hAnsi="Calibri"/>
          <w:color w:val="111827"/>
          <w:sz w:val="22"/>
          <w:szCs w:val="22"/>
        </w:rPr>
        <w:t xml:space="preserve">Engines do not wait to be called by the UI. When a ProjectEvent is published to Pub/Sub, ALL relevant engines receive it simultaneously via fan-out subscriptions. Each engine processes it independently and publishes its structured output to a result topic. The Next.js UI subscribes to result topics and updates entity workspaces in real time via WebSocket.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60"/>
            </w:pPr>
            <w:r>
              <w:rPr>
                <w:rFonts w:ascii="Calibri" w:cs="Calibri" w:eastAsia="Calibri" w:hAnsi="Calibri"/>
                <w:b/>
                <w:bCs/>
                <w:color w:val="374151"/>
                <w:sz w:val="21"/>
                <w:szCs w:val="21"/>
              </w:rPr>
              <w:t xml:space="preserve">v3 Pattern (sequential, UI-driven)</w:t>
            </w:r>
          </w:p>
          <w:p>
            <w:pPr>
              <w:spacing w:after="20" w:before="0"/>
            </w:pPr>
            <w:r>
              <w:rPr>
                <w:rFonts w:ascii="Calibri" w:cs="Calibri" w:eastAsia="Calibri" w:hAnsi="Calibri"/>
                <w:color w:val="111827"/>
                <w:sz w:val="20"/>
                <w:szCs w:val="20"/>
              </w:rPr>
              <w:t xml:space="preserve">UI → API → Service A → Service B → UI</w:t>
            </w:r>
          </w:p>
          <w:p>
            <w:pPr>
              <w:spacing w:after="40" w:before="40"/>
            </w:pPr>
            <w:r>
              <w:rPr>
                <w:rFonts w:ascii="Calibri" w:cs="Calibri" w:eastAsia="Calibri" w:hAnsi="Calibri"/>
                <w:b/>
                <w:bCs/>
                <w:color w:val="0F4D28"/>
                <w:sz w:val="21"/>
                <w:szCs w:val="21"/>
              </w:rPr>
              <w:t xml:space="preserve">v4 Pattern (parallel, event-driven)</w:t>
            </w:r>
          </w:p>
          <w:p>
            <w:pPr>
              <w:spacing w:after="20" w:before="0"/>
            </w:pPr>
            <w:r>
              <w:rPr>
                <w:rFonts w:ascii="Calibri" w:cs="Calibri" w:eastAsia="Calibri" w:hAnsi="Calibri"/>
                <w:color w:val="111827"/>
                <w:sz w:val="20"/>
                <w:szCs w:val="20"/>
              </w:rPr>
              <w:t xml:space="preserve">ProjectEvent → Pub/Sub → [all 15 engines in parallel] → result topics → WebSocket → UI</w:t>
            </w:r>
          </w:p>
        </w:tc>
      </w:tr>
    </w:tbl>
    <w:p>
      <w:pPr>
        <w:spacing w:after="0" w:before="120"/>
      </w:pPr>
    </w:p>
    <w:p>
      <w:pPr>
        <w:pStyle w:val="Heading2"/>
        <w:spacing w:after="120" w:before="320"/>
      </w:pPr>
      <w:r>
        <w:rPr>
          <w:rFonts w:ascii="Calibri" w:cs="Calibri" w:eastAsia="Calibri" w:hAnsi="Calibri"/>
          <w:b/>
          <w:bCs/>
          <w:color w:val="1A6B3A"/>
          <w:sz w:val="26"/>
          <w:szCs w:val="26"/>
        </w:rPr>
        <w:t xml:space="preserve">1.2 Guiding Principles (v4)</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Autonomous engines: Engines are deployed as independent Cloud Run microservices. They start processing events the moment they arrive — no UI call required.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Fan-out by default: A single ProjectEvent triggers multiple engines simultaneously. No sequential dependency between engines unless data dependency dictates it.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Structured outputs, not raw data: Every engine produces a typed output entity (ImpactAnalysis, SynchronizationStatus, RiskScore, etc.). These are persisted to PostgreSQL and cached in Redis.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UI is a subscriber, not a caller: The Next.js frontend subscribes to entity workspaces via WebSocket. Engine outputs arrive pushed to the UI without polling.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Multi-tenant RLS unchanged: PostgreSQL Row-Level Security on all tenant tables remains non-negotiable. Engine services set RLS context before every query.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AI-native, human-confirmed: Claude powers the AI Orchestration Engine and Recommendation Engine. AI output is advisory; consequential actions require explicit human confirmation.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Observable by default: Every engine emits structured latency, error, and queue-depth metrics. The impact analysis pipeline (5 hops) is traced end-to-end via Cloud Trace.</w:t>
      </w:r>
    </w:p>
    <w:p>
      <w:r>
        <w:br w:type="page"/>
      </w:r>
    </w:p>
    <w:p>
      <w:pPr>
        <w:pStyle w:val="Heading1"/>
        <w:spacing w:after="160" w:before="480"/>
      </w:pPr>
      <w:r>
        <w:rPr>
          <w:rFonts w:ascii="Calibri" w:cs="Calibri" w:eastAsia="Calibri" w:hAnsi="Calibri"/>
          <w:b/>
          <w:bCs/>
          <w:color w:val="0F4D28"/>
          <w:sz w:val="40"/>
          <w:szCs w:val="40"/>
        </w:rPr>
        <w:t xml:space="preserve">2. System Architecture Overview</w:t>
      </w:r>
    </w:p>
    <w:p>
      <w:pPr>
        <w:spacing w:after="100" w:before="60"/>
      </w:pPr>
      <w:r>
        <w:rPr>
          <w:rFonts w:ascii="Calibri" w:cs="Calibri" w:eastAsia="Calibri" w:hAnsi="Calibri"/>
          <w:color w:val="111827"/>
          <w:sz w:val="22"/>
          <w:szCs w:val="22"/>
        </w:rPr>
        <w:t xml:space="preserve">Green PM v4 is organised into three architectural layers. Communication flows from the Experience Layer through the Data Layer to the Intelligence Layer via events, and returns via real-time subscriptions.</w:t>
      </w:r>
    </w:p>
    <w:p>
      <w:pPr>
        <w:spacing w:after="0" w:before="120"/>
      </w:pPr>
    </w:p>
    <w:p>
      <w:pPr>
        <w:pStyle w:val="Heading2"/>
        <w:spacing w:after="120" w:before="320"/>
      </w:pPr>
      <w:r>
        <w:rPr>
          <w:rFonts w:ascii="Calibri" w:cs="Calibri" w:eastAsia="Calibri" w:hAnsi="Calibri"/>
          <w:b/>
          <w:bCs/>
          <w:color w:val="1A6B3A"/>
          <w:sz w:val="26"/>
          <w:szCs w:val="26"/>
        </w:rPr>
        <w:t xml:space="preserve">2.1 Intelligence Layer — 15 Engine Services + AI Orchestration</w:t>
      </w:r>
    </w:p>
    <w:p>
      <w:pPr>
        <w:spacing w:after="100" w:before="60"/>
      </w:pPr>
      <w:r>
        <w:rPr>
          <w:rFonts w:ascii="Calibri" w:cs="Calibri" w:eastAsia="Calibri" w:hAnsi="Calibri"/>
          <w:color w:val="111827"/>
          <w:sz w:val="22"/>
          <w:szCs w:val="22"/>
        </w:rPr>
        <w:t xml:space="preserve">The Intelligence Layer comprises the 15 autonomous engine microservices deployed on GCP Cloud Run. Each engine subscribes to one or more Pub/Sub topics, processes ProjectEvents, and publishes structured output events to result topics. Engines read domain data from PostgreSQL (via RLS-scoped connections) and write output entities back to PostgreSQL. The AI Orchestration Engine additionally calls the Anthropic Claude API for natural language understanding, calibration, and explanation tasks.</w:t>
      </w:r>
    </w:p>
    <w:p>
      <w:pPr>
        <w:spacing w:after="0" w:before="120"/>
      </w:pPr>
    </w:p>
    <w:p>
      <w:pPr>
        <w:pStyle w:val="Heading2"/>
        <w:spacing w:after="120" w:before="320"/>
      </w:pPr>
      <w:r>
        <w:rPr>
          <w:rFonts w:ascii="Calibri" w:cs="Calibri" w:eastAsia="Calibri" w:hAnsi="Calibri"/>
          <w:b/>
          <w:bCs/>
          <w:color w:val="1A6B3A"/>
          <w:sz w:val="26"/>
          <w:szCs w:val="26"/>
        </w:rPr>
        <w:t xml:space="preserve">2.2 Data Layer — PostgreSQL + Cloud Storage + Vector DB + Redis + Elasticsearch</w:t>
      </w:r>
    </w:p>
    <w:p>
      <w:pPr>
        <w:spacing w:after="100" w:before="60"/>
      </w:pPr>
      <w:r>
        <w:rPr>
          <w:rFonts w:ascii="Calibri" w:cs="Calibri" w:eastAsia="Calibri" w:hAnsi="Calibri"/>
          <w:color w:val="111827"/>
          <w:sz w:val="22"/>
          <w:szCs w:val="22"/>
        </w:rPr>
        <w:t xml:space="preserve">The Data Layer is the authoritative record of all project state. PostgreSQL 15 is the primary store for all domain entities, partitioned by tenant_id with RLS on every table. Cloud Storage holds raw evidence files (photos, video, drone footage, audio) bucketed by tenant/project/date. A Vector DB (Vertex AI Matching Engine) holds embeddings of evidence OCR text, email content, and document extracts for semantic search. Redis provides session state, real-time engine result cache (5-minute TTL), and idempotency keys for the outbox processor. Elasticsearch provides full-text entity search and evidence content search.</w:t>
      </w:r>
    </w:p>
    <w:p>
      <w:pPr>
        <w:spacing w:after="0" w:before="120"/>
      </w:pPr>
    </w:p>
    <w:p>
      <w:pPr>
        <w:pStyle w:val="Heading2"/>
        <w:spacing w:after="120" w:before="320"/>
      </w:pPr>
      <w:r>
        <w:rPr>
          <w:rFonts w:ascii="Calibri" w:cs="Calibri" w:eastAsia="Calibri" w:hAnsi="Calibri"/>
          <w:b/>
          <w:bCs/>
          <w:color w:val="1A6B3A"/>
          <w:sz w:val="26"/>
          <w:szCs w:val="26"/>
        </w:rPr>
        <w:t xml:space="preserve">2.3 Experience Layer — Next.js UI + GraphQL API + WebSocket</w:t>
      </w:r>
    </w:p>
    <w:p>
      <w:pPr>
        <w:spacing w:after="100" w:before="60"/>
      </w:pPr>
      <w:r>
        <w:rPr>
          <w:rFonts w:ascii="Calibri" w:cs="Calibri" w:eastAsia="Calibri" w:hAnsi="Calibri"/>
          <w:color w:val="111827"/>
          <w:sz w:val="22"/>
          <w:szCs w:val="22"/>
        </w:rPr>
        <w:t xml:space="preserve">The Experience Layer is the user-facing surface. The Next.js 14 frontend uses React Server Components for data-heavy views (Gantt, dashboards, document register) and React Client Components for interactive workspaces. The FastAPI + GraphQL API Gateway serves entity workspace queries in a single request — eliminating the N+1 problem that plagued v3 REST-only implementations. WebSocket connections carry real-time engine outputs per entity. Outbound webhooks push change notifications to integrations (Primavera P6, Aconex, Procore, ERP).</w:t>
      </w:r>
    </w:p>
    <w:p>
      <w:r>
        <w:br w:type="page"/>
      </w:r>
    </w:p>
    <w:p>
      <w:pPr>
        <w:pStyle w:val="Heading1"/>
        <w:spacing w:after="160" w:before="480"/>
      </w:pPr>
      <w:r>
        <w:rPr>
          <w:rFonts w:ascii="Calibri" w:cs="Calibri" w:eastAsia="Calibri" w:hAnsi="Calibri"/>
          <w:b/>
          <w:bCs/>
          <w:color w:val="0F4D28"/>
          <w:sz w:val="40"/>
          <w:szCs w:val="40"/>
        </w:rPr>
        <w:t xml:space="preserve">3. Engine Service Catalog</w:t>
      </w:r>
    </w:p>
    <w:p>
      <w:pPr>
        <w:spacing w:after="100" w:before="60"/>
      </w:pPr>
      <w:r>
        <w:rPr>
          <w:rFonts w:ascii="Calibri" w:cs="Calibri" w:eastAsia="Calibri" w:hAnsi="Calibri"/>
          <w:color w:val="111827"/>
          <w:sz w:val="22"/>
          <w:szCs w:val="22"/>
        </w:rPr>
        <w:t xml:space="preserve">All 15 engines are deployed as independent Python FastAPI microservices on GCP Cloud Run. Each engine implements the Engine Interface: subscribe to Pub/Sub topic(s), process events idempotently, persist output to PostgreSQL, publish output event to result topic, update Redis cache.</w:t>
      </w:r>
    </w:p>
    <w:p>
      <w:pPr>
        <w:spacing w:after="0" w:before="120"/>
      </w:pPr>
    </w:p>
    <w:p>
      <w:pPr>
        <w:pStyle w:val="Heading2"/>
        <w:spacing w:after="120" w:before="320"/>
      </w:pPr>
      <w:r>
        <w:rPr>
          <w:rFonts w:ascii="Calibri" w:cs="Calibri" w:eastAsia="Calibri" w:hAnsi="Calibri"/>
          <w:b/>
          <w:bCs/>
          <w:color w:val="1A6B3A"/>
          <w:sz w:val="26"/>
          <w:szCs w:val="26"/>
        </w:rPr>
        <w:t xml:space="preserve">3.1 Engine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680"/>
        <w:gridCol w:w="1680"/>
        <w:gridCol w:w="960"/>
        <w:gridCol w:w="1920"/>
      </w:tblGrid>
      <w:tr>
        <w:trPr>
          <w:tblHeader/>
        </w:trPr>
        <w:tc>
          <w:tcPr>
            <w:tcW w:type="dxa" w:w="144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Engine</w:t>
            </w:r>
          </w:p>
        </w:tc>
        <w:tc>
          <w:tcPr>
            <w:tcW w:type="dxa" w:w="168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Trigger Events</w:t>
            </w:r>
          </w:p>
        </w:tc>
        <w:tc>
          <w:tcPr>
            <w:tcW w:type="dxa" w:w="168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Key Inputs</w:t>
            </w:r>
          </w:p>
        </w:tc>
        <w:tc>
          <w:tcPr>
            <w:tcW w:type="dxa" w:w="168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Key Outputs</w:t>
            </w:r>
          </w:p>
        </w:tc>
        <w:tc>
          <w:tcPr>
            <w:tcW w:type="dxa" w:w="9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Latency SLO</w:t>
            </w:r>
          </w:p>
        </w:tc>
        <w:tc>
          <w:tcPr>
            <w:tcW w:type="dxa" w:w="192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Scale</w:t>
            </w:r>
          </w:p>
        </w:tc>
      </w:tr>
      <w:tr>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Workflow Engine</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WorkflowTransition, GateSubmitted</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WorkflowDefinition, GateResult</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WorkflowStateChangedEvent</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&lt;500ms</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min 2, max 10, concurrency 80</w:t>
            </w:r>
          </w:p>
        </w:tc>
      </w:tr>
      <w:tr>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Configuration Engine</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ProjectCreated, TemplateUpdated</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ProjectTemplate, all builder configs</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ConfigurationSnapshot (cached in Redis)</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&lt;50ms</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min 2, max 8, concurrency 100</w:t>
            </w:r>
          </w:p>
        </w:tc>
      </w:tr>
      <w:tr>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 Engine</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DecisionInitiated, EvidenceLinked</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 Alternatives, DecisionRecord</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DecisionMadeEvent, DecisionRecord updated</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&lt;2s</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min 1, max 6, concurrency 50</w:t>
            </w:r>
          </w:p>
        </w:tc>
      </w:tr>
      <w:tr>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 Analysis Engine</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ChangeInitiated, RiskRaised, NCROpened</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WBS, Schedule, Budget, Vendors, Drawings</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ImpactAnalysis entity</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&lt;10s</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min 2, max 20, concurrency 40</w:t>
            </w:r>
          </w:p>
        </w:tc>
      </w:tr>
      <w:tr>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Dependency &amp; Chain Engine</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ChangeInitiated, RiskRaised</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DependencyGraph, Activity network</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DependencyChain, CriticalPathDelta</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&lt;5s</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min 1, max 10, concurrency 40</w:t>
            </w:r>
          </w:p>
        </w:tc>
      </w:tr>
      <w:tr>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Communication &amp; Alignment Engine</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ImpactAnalysisComplete</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Stakeholder registry, ImpactAnalysis</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CommunicationPlan, Notification records</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&lt;3s</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min 1, max 8, concurrency 60</w:t>
            </w:r>
          </w:p>
        </w:tc>
      </w:tr>
      <w:tr>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Synchronization Engine</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ChangeApproved, DecisionMade</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 artefact states across contexts</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SynchronizationStatus, ArtefactSyncEvent</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&lt;15s</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min 1, max 10, concurrency 30</w:t>
            </w:r>
          </w:p>
        </w:tc>
      </w:tr>
      <w:tr>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 Engine</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EvidenceCaptureUploaded</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Raw file (photo/video/audio/drone), Activity metadata</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EvidenceItem, EvidenceScore, OCR text, CV tags</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&lt;30s</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min 2, max 20, concurrency 20</w:t>
            </w:r>
          </w:p>
        </w:tc>
      </w:tr>
      <w:tr>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 Intelligence Engine</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NCROpened, DelayRecorded, ShipmentUpdated</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VendorHistory, NCR records, PO data</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VendorPerformance, VendorDelayRecord</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&lt;5s</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min 1, max 8, concurrency 50</w:t>
            </w:r>
          </w:p>
        </w:tc>
      </w:tr>
      <w:tr>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Supply Chain Intelligence Engine</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MaterialOrdered, ShipmentUpdated, GRNPosted</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Material, Shipment, Installation plan</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MaterialReadiness, SupplyChainStatus</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&lt;5s</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min 1, max 8, concurrency 50</w:t>
            </w:r>
          </w:p>
        </w:tc>
      </w:tr>
      <w:tr>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 Engine</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NCROpened, DelayRecorded, ChangeInitiated, IssueRaised</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 registry, historical patterns, ImpactAnalysis</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RiskScore, RiskPattern, RiskRegister updated</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&lt;5s</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min 2, max 12, concurrency 60</w:t>
            </w:r>
          </w:p>
        </w:tc>
      </w:tr>
      <w:tr>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Forecasting Engine</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DailySchedulerTick, SignificantProjectEvent</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Schedule, Budget, EVM data, Vendor data</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EAC, ScheduleForecast, CODPrediction</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&lt;30s</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min 1, max 6, concurrency 20</w:t>
            </w:r>
          </w:p>
        </w:tc>
      </w:tr>
      <w:tr>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Recommendation Engine</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ImpactAnalysisComplete, ForecastingComplete</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 engine outputs, Project context</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PrioritizedActions list (Claude-powered)</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&lt;15s</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min 1, max 8, concurrency 30</w:t>
            </w:r>
          </w:p>
        </w:tc>
      </w:tr>
      <w:tr>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Reporting Engine</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ReportScheduleTick, ReportRequested</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 domain data, DashboardData</w:t>
            </w:r>
          </w:p>
        </w:tc>
        <w:tc>
          <w:tcPr>
            <w:tcW w:type="dxa" w:w="168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 document, DashboardData snapshot</w:t>
            </w:r>
          </w:p>
        </w:tc>
        <w:tc>
          <w:tcPr>
            <w:tcW w:type="dxa" w:w="9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&lt;60s</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min 1, max 6, concurrency 10</w:t>
            </w:r>
          </w:p>
        </w:tc>
      </w:tr>
      <w:tr>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AI Orchestration Engine</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NLQuerySubmitted, CalibrationRequested</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Project context, Evidence, Risk, Decisions</w:t>
            </w:r>
          </w:p>
        </w:tc>
        <w:tc>
          <w:tcPr>
            <w:tcW w:type="dxa" w:w="168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NLResponse (streamed), CalibrationResult, Explanation</w:t>
            </w:r>
          </w:p>
        </w:tc>
        <w:tc>
          <w:tcPr>
            <w:tcW w:type="dxa" w:w="9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&lt;10s</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min 2, max 10, concurrency 40</w:t>
            </w:r>
          </w:p>
        </w:tc>
      </w:tr>
    </w:tbl>
    <w:p>
      <w:pPr>
        <w:spacing w:after="0" w:before="200"/>
      </w:pPr>
    </w:p>
    <w:p>
      <w:pPr>
        <w:pStyle w:val="Heading2"/>
        <w:spacing w:after="120" w:before="320"/>
      </w:pPr>
      <w:r>
        <w:rPr>
          <w:rFonts w:ascii="Calibri" w:cs="Calibri" w:eastAsia="Calibri" w:hAnsi="Calibri"/>
          <w:b/>
          <w:bCs/>
          <w:color w:val="1A6B3A"/>
          <w:sz w:val="26"/>
          <w:szCs w:val="26"/>
        </w:rPr>
        <w:t xml:space="preserve">3.2 Engine Profiles</w:t>
      </w:r>
    </w:p>
    <w:p>
      <w:pPr>
        <w:pStyle w:val="Heading3"/>
        <w:spacing w:after="80" w:before="200"/>
      </w:pPr>
      <w:r>
        <w:rPr>
          <w:rFonts w:ascii="Calibri" w:cs="Calibri" w:eastAsia="Calibri" w:hAnsi="Calibri"/>
          <w:b/>
          <w:bCs/>
          <w:color w:val="374151"/>
          <w:sz w:val="22"/>
          <w:szCs w:val="22"/>
        </w:rPr>
        <w:t xml:space="preserve">3.1 Workflow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Processes workflow state transitions across the project lifecycle. Evaluates gate criteria, validates pre-conditions for state advancement, and enforces workflow rules defined in the project configuration.</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WorkflowTransitionRequested, GateSubmitted, GateAdjudicated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WorkflowDefinition (from Configuration Engine cache), GateResult records, current project state</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WorkflowStateChangedEvent published to Pub/Sub; WorkflowState entity updated in PostgreSQL</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 SQLAlchemy 2.0, Redis for state lock (prevents duplicate transitions)</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&lt;500ms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2, max 10 instances, concurrency 80</w:t>
      </w:r>
    </w:p>
    <w:p>
      <w:pPr>
        <w:spacing w:after="0" w:before="80"/>
      </w:pPr>
    </w:p>
    <w:p>
      <w:pPr>
        <w:pStyle w:val="Heading3"/>
        <w:spacing w:after="80" w:before="200"/>
      </w:pPr>
      <w:r>
        <w:rPr>
          <w:rFonts w:ascii="Calibri" w:cs="Calibri" w:eastAsia="Calibri" w:hAnsi="Calibri"/>
          <w:b/>
          <w:bCs/>
          <w:color w:val="374151"/>
          <w:sz w:val="22"/>
          <w:szCs w:val="22"/>
        </w:rPr>
        <w:t xml:space="preserve">3.2 Configuration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Serves all metadata definitions for the platform: ProjectTemplates, Activity type builders, Gate builders, Workflow builders, Evidence type configs. Caches all configuration in Redis with tenant-scoped keys. Acts as the authoritative config source for all other engines.</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ProjectCreated, TemplateUpdated, ConfigurationChanged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ProjectTemplate, WorkflowDefinition, GateBuilder, EvidenceTypeConfig from PostgreSQL</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ConfigurationSnapshot cached in Redis (TTL 10 minutes); ConfigurationUpdatedEvent on changes</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 Redis pub/sub for cache invalidation</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&lt;50ms p95 (Redis cache hit), &lt;200ms p95 (DB fallback)</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2, max 8 instances, concurrency 100</w:t>
      </w:r>
    </w:p>
    <w:p>
      <w:pPr>
        <w:spacing w:after="0" w:before="80"/>
      </w:pPr>
    </w:p>
    <w:p>
      <w:pPr>
        <w:pStyle w:val="Heading3"/>
        <w:spacing w:after="80" w:before="200"/>
      </w:pPr>
      <w:r>
        <w:rPr>
          <w:rFonts w:ascii="Calibri" w:cs="Calibri" w:eastAsia="Calibri" w:hAnsi="Calibri"/>
          <w:b/>
          <w:bCs/>
          <w:color w:val="374151"/>
          <w:sz w:val="22"/>
          <w:szCs w:val="22"/>
        </w:rPr>
        <w:t xml:space="preserve">3.3 Decision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Processes DecisionRecord lifecycle from initiation through resolution. Validates that sufficient evidence is linked, that alternatives have been evaluated, and that the decision has appropriate stakeholder sign-off before marking it final.</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DecisionInitiated, EvidenceLinked, AlternativeEvaluated, DecisionApproved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Evidence records linked to the decision, Alternatives, DecisionRecord, Stakeholder approval config</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DecisionMadeEvent published to Pub/Sub; DecisionRecord status updated; linked to ImpactAnalysis</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&lt;2s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1, max 6 instances, concurrency 50</w:t>
      </w:r>
    </w:p>
    <w:p>
      <w:pPr>
        <w:spacing w:after="0" w:before="80"/>
      </w:pPr>
    </w:p>
    <w:p>
      <w:pPr>
        <w:pStyle w:val="Heading3"/>
        <w:spacing w:after="80" w:before="200"/>
      </w:pPr>
      <w:r>
        <w:rPr>
          <w:rFonts w:ascii="Calibri" w:cs="Calibri" w:eastAsia="Calibri" w:hAnsi="Calibri"/>
          <w:b/>
          <w:bCs/>
          <w:color w:val="374151"/>
          <w:sz w:val="22"/>
          <w:szCs w:val="22"/>
        </w:rPr>
        <w:t xml:space="preserve">3.4 Impact Analysis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Triggered by any significant ProjectEvent (change initiation, NCR, risk, delay). Reads across WBS, Schedule, Budget, Vendor commitments, and active Drawings to compute a structured ImpactAnalysis: affected activities, schedule delta, cost delta, affected vendors, drawing revisions required.</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ChangeInitiated, RiskRaised, NCROpened, DelayRecorded, EvidenceScoreDropped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WBS, Schedule (activity network), Budget (line items, EVM), Vendor contracts, Drawing register, active Changes</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ImpactAnalysis entity persisted to PostgreSQL; ImpactAnalysisComplete event published</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 NetworkX for activity network traversal</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&lt;10s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2, max 20 instances, concurrency 40</w:t>
      </w:r>
    </w:p>
    <w:p>
      <w:pPr>
        <w:spacing w:after="0" w:before="80"/>
      </w:pPr>
    </w:p>
    <w:p>
      <w:pPr>
        <w:pStyle w:val="Heading3"/>
        <w:spacing w:after="80" w:before="200"/>
      </w:pPr>
      <w:r>
        <w:rPr>
          <w:rFonts w:ascii="Calibri" w:cs="Calibri" w:eastAsia="Calibri" w:hAnsi="Calibri"/>
          <w:b/>
          <w:bCs/>
          <w:color w:val="374151"/>
          <w:sz w:val="22"/>
          <w:szCs w:val="22"/>
        </w:rPr>
        <w:t xml:space="preserve">3.5 Dependency &amp; Chain Analysis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Analyses dependency graphs to identify chain reactions from a change or risk event. Identifies the critical path impact, all downstream dependencies, and produces a dependency chain visualisation dataset consumed by the UI.</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ChangeInitiated, RiskRaised, ImpactAnalysisComplete</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DependencyGraph (activity predecessors/successors), Activity schedule data</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DependencyChain entity, CriticalPathDelta (float change in days)</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 NetworkX, topological sort for chain traversal</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&lt;5s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1, max 10 instances, concurrency 40</w:t>
      </w:r>
    </w:p>
    <w:p>
      <w:pPr>
        <w:spacing w:after="0" w:before="80"/>
      </w:pPr>
    </w:p>
    <w:p>
      <w:pPr>
        <w:pStyle w:val="Heading3"/>
        <w:spacing w:after="80" w:before="200"/>
      </w:pPr>
      <w:r>
        <w:rPr>
          <w:rFonts w:ascii="Calibri" w:cs="Calibri" w:eastAsia="Calibri" w:hAnsi="Calibri"/>
          <w:b/>
          <w:bCs/>
          <w:color w:val="374151"/>
          <w:sz w:val="22"/>
          <w:szCs w:val="22"/>
        </w:rPr>
        <w:t xml:space="preserve">3.6 Communication &amp; Alignment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Triggered when an ImpactAnalysis is complete. Determines which stakeholders need to be informed, at what level of detail, through which channels, and by when. Produces a CommunicationPlan and creates Notification records for the notification-service to dispatch.</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ImpactAnalysisComplete, DecisionMade</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Stakeholder registry (roles, communication preferences, contact data), ImpactAnalysis, project communication config</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CommunicationPlan entity; Notification records created; CommunicationPlanCreated event published</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&lt;3s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1, max 8 instances, concurrency 60</w:t>
      </w:r>
    </w:p>
    <w:p>
      <w:pPr>
        <w:spacing w:after="0" w:before="80"/>
      </w:pPr>
    </w:p>
    <w:p>
      <w:pPr>
        <w:pStyle w:val="Heading3"/>
        <w:spacing w:after="80" w:before="200"/>
      </w:pPr>
      <w:r>
        <w:rPr>
          <w:rFonts w:ascii="Calibri" w:cs="Calibri" w:eastAsia="Calibri" w:hAnsi="Calibri"/>
          <w:b/>
          <w:bCs/>
          <w:color w:val="374151"/>
          <w:sz w:val="22"/>
          <w:szCs w:val="22"/>
        </w:rPr>
        <w:t xml:space="preserve">3.7 Synchronization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After a change is approved or a decision finalised, ensures all artefacts across the project are synchronised to the new state. Identifies stale drawings, out-of-date schedule baselines, vendor purchase orders needing amendment, and budget line items requiring reforecast.</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ChangeApproved, DecisionMade, GateApproved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All artefact states across all domain contexts: Drawings, Schedule, Budget, Vendors, Documents</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SynchronizationStatus entity; ArtefactSyncEvent per affected artefact; SynchronizationComplete event</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 async parallel reads across PostgreSQL schemas</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&lt;15s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1, max 10 instances, concurrency 30</w:t>
      </w:r>
    </w:p>
    <w:p>
      <w:pPr>
        <w:spacing w:after="0" w:before="80"/>
      </w:pPr>
    </w:p>
    <w:p>
      <w:pPr>
        <w:pStyle w:val="Heading3"/>
        <w:spacing w:after="80" w:before="200"/>
      </w:pPr>
      <w:r>
        <w:rPr>
          <w:rFonts w:ascii="Calibri" w:cs="Calibri" w:eastAsia="Calibri" w:hAnsi="Calibri"/>
          <w:b/>
          <w:bCs/>
          <w:color w:val="374151"/>
          <w:sz w:val="22"/>
          <w:szCs w:val="22"/>
        </w:rPr>
        <w:t xml:space="preserve">3.8 Evidence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Processes every raw evidence upload. Runs file validation (type, size, virus scan), calls Google Vision API for photo/video Computer Vision (object detection, label classification, defect tagging), runs OCR on documents and images, produces an EvidenceScore for the linked Activity, and stores embeddings in the Vector DB for semantic search.</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EvidenceCaptureUploaded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Raw file from Cloud Storage (photo, video, drone, audio, document), Activity metadata, Project context</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EvidenceItem (processed metadata), EvidenceScore, OCR text, CV tags, Vector embedding; EvidenceProcessed event</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 Google Vision API (CV and OCR), Vertex AI Embeddings API, Cloud Storage client</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&lt;30s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2, max 20 instances, concurrency 20</w:t>
      </w:r>
    </w:p>
    <w:p>
      <w:pPr>
        <w:spacing w:after="0" w:before="80"/>
      </w:pPr>
    </w:p>
    <w:p>
      <w:pPr>
        <w:pStyle w:val="Heading3"/>
        <w:spacing w:after="80" w:before="200"/>
      </w:pPr>
      <w:r>
        <w:rPr>
          <w:rFonts w:ascii="Calibri" w:cs="Calibri" w:eastAsia="Calibri" w:hAnsi="Calibri"/>
          <w:b/>
          <w:bCs/>
          <w:color w:val="374151"/>
          <w:sz w:val="22"/>
          <w:szCs w:val="22"/>
        </w:rPr>
        <w:t xml:space="preserve">3.9 Vendor Intelligence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Monitors vendor performance by processing NCR records, delay records, and shipment updates attributed to vendors. Computes VendorPerformanceScore against contract SLAs, detects performance trends, and flags at-risk vendors.</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NCROpened, NCRClosed, DelayRecorded, ShipmentUpdated, GRNPosted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VendorHistory (all historical performance), NCR records, PO data, contract SLAs, Shipment records</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VendorPerformance entity (score, trend, risk flag); VendorDelayRecord; VendorRiskFlaggedEvent</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&lt;5s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1, max 8 instances, concurrency 50</w:t>
      </w:r>
    </w:p>
    <w:p>
      <w:pPr>
        <w:spacing w:after="0" w:before="80"/>
      </w:pPr>
    </w:p>
    <w:p>
      <w:pPr>
        <w:pStyle w:val="Heading3"/>
        <w:spacing w:after="80" w:before="200"/>
      </w:pPr>
      <w:r>
        <w:rPr>
          <w:rFonts w:ascii="Calibri" w:cs="Calibri" w:eastAsia="Calibri" w:hAnsi="Calibri"/>
          <w:b/>
          <w:bCs/>
          <w:color w:val="374151"/>
          <w:sz w:val="22"/>
          <w:szCs w:val="22"/>
        </w:rPr>
        <w:t xml:space="preserve">3.10 Supply Chain Intelligence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Tracks material readiness and supply chain health across all open procurement items. Correlates material delivery status with installation plan dates to identify at-risk materials that could cause schedule delays.</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MaterialOrdered, ShipmentUpdated, GRNPosted, InstallationPlanned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Material records, Shipment records, Installation plan, Schedule (planned installation activities)</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MaterialReadiness entity; SupplyChainStatus (overall health score); SupplyChainRiskEvent if materials at risk</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&lt;5s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1, max 8 instances, concurrency 50</w:t>
      </w:r>
    </w:p>
    <w:p>
      <w:pPr>
        <w:spacing w:after="0" w:before="80"/>
      </w:pPr>
    </w:p>
    <w:p>
      <w:pPr>
        <w:pStyle w:val="Heading3"/>
        <w:spacing w:after="80" w:before="200"/>
      </w:pPr>
      <w:r>
        <w:rPr>
          <w:rFonts w:ascii="Calibri" w:cs="Calibri" w:eastAsia="Calibri" w:hAnsi="Calibri"/>
          <w:b/>
          <w:bCs/>
          <w:color w:val="374151"/>
          <w:sz w:val="22"/>
          <w:szCs w:val="22"/>
        </w:rPr>
        <w:t xml:space="preserve">3.11 Risk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Triggered by any negative ProjectEvent. Evaluates the risk registry against current project state, scores risks using a probability-impact matrix, identifies risk patterns from historical data, and updates the risk register with current scores and recommended responses.</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NCROpened, DelayRecorded, ChangeInitiated, IssueRaised, ImpactAnalysisComplete</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Risk registry, historical risk patterns (from previous projects in tenant), current ImpactAnalysis, Schedule, Budget</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RiskScore per risk item; RiskPattern identification; RiskRegister updated; HighRiskDetectedEvent</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&lt;5s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2, max 12 instances, concurrency 60</w:t>
      </w:r>
    </w:p>
    <w:p>
      <w:pPr>
        <w:spacing w:after="0" w:before="80"/>
      </w:pPr>
    </w:p>
    <w:p>
      <w:pPr>
        <w:pStyle w:val="Heading3"/>
        <w:spacing w:after="80" w:before="200"/>
      </w:pPr>
      <w:r>
        <w:rPr>
          <w:rFonts w:ascii="Calibri" w:cs="Calibri" w:eastAsia="Calibri" w:hAnsi="Calibri"/>
          <w:b/>
          <w:bCs/>
          <w:color w:val="374151"/>
          <w:sz w:val="22"/>
          <w:szCs w:val="22"/>
        </w:rPr>
        <w:t xml:space="preserve">3.12 Forecasting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Runs on a daily schedule and also on significant project events. Uses Earned Value Management data combined with schedule and vendor performance trends to produce EAC (Estimate at Completion), ScheduleForecast, and COD (Commercial Operations Date) Prediction with confidence intervals.</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DailySchedulerTick, ImpactAnalysisComplete, VendorRiskFlagged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Schedule (planned vs actual), Budget (EVM: BCWS, BCWP, ACWP), Vendor performance trends, historical project data</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EAC, ScheduleForecast, CODPrediction (with confidence intervals); ForecastUpdatedEvent</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 NumPy for EVM calculations</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&lt;30s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1, max 6 instances, concurrency 20</w:t>
      </w:r>
    </w:p>
    <w:p>
      <w:pPr>
        <w:spacing w:after="0" w:before="80"/>
      </w:pPr>
    </w:p>
    <w:p>
      <w:pPr>
        <w:pStyle w:val="Heading3"/>
        <w:spacing w:after="80" w:before="200"/>
      </w:pPr>
      <w:r>
        <w:rPr>
          <w:rFonts w:ascii="Calibri" w:cs="Calibri" w:eastAsia="Calibri" w:hAnsi="Calibri"/>
          <w:b/>
          <w:bCs/>
          <w:color w:val="374151"/>
          <w:sz w:val="22"/>
          <w:szCs w:val="22"/>
        </w:rPr>
        <w:t xml:space="preserve">3.13 Recommendation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The highest-level intelligence engine. Triggered when ImpactAnalysis and Forecasting outputs are available. Reads all engine outputs in context and uses Anthropic Claude to produce a PrioritizedActions list: specific, actionable recommendations ranked by urgency and impact.</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ImpactAnalysisComplete, ForecastingComplete</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All engine outputs (ImpactAnalysis, RiskScores, SupplyChainStatus, VendorPerformance, DependencyChain), Project context</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PrioritizedActions list (action, rationale, urgency, owner suggestion); RecommendationsReadyEvent</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 Anthropic Claude claude-sonnet-4-6 (structured JSON output mode)</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&lt;15s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1, max 8 instances, concurrency 30</w:t>
      </w:r>
    </w:p>
    <w:p>
      <w:pPr>
        <w:spacing w:after="0" w:before="80"/>
      </w:pPr>
    </w:p>
    <w:p>
      <w:pPr>
        <w:pStyle w:val="Heading3"/>
        <w:spacing w:after="80" w:before="200"/>
      </w:pPr>
      <w:r>
        <w:rPr>
          <w:rFonts w:ascii="Calibri" w:cs="Calibri" w:eastAsia="Calibri" w:hAnsi="Calibri"/>
          <w:b/>
          <w:bCs/>
          <w:color w:val="374151"/>
          <w:sz w:val="22"/>
          <w:szCs w:val="22"/>
        </w:rPr>
        <w:t xml:space="preserve">3.14 Reporting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Generates reports on schedule (weekly, monthly) or on demand. Reads all domain data and DashboardData snapshots to produce structured report documents and dashboard data payloads. Reports are rendered as DOCX and PDF, stored in Cloud Storage, and linked from the project workspace.</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ReportScheduleTick, ReportRequested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All domain data (Schedule, Budget, EVM, Evidence, Risk, Vendor, Change), DashboardData snapshots</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Report document (DOCX + PDF) in Cloud Storage; DashboardData entity; ReportGeneratedEvent</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 python-docx for report generation</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&lt;60s p95</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1, max 6 instances, concurrency 10</w:t>
      </w:r>
    </w:p>
    <w:p>
      <w:pPr>
        <w:spacing w:after="0" w:before="80"/>
      </w:pPr>
    </w:p>
    <w:p>
      <w:pPr>
        <w:pStyle w:val="Heading3"/>
        <w:spacing w:after="80" w:before="200"/>
      </w:pPr>
      <w:r>
        <w:rPr>
          <w:rFonts w:ascii="Calibri" w:cs="Calibri" w:eastAsia="Calibri" w:hAnsi="Calibri"/>
          <w:b/>
          <w:bCs/>
          <w:color w:val="374151"/>
          <w:sz w:val="22"/>
          <w:szCs w:val="22"/>
        </w:rPr>
        <w:t xml:space="preserve">3.15 AI Orchestration Engine</w:t>
      </w:r>
    </w:p>
    <w:p>
      <w:pPr>
        <w:spacing w:after="40" w:before="40"/>
      </w:pPr>
      <w:r>
        <w:rPr>
          <w:rFonts w:ascii="Calibri" w:cs="Calibri" w:eastAsia="Calibri" w:hAnsi="Calibri"/>
          <w:b/>
          <w:bCs/>
          <w:color w:val="0F4D28"/>
          <w:sz w:val="20"/>
          <w:szCs w:val="20"/>
        </w:rPr>
        <w:t xml:space="preserve">Responsibility: </w:t>
      </w:r>
      <w:r>
        <w:rPr>
          <w:rFonts w:ascii="Calibri" w:cs="Calibri" w:eastAsia="Calibri" w:hAnsi="Calibri"/>
          <w:color w:val="111827"/>
          <w:sz w:val="20"/>
          <w:szCs w:val="20"/>
        </w:rPr>
        <w:t xml:space="preserve">Handles all natural language interaction with the platform. Processes NL queries from the AI Copilot, runs confidence score calibration, and provides AI-generated explanations for engine outputs. Uses Claude with RAG: retrieves relevant project context (RAID, decisions, changes, schedule, risk) before responding. Implements prompt injection protection and content filtering.</w:t>
      </w:r>
    </w:p>
    <w:p>
      <w:pPr>
        <w:spacing w:after="40" w:before="40"/>
      </w:pPr>
      <w:r>
        <w:rPr>
          <w:rFonts w:ascii="Calibri" w:cs="Calibri" w:eastAsia="Calibri" w:hAnsi="Calibri"/>
          <w:b/>
          <w:bCs/>
          <w:color w:val="0F4D28"/>
          <w:sz w:val="20"/>
          <w:szCs w:val="20"/>
        </w:rPr>
        <w:t xml:space="preserve">Trigger: </w:t>
      </w:r>
      <w:r>
        <w:rPr>
          <w:rFonts w:ascii="Calibri" w:cs="Calibri" w:eastAsia="Calibri" w:hAnsi="Calibri"/>
          <w:color w:val="111827"/>
          <w:sz w:val="20"/>
          <w:szCs w:val="20"/>
        </w:rPr>
        <w:t xml:space="preserve">NLQuerySubmitted, CalibrationRequested, ExplanationRequested</w:t>
      </w:r>
    </w:p>
    <w:p>
      <w:pPr>
        <w:spacing w:after="40" w:before="40"/>
      </w:pPr>
      <w:r>
        <w:rPr>
          <w:rFonts w:ascii="Calibri" w:cs="Calibri" w:eastAsia="Calibri" w:hAnsi="Calibri"/>
          <w:b/>
          <w:bCs/>
          <w:color w:val="0F4D28"/>
          <w:sz w:val="20"/>
          <w:szCs w:val="20"/>
        </w:rPr>
        <w:t xml:space="preserve">Inputs: </w:t>
      </w:r>
      <w:r>
        <w:rPr>
          <w:rFonts w:ascii="Calibri" w:cs="Calibri" w:eastAsia="Calibri" w:hAnsi="Calibri"/>
          <w:color w:val="111827"/>
          <w:sz w:val="20"/>
          <w:szCs w:val="20"/>
        </w:rPr>
        <w:t xml:space="preserve">Project context (RAID, decisions, active changes, risk registry, schedule), Engine output entities for explanation</w:t>
      </w:r>
    </w:p>
    <w:p>
      <w:pPr>
        <w:spacing w:after="40" w:before="40"/>
      </w:pPr>
      <w:r>
        <w:rPr>
          <w:rFonts w:ascii="Calibri" w:cs="Calibri" w:eastAsia="Calibri" w:hAnsi="Calibri"/>
          <w:b/>
          <w:bCs/>
          <w:color w:val="0F4D28"/>
          <w:sz w:val="20"/>
          <w:szCs w:val="20"/>
        </w:rPr>
        <w:t xml:space="preserve">Outputs: </w:t>
      </w:r>
      <w:r>
        <w:rPr>
          <w:rFonts w:ascii="Calibri" w:cs="Calibri" w:eastAsia="Calibri" w:hAnsi="Calibri"/>
          <w:color w:val="111827"/>
          <w:sz w:val="20"/>
          <w:szCs w:val="20"/>
        </w:rPr>
        <w:t xml:space="preserve">NLResponse (streamed to client via WebSocket); CalibrationResult; Explanation entity</w:t>
      </w:r>
    </w:p>
    <w:p>
      <w:pPr>
        <w:spacing w:after="40" w:before="40"/>
      </w:pPr>
      <w:r>
        <w:rPr>
          <w:rFonts w:ascii="Calibri" w:cs="Calibri" w:eastAsia="Calibri" w:hAnsi="Calibri"/>
          <w:b/>
          <w:bCs/>
          <w:color w:val="0F4D28"/>
          <w:sz w:val="20"/>
          <w:szCs w:val="20"/>
        </w:rPr>
        <w:t xml:space="preserve">Technology: </w:t>
      </w:r>
      <w:r>
        <w:rPr>
          <w:rFonts w:ascii="Calibri" w:cs="Calibri" w:eastAsia="Calibri" w:hAnsi="Calibri"/>
          <w:color w:val="111827"/>
          <w:sz w:val="20"/>
          <w:szCs w:val="20"/>
        </w:rPr>
        <w:t xml:space="preserve">Python FastAPI, Anthropic Claude claude-sonnet-4-6 (streaming), Vertex AI Matching Engine for RAG retrieval</w:t>
      </w:r>
    </w:p>
    <w:p>
      <w:pPr>
        <w:spacing w:after="40" w:before="40"/>
      </w:pPr>
      <w:r>
        <w:rPr>
          <w:rFonts w:ascii="Calibri" w:cs="Calibri" w:eastAsia="Calibri" w:hAnsi="Calibri"/>
          <w:b/>
          <w:bCs/>
          <w:color w:val="0F4D28"/>
          <w:sz w:val="20"/>
          <w:szCs w:val="20"/>
        </w:rPr>
        <w:t xml:space="preserve">Latency SLO: </w:t>
      </w:r>
      <w:r>
        <w:rPr>
          <w:rFonts w:ascii="Calibri" w:cs="Calibri" w:eastAsia="Calibri" w:hAnsi="Calibri"/>
          <w:color w:val="111827"/>
          <w:sz w:val="20"/>
          <w:szCs w:val="20"/>
        </w:rPr>
        <w:t xml:space="preserve">&lt;10s p95 first token (streaming)</w:t>
      </w:r>
    </w:p>
    <w:p>
      <w:pPr>
        <w:spacing w:after="40" w:before="40"/>
      </w:pPr>
      <w:r>
        <w:rPr>
          <w:rFonts w:ascii="Calibri" w:cs="Calibri" w:eastAsia="Calibri" w:hAnsi="Calibri"/>
          <w:b/>
          <w:bCs/>
          <w:color w:val="0F4D28"/>
          <w:sz w:val="20"/>
          <w:szCs w:val="20"/>
        </w:rPr>
        <w:t xml:space="preserve">Scaling: </w:t>
      </w:r>
      <w:r>
        <w:rPr>
          <w:rFonts w:ascii="Calibri" w:cs="Calibri" w:eastAsia="Calibri" w:hAnsi="Calibri"/>
          <w:color w:val="111827"/>
          <w:sz w:val="20"/>
          <w:szCs w:val="20"/>
        </w:rPr>
        <w:t xml:space="preserve">min 2, max 10 instances, concurrency 40</w:t>
      </w:r>
    </w:p>
    <w:p>
      <w:pPr>
        <w:spacing w:after="0" w:before="80"/>
      </w:pPr>
    </w:p>
    <w:p>
      <w:r>
        <w:br w:type="page"/>
      </w:r>
    </w:p>
    <w:p>
      <w:pPr>
        <w:pStyle w:val="Heading1"/>
        <w:spacing w:after="160" w:before="480"/>
      </w:pPr>
      <w:r>
        <w:rPr>
          <w:rFonts w:ascii="Calibri" w:cs="Calibri" w:eastAsia="Calibri" w:hAnsi="Calibri"/>
          <w:b/>
          <w:bCs/>
          <w:color w:val="0F4D28"/>
          <w:sz w:val="40"/>
          <w:szCs w:val="40"/>
        </w:rPr>
        <w:t xml:space="preserve">4. Data Architecture</w:t>
      </w:r>
    </w:p>
    <w:p>
      <w:pPr>
        <w:pStyle w:val="Heading2"/>
        <w:spacing w:after="120" w:before="320"/>
      </w:pPr>
      <w:r>
        <w:rPr>
          <w:rFonts w:ascii="Calibri" w:cs="Calibri" w:eastAsia="Calibri" w:hAnsi="Calibri"/>
          <w:b/>
          <w:bCs/>
          <w:color w:val="1A6B3A"/>
          <w:sz w:val="26"/>
          <w:szCs w:val="26"/>
        </w:rPr>
        <w:t xml:space="preserve">4.1 PostgreSQL 15 — Primary Domain Store</w:t>
      </w:r>
    </w:p>
    <w:p>
      <w:pPr>
        <w:spacing w:after="100" w:before="60"/>
      </w:pPr>
      <w:r>
        <w:rPr>
          <w:rFonts w:ascii="Calibri" w:cs="Calibri" w:eastAsia="Calibri" w:hAnsi="Calibri"/>
          <w:color w:val="111827"/>
          <w:sz w:val="22"/>
          <w:szCs w:val="22"/>
        </w:rPr>
        <w:t xml:space="preserve">PostgreSQL 15 is the authoritative record for all domain entities. Key v4 characteristics: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Tenant partitioning: All tenant-scoped tables include tenant_id as a partition key. RLS policy SET LOCAL app.current_tenant_id is applied at the start of every transaction by the GreenPM Python SDK.</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Outbox pattern: All domain events are written to the outbox table in the same transaction as the domain write. The outbox processor reads committed rows and publishes to Pub/Sub. Events are never lost.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Engine output tables: v4 adds dedicated tables for all engine output entities (impact_analyses, synchronization_statuses, risk_scores, vendor_performance, material_readiness, forecasts, recommendations, etc.).</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Event replay: ProjectEvents are persisted to the project_events table before being published to Pub/Sub. Any engine can request a replay of past events for re-processing.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Read replicas: Analytics and reporting queries (Forecasting Engine, Reporting Engine) use a read replica to avoid load on the primary.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PgBouncer: Session mode (unchanged from v3). Required for SET LOCAL RLS compatibility. Pool size 20 per engine service instance.</w:t>
      </w:r>
    </w:p>
    <w:p>
      <w:pPr>
        <w:spacing w:after="0" w:before="120"/>
      </w:pPr>
    </w:p>
    <w:p>
      <w:pPr>
        <w:pStyle w:val="Heading2"/>
        <w:spacing w:after="120" w:before="320"/>
      </w:pPr>
      <w:r>
        <w:rPr>
          <w:rFonts w:ascii="Calibri" w:cs="Calibri" w:eastAsia="Calibri" w:hAnsi="Calibri"/>
          <w:b/>
          <w:bCs/>
          <w:color w:val="1A6B3A"/>
          <w:sz w:val="26"/>
          <w:szCs w:val="26"/>
        </w:rPr>
        <w:t xml:space="preserve">4.2 Cloud Storage — Evidence Store</w:t>
      </w:r>
    </w:p>
    <w:p>
      <w:pPr>
        <w:spacing w:after="100" w:before="60"/>
      </w:pPr>
      <w:r>
        <w:rPr>
          <w:rFonts w:ascii="Calibri" w:cs="Calibri" w:eastAsia="Calibri" w:hAnsi="Calibri"/>
          <w:color w:val="111827"/>
          <w:sz w:val="22"/>
          <w:szCs w:val="22"/>
        </w:rPr>
        <w:t xml:space="preserve">Raw evidence files are stored in GCP Cloud Storage, bucketed by tenant/project/date. v4 adds video and drone footage as first-class evidence types alongside photos and documents.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Bucket structure: gs://{tenant_id}-evidence/{project_id}/{YYYY-MM-DD}/{evidence_id}.{ext}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Access: Signed URLs with 15-minute expiry for client upload and download. Evidence Engine reads via service account credentials.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Lifecycle: Evidence files retained 7 years. Drone footage and video downsampled to 720p after 90 days and archived to Coldline storage.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CMEK: All buckets use Customer-Managed Encryption Keys via GCP KMS.</w:t>
      </w:r>
    </w:p>
    <w:p>
      <w:pPr>
        <w:spacing w:after="0" w:before="120"/>
      </w:pPr>
    </w:p>
    <w:p>
      <w:pPr>
        <w:pStyle w:val="Heading2"/>
        <w:spacing w:after="120" w:before="320"/>
      </w:pPr>
      <w:r>
        <w:rPr>
          <w:rFonts w:ascii="Calibri" w:cs="Calibri" w:eastAsia="Calibri" w:hAnsi="Calibri"/>
          <w:b/>
          <w:bCs/>
          <w:color w:val="1A6B3A"/>
          <w:sz w:val="26"/>
          <w:szCs w:val="26"/>
        </w:rPr>
        <w:t xml:space="preserve">4.3 Vector DB — Vertex AI Matching Engine</w:t>
      </w:r>
    </w:p>
    <w:p>
      <w:pPr>
        <w:spacing w:after="100" w:before="60"/>
      </w:pPr>
      <w:r>
        <w:rPr>
          <w:rFonts w:ascii="Calibri" w:cs="Calibri" w:eastAsia="Calibri" w:hAnsi="Calibri"/>
          <w:color w:val="111827"/>
          <w:sz w:val="22"/>
          <w:szCs w:val="22"/>
        </w:rPr>
        <w:t xml:space="preserve">The Vector DB stores text embeddings of evidence OCR content, email content, and document extracts. This enables semantic search across all evidence attached to a project — finding conceptually similar evidence even when keyword matching fails.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Embedding model: Vertex AI text-embedding-004 (768 dimensions).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Indexed entities: EvidenceItem (OCR text), EmailEvidence (body), DocumentExtract (page content).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Query patterns: AI Orchestration Engine queries for relevant evidence during RAG retrieval. Evidence Engine indexes new items after OCR processing.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Tenant isolation: Each tenant's embeddings are stored with tenant_id metadata and filtered at query time.</w:t>
      </w:r>
    </w:p>
    <w:p>
      <w:pPr>
        <w:spacing w:after="0" w:before="120"/>
      </w:pPr>
    </w:p>
    <w:p>
      <w:pPr>
        <w:pStyle w:val="Heading2"/>
        <w:spacing w:after="120" w:before="320"/>
      </w:pPr>
      <w:r>
        <w:rPr>
          <w:rFonts w:ascii="Calibri" w:cs="Calibri" w:eastAsia="Calibri" w:hAnsi="Calibri"/>
          <w:b/>
          <w:bCs/>
          <w:color w:val="1A6B3A"/>
          <w:sz w:val="26"/>
          <w:szCs w:val="26"/>
        </w:rPr>
        <w:t xml:space="preserve">4.4 Redis — Session, Cache, Idempotency</w:t>
      </w:r>
    </w:p>
    <w:p>
      <w:pPr>
        <w:spacing w:after="100" w:before="60"/>
      </w:pPr>
      <w:r>
        <w:rPr>
          <w:rFonts w:ascii="Calibri" w:cs="Calibri" w:eastAsia="Calibri" w:hAnsi="Calibri"/>
          <w:color w:val="111827"/>
          <w:sz w:val="22"/>
          <w:szCs w:val="22"/>
        </w:rPr>
        <w:t xml:space="preserve">Redis (Memorystore for Redis 7) serves three distinct roles in v4:</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Session state: JWT → user context mapping (15-minute TTL), tenant-prefixed keys.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Engine result cache: Latest engine output per entity (e.g. latest ImpactAnalysis for a given change_id) cached with 5-minute TTL. UI reads from cache for instant workspace loads; falls back to PostgreSQL on cache miss.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Idempotency keys: Outbox processor writes idempotency keys (event_id → processed) to Redis (1-hour TTL) to prevent duplicate Pub/Sub publishes on transient retry.</w:t>
      </w:r>
    </w:p>
    <w:p>
      <w:pPr>
        <w:spacing w:after="0" w:before="120"/>
      </w:pPr>
    </w:p>
    <w:p>
      <w:pPr>
        <w:pStyle w:val="Heading2"/>
        <w:spacing w:after="120" w:before="320"/>
      </w:pPr>
      <w:r>
        <w:rPr>
          <w:rFonts w:ascii="Calibri" w:cs="Calibri" w:eastAsia="Calibri" w:hAnsi="Calibri"/>
          <w:b/>
          <w:bCs/>
          <w:color w:val="1A6B3A"/>
          <w:sz w:val="26"/>
          <w:szCs w:val="26"/>
        </w:rPr>
        <w:t xml:space="preserve">4.5 Elasticsearch — Entity and Evidence Search</w:t>
      </w:r>
    </w:p>
    <w:p>
      <w:pPr>
        <w:spacing w:after="100" w:before="60"/>
      </w:pPr>
      <w:r>
        <w:rPr>
          <w:rFonts w:ascii="Calibri" w:cs="Calibri" w:eastAsia="Calibri" w:hAnsi="Calibri"/>
          <w:color w:val="111827"/>
          <w:sz w:val="22"/>
          <w:szCs w:val="22"/>
        </w:rPr>
        <w:t xml:space="preserve">Elasticsearch provides full-text search capabilities that PostgreSQL cannot efficiently support at scale.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Entity search: Activities, Vendors, Documents, NCRs, Risks indexed with all searchable fields. Used by the global search bar and entity workspace filter panels.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Evidence content search: OCR text from EvidenceItems indexed. Users can search 'all photos mentioning cracks' or 'all documents referencing concrete mix design' across the full project evidence corpus.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Index refresh: Near-real-time (1-second refresh interval). Engine output entities indexed after processing.</w:t>
      </w:r>
    </w:p>
    <w:p>
      <w:r>
        <w:br w:type="page"/>
      </w:r>
    </w:p>
    <w:p>
      <w:pPr>
        <w:pStyle w:val="Heading1"/>
        <w:spacing w:after="160" w:before="480"/>
      </w:pPr>
      <w:r>
        <w:rPr>
          <w:rFonts w:ascii="Calibri" w:cs="Calibri" w:eastAsia="Calibri" w:hAnsi="Calibri"/>
          <w:b/>
          <w:bCs/>
          <w:color w:val="0F4D28"/>
          <w:sz w:val="40"/>
          <w:szCs w:val="40"/>
        </w:rPr>
        <w:t xml:space="preserve">5. Event Architecture</w:t>
      </w:r>
    </w:p>
    <w:p>
      <w:pPr>
        <w:spacing w:after="100" w:before="60"/>
      </w:pPr>
      <w:r>
        <w:rPr>
          <w:rFonts w:ascii="Calibri" w:cs="Calibri" w:eastAsia="Calibri" w:hAnsi="Calibri"/>
          <w:color w:val="111827"/>
          <w:sz w:val="22"/>
          <w:szCs w:val="22"/>
        </w:rPr>
        <w:t xml:space="preserve">v4 expands the v3 Pub/Sub event model to add five new topic categories for engine outputs, supply chain events, evidence captures, readiness events, and alignment events. The Transactional Outbox pattern is unchanged: all events are written to the outbox table before publishing to Pub/Sub.</w:t>
      </w:r>
    </w:p>
    <w:p>
      <w:pPr>
        <w:spacing w:after="0" w:before="120"/>
      </w:pPr>
    </w:p>
    <w:p>
      <w:pPr>
        <w:pStyle w:val="Heading2"/>
        <w:spacing w:after="120" w:before="320"/>
      </w:pPr>
      <w:r>
        <w:rPr>
          <w:rFonts w:ascii="Calibri" w:cs="Calibri" w:eastAsia="Calibri" w:hAnsi="Calibri"/>
          <w:b/>
          <w:bCs/>
          <w:color w:val="1A6B3A"/>
          <w:sz w:val="26"/>
          <w:szCs w:val="26"/>
        </w:rPr>
        <w:t xml:space="preserve">5.1 Event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800"/>
        <w:gridCol w:w="2400"/>
        <w:gridCol w:w="1920"/>
      </w:tblGrid>
      <w:tr>
        <w:trPr>
          <w:tblHeader/>
        </w:trPr>
        <w:tc>
          <w:tcPr>
            <w:tcW w:type="dxa" w:w="1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Topic</w:t>
            </w:r>
          </w:p>
        </w:tc>
        <w:tc>
          <w:tcPr>
            <w:tcW w:type="dxa" w:w="144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Publisher</w:t>
            </w:r>
          </w:p>
        </w:tc>
        <w:tc>
          <w:tcPr>
            <w:tcW w:type="dxa" w:w="1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Subscriber(s)</w:t>
            </w:r>
          </w:p>
        </w:tc>
        <w:tc>
          <w:tcPr>
            <w:tcW w:type="dxa" w:w="24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Key Events</w:t>
            </w:r>
          </w:p>
        </w:tc>
        <w:tc>
          <w:tcPr>
            <w:tcW w:type="dxa" w:w="192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Notes</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greenpm.workflow.events</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Workflow Engine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 Engine, Governance UI</w:t>
            </w:r>
          </w:p>
        </w:tc>
        <w:tc>
          <w:tcPr>
            <w:tcW w:type="dxa" w:w="2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WorkflowTransitionRequested, WorkflowStateChanged, GateSubmitted, GateAdjudicated</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v3 topic, unchanged</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greenpm.change.events</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 API service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 Analysis Engine, Dependency Engine, Risk Engine</w:t>
            </w:r>
          </w:p>
        </w:tc>
        <w:tc>
          <w:tcPr>
            <w:tcW w:type="dxa" w:w="2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ChangeInitiated, ChangeApproved, ChangeRejected, ChangeWithdrawn</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v3 topic, expanded subscriber list</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greenpm.evidence.captures</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 API service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 Engine</w:t>
            </w:r>
          </w:p>
        </w:tc>
        <w:tc>
          <w:tcPr>
            <w:tcW w:type="dxa" w:w="2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EvidenceCaptureUploaded, EvidenceLinkRequested</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v4 new — dedicated capture topic</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greenpm.engine.outputs</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 engine services</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Next.js WebSocket server, Recommendation Engine</w:t>
            </w:r>
          </w:p>
        </w:tc>
        <w:tc>
          <w:tcPr>
            <w:tcW w:type="dxa" w:w="2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ImpactAnalysisComplete, SynchronizationStatusUpdated, RiskScoreUpdated, ForecastUpdated, RecommendationsReady</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v4 new — fan-in for all engine outputs</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greenpm.supplychain.events</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Supply Chain Intelligence Engine, Vendor Intelligence Engine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 Engine, Forecasting Engine</w:t>
            </w:r>
          </w:p>
        </w:tc>
        <w:tc>
          <w:tcPr>
            <w:tcW w:type="dxa" w:w="2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MaterialOrdered, ShipmentUpdated, GRNPosted, VendorRiskFlagged, SupplyChainRisk</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v4 new</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greenpm.readiness.events</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 Engine, Workflow Engine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Forecasting Engine, Risk Engine, UI</w:t>
            </w:r>
          </w:p>
        </w:tc>
        <w:tc>
          <w:tcPr>
            <w:tcW w:type="dxa" w:w="2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ReadinessScoreChanged, EvidenceScoreRecomputed, ConfidenceScoreCalibrated</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v4 new — replaces v3 SSE channel</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greenpm.confidence.events</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AI Orchestration Engine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UI WebSocket, Report Engine</w:t>
            </w:r>
          </w:p>
        </w:tc>
        <w:tc>
          <w:tcPr>
            <w:tcW w:type="dxa" w:w="2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ConfidenceScoreCalibrated, CalibrationFailed, AIExplanationReady</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v4 new</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greenpm.alignment.events</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Communication &amp; Alignment Engine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UI WebSocket, Audit service</w:t>
            </w:r>
          </w:p>
        </w:tc>
        <w:tc>
          <w:tcPr>
            <w:tcW w:type="dxa" w:w="2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CommunicationPlanCreated, StakeholderAcknowledged, AlignmentComplete</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v4 new</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greenpm.vendor.events</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 Intelligence Engine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Supply Chain Intelligence Engine, Risk Engine</w:t>
            </w:r>
          </w:p>
        </w:tc>
        <w:tc>
          <w:tcPr>
            <w:tcW w:type="dxa" w:w="2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VendorPerformanceUpdated, VendorDelayRecorded, VendorRiskFlagged</w:t>
            </w:r>
          </w:p>
        </w:tc>
        <w:tc>
          <w:tcPr>
            <w:tcW w:type="dxa" w:w="19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v3 topic, new publisher</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greenpm.notifications</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Communication &amp; Alignment Engine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Notification service</w:t>
            </w:r>
          </w:p>
        </w:tc>
        <w:tc>
          <w:tcPr>
            <w:tcW w:type="dxa" w:w="2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NotificationQueued, NotificationDispatched</w:t>
            </w:r>
          </w:p>
        </w:tc>
        <w:tc>
          <w:tcPr>
            <w:tcW w:type="dxa" w:w="19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v3 topic, unchanged</w:t>
            </w:r>
          </w:p>
        </w:tc>
      </w:tr>
    </w:tbl>
    <w:p>
      <w:pPr>
        <w:spacing w:after="0" w:before="200"/>
      </w:pPr>
    </w:p>
    <w:p>
      <w:pPr>
        <w:pStyle w:val="Heading2"/>
        <w:spacing w:after="120" w:before="320"/>
      </w:pPr>
      <w:r>
        <w:rPr>
          <w:rFonts w:ascii="Calibri" w:cs="Calibri" w:eastAsia="Calibri" w:hAnsi="Calibri"/>
          <w:b/>
          <w:bCs/>
          <w:color w:val="1A6B3A"/>
          <w:sz w:val="26"/>
          <w:szCs w:val="26"/>
        </w:rPr>
        <w:t xml:space="preserve">5.2 ProjectEvent as First-Class Entity</w:t>
      </w:r>
    </w:p>
    <w:p>
      <w:pPr>
        <w:spacing w:after="100" w:before="60"/>
      </w:pPr>
      <w:r>
        <w:rPr>
          <w:rFonts w:ascii="Calibri" w:cs="Calibri" w:eastAsia="Calibri" w:hAnsi="Calibri"/>
          <w:color w:val="111827"/>
          <w:sz w:val="22"/>
          <w:szCs w:val="22"/>
        </w:rPr>
        <w:t xml:space="preserve">All ProjectEvents are persisted to the project_events table in PostgreSQL before being published to Pub/Sub (see ADR-004). This enables: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Audit trail: Every event is recorded with timestamp, tenant_id, user_id, correlation_id, and payload.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Engine replay: Any engine can request a replay of past ProjectEvents for re-processing (e.g., after a bug fix or new engine deployment).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Causality chain: Each event carries a caused_by_event_id, enabling full causality chains to be reconstructed.</w:t>
      </w:r>
    </w:p>
    <w:p>
      <w:pPr>
        <w:spacing w:after="0" w:before="120"/>
      </w:pPr>
    </w:p>
    <w:p>
      <w:pPr>
        <w:pStyle w:val="Heading2"/>
        <w:spacing w:after="120" w:before="320"/>
      </w:pPr>
      <w:r>
        <w:rPr>
          <w:rFonts w:ascii="Calibri" w:cs="Calibri" w:eastAsia="Calibri" w:hAnsi="Calibri"/>
          <w:b/>
          <w:bCs/>
          <w:color w:val="1A6B3A"/>
          <w:sz w:val="26"/>
          <w:szCs w:val="26"/>
        </w:rPr>
        <w:t xml:space="preserve">5.3 Dead Letter Queue Policy</w:t>
      </w:r>
    </w:p>
    <w:p>
      <w:pPr>
        <w:spacing w:after="100" w:before="60"/>
      </w:pPr>
      <w:r>
        <w:rPr>
          <w:rFonts w:ascii="Calibri" w:cs="Calibri" w:eastAsia="Calibri" w:hAnsi="Calibri"/>
          <w:color w:val="111827"/>
          <w:sz w:val="22"/>
          <w:szCs w:val="22"/>
        </w:rPr>
        <w:t xml:space="preserve">All Pub/Sub subscriptions have Dead Letter Topics with a maximum of 5 delivery retries. After 5 failures, the event is routed to the DLQ and an alert is raised in Cloud Monitoring. The on-call engineer investigates and either reprocesses or acknowledges the failure. Engine idempotency keys prevent duplicate processing on replay.</w:t>
      </w:r>
    </w:p>
    <w:p>
      <w:r>
        <w:br w:type="page"/>
      </w:r>
    </w:p>
    <w:p>
      <w:pPr>
        <w:pStyle w:val="Heading1"/>
        <w:spacing w:after="160" w:before="480"/>
      </w:pPr>
      <w:r>
        <w:rPr>
          <w:rFonts w:ascii="Calibri" w:cs="Calibri" w:eastAsia="Calibri" w:hAnsi="Calibri"/>
          <w:b/>
          <w:bCs/>
          <w:color w:val="0F4D28"/>
          <w:sz w:val="40"/>
          <w:szCs w:val="40"/>
        </w:rPr>
        <w:t xml:space="preserve">6. API Architecture</w:t>
      </w:r>
    </w:p>
    <w:p>
      <w:pPr>
        <w:pStyle w:val="Heading2"/>
        <w:spacing w:after="120" w:before="320"/>
      </w:pPr>
      <w:r>
        <w:rPr>
          <w:rFonts w:ascii="Calibri" w:cs="Calibri" w:eastAsia="Calibri" w:hAnsi="Calibri"/>
          <w:b/>
          <w:bCs/>
          <w:color w:val="1A6B3A"/>
          <w:sz w:val="26"/>
          <w:szCs w:val="26"/>
        </w:rPr>
        <w:t xml:space="preserve">6.1 REST API — Command and CRUD Operations</w:t>
      </w:r>
    </w:p>
    <w:p>
      <w:pPr>
        <w:spacing w:after="100" w:before="60"/>
      </w:pPr>
      <w:r>
        <w:rPr>
          <w:rFonts w:ascii="Calibri" w:cs="Calibri" w:eastAsia="Calibri" w:hAnsi="Calibri"/>
          <w:color w:val="111827"/>
          <w:sz w:val="22"/>
          <w:szCs w:val="22"/>
        </w:rPr>
        <w:t xml:space="preserve">The FastAPI gateway exposes a versioned REST API (/api/v4/...) for all command operations and CRUD. REST patterns are unchanged from v3: standard resource URLs, JSON payloads, JWT authentication, per-tenant rate limiting at the gateway.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write operations (create, update, delete) flow through REST.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REST endpoints trigger domain writes and ProjectEvent publication via the outbox pattern.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Engines subscribe to ProjectEvents and process asynchronously — REST responses are acknowledged before engine processing completes.</w:t>
      </w:r>
    </w:p>
    <w:p>
      <w:pPr>
        <w:spacing w:after="0" w:before="120"/>
      </w:pPr>
    </w:p>
    <w:p>
      <w:pPr>
        <w:pStyle w:val="Heading2"/>
        <w:spacing w:after="120" w:before="320"/>
      </w:pPr>
      <w:r>
        <w:rPr>
          <w:rFonts w:ascii="Calibri" w:cs="Calibri" w:eastAsia="Calibri" w:hAnsi="Calibri"/>
          <w:b/>
          <w:bCs/>
          <w:color w:val="1A6B3A"/>
          <w:sz w:val="26"/>
          <w:szCs w:val="26"/>
        </w:rPr>
        <w:t xml:space="preserve">6.2 GraphQL API — Entity Workspace Queries (v4 New)</w:t>
      </w:r>
    </w:p>
    <w:p>
      <w:pPr>
        <w:spacing w:after="100" w:before="60"/>
      </w:pPr>
      <w:r>
        <w:rPr>
          <w:rFonts w:ascii="Calibri" w:cs="Calibri" w:eastAsia="Calibri" w:hAnsi="Calibri"/>
          <w:color w:val="111827"/>
          <w:sz w:val="22"/>
          <w:szCs w:val="22"/>
        </w:rPr>
        <w:t xml:space="preserve">v4 adds a GraphQL endpoint (/api/v4/graphql) for entity workspace queries. Entity workspaces require fetching Activity + Evidence + Documents + Changes + Risk + AI Insights in a single query. With REST this required 6+ sequential requests (N+1 problem). GraphQL resolves all fields in a single request with parallel data fetches.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Entity workspace query: fetch a full Activity workspace in one GraphQL query — activity fields, linked evidence, open changes, risk items, AI recommendations, and engine output summaries.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Flexible field selection: UI components request only the fields they render, reducing payload size on mobile views.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Subscriptions: GraphQL subscriptions over WebSocket for real-time entity workspace updates. The WebSocket server pushes engine output events as GraphQL subscription payloads.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Auth: Same JWT validation as REST. GraphQL context carries tenant_id and user_id for RLS scoping.</w:t>
      </w:r>
    </w:p>
    <w:p>
      <w:pPr>
        <w:spacing w:after="0" w:before="120"/>
      </w:pPr>
    </w:p>
    <w:p>
      <w:pPr>
        <w:pStyle w:val="Heading2"/>
        <w:spacing w:after="120" w:before="320"/>
      </w:pPr>
      <w:r>
        <w:rPr>
          <w:rFonts w:ascii="Calibri" w:cs="Calibri" w:eastAsia="Calibri" w:hAnsi="Calibri"/>
          <w:b/>
          <w:bCs/>
          <w:color w:val="1A6B3A"/>
          <w:sz w:val="26"/>
          <w:szCs w:val="26"/>
        </w:rPr>
        <w:t xml:space="preserve">6.3 WebSocket — Real-Time Engine Output Subscriptions</w:t>
      </w:r>
    </w:p>
    <w:p>
      <w:pPr>
        <w:spacing w:after="100" w:before="60"/>
      </w:pPr>
      <w:r>
        <w:rPr>
          <w:rFonts w:ascii="Calibri" w:cs="Calibri" w:eastAsia="Calibri" w:hAnsi="Calibri"/>
          <w:color w:val="111827"/>
          <w:sz w:val="22"/>
          <w:szCs w:val="22"/>
        </w:rPr>
        <w:t xml:space="preserve">A dedicated WebSocket server (separate Cloud Run service) manages real-time subscriptions. Clients subscribe to an entity workspace channel (e.g., channel: activity/{activity_id}). When an engine publishes an output to greenpm.engine.outputs, the WebSocket server fans out the payload to all clients subscribed to the affected entity.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Connection auth: JWT validated at WebSocket handshake. Invalid or expired tokens disconnect immediately.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Tenant isolation: Channels are namespaced by tenant_id. Cross-tenant channel access is rejected by the server.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Redis pub/sub: WebSocket server instances coordinate via Redis pub/sub to deliver messages across horizontally-scaled server instances.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Reconnection: Clients reconnect with last_event_id to receive missed events during disconnection.</w:t>
      </w:r>
    </w:p>
    <w:p>
      <w:pPr>
        <w:spacing w:after="0" w:before="120"/>
      </w:pPr>
    </w:p>
    <w:p>
      <w:pPr>
        <w:pStyle w:val="Heading2"/>
        <w:spacing w:after="120" w:before="320"/>
      </w:pPr>
      <w:r>
        <w:rPr>
          <w:rFonts w:ascii="Calibri" w:cs="Calibri" w:eastAsia="Calibri" w:hAnsi="Calibri"/>
          <w:b/>
          <w:bCs/>
          <w:color w:val="1A6B3A"/>
          <w:sz w:val="26"/>
          <w:szCs w:val="26"/>
        </w:rPr>
        <w:t xml:space="preserve">6.4 Webhooks — Outbound Integration</w:t>
      </w:r>
    </w:p>
    <w:p>
      <w:pPr>
        <w:spacing w:after="100" w:before="60"/>
      </w:pPr>
      <w:r>
        <w:rPr>
          <w:rFonts w:ascii="Calibri" w:cs="Calibri" w:eastAsia="Calibri" w:hAnsi="Calibri"/>
          <w:color w:val="111827"/>
          <w:sz w:val="22"/>
          <w:szCs w:val="22"/>
        </w:rPr>
        <w:t xml:space="preserve">The integration-hub service publishes outbound webhooks to external systems. Webhook targets are configured per-tenant by the System Admin. Supported targets: Primavera P6, Aconex, Procore, ERP (SAP/Oracle).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Events published: ChangeApproved, GateApproved, WorkflowStateChanged, NCRClosed.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Delivery: Exponential backoff retry, max 5 retries. Failed deliveries logged to Cloud Logging and alerted.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Security: HMAC-SHA256 signatures on all webhook payloads. Tenant configures a shared secret; receiving system verifies.</w:t>
      </w:r>
    </w:p>
    <w:p>
      <w:r>
        <w:br w:type="page"/>
      </w:r>
    </w:p>
    <w:p>
      <w:pPr>
        <w:pStyle w:val="Heading1"/>
        <w:spacing w:after="160" w:before="480"/>
      </w:pPr>
      <w:r>
        <w:rPr>
          <w:rFonts w:ascii="Calibri" w:cs="Calibri" w:eastAsia="Calibri" w:hAnsi="Calibri"/>
          <w:b/>
          <w:bCs/>
          <w:color w:val="0F4D28"/>
          <w:sz w:val="40"/>
          <w:szCs w:val="40"/>
        </w:rPr>
        <w:t xml:space="preserve">7. Security Architecture</w:t>
      </w:r>
    </w:p>
    <w:p>
      <w:pPr>
        <w:pStyle w:val="Heading2"/>
        <w:spacing w:after="120" w:before="320"/>
      </w:pPr>
      <w:r>
        <w:rPr>
          <w:rFonts w:ascii="Calibri" w:cs="Calibri" w:eastAsia="Calibri" w:hAnsi="Calibri"/>
          <w:b/>
          <w:bCs/>
          <w:color w:val="1A6B3A"/>
          <w:sz w:val="26"/>
          <w:szCs w:val="26"/>
        </w:rPr>
        <w:t xml:space="preserve">7.1 Multi-Tenant Isolation</w:t>
      </w:r>
    </w:p>
    <w:p>
      <w:pPr>
        <w:spacing w:after="100" w:before="60"/>
      </w:pPr>
      <w:r>
        <w:rPr>
          <w:rFonts w:ascii="Calibri" w:cs="Calibri" w:eastAsia="Calibri" w:hAnsi="Calibri"/>
          <w:color w:val="111827"/>
          <w:sz w:val="22"/>
          <w:szCs w:val="22"/>
        </w:rPr>
        <w:t xml:space="preserve">PostgreSQL Row-Level Security (RLS) is the primary tenant isolation mechanism. Every engine service uses the GreenPM Python SDK which sets SET LOCAL app.current_tenant_id at the start of every transaction. The RLS policy rejects any query where the current_tenant_id does not match the row's tenant_id. This is a database-level guarantee, not an application-layer assumption.</w:t>
      </w:r>
    </w:p>
    <w:p>
      <w:pPr>
        <w:spacing w:after="0" w:before="120"/>
      </w:pPr>
    </w:p>
    <w:p>
      <w:pPr>
        <w:pStyle w:val="Heading2"/>
        <w:spacing w:after="120" w:before="320"/>
      </w:pPr>
      <w:r>
        <w:rPr>
          <w:rFonts w:ascii="Calibri" w:cs="Calibri" w:eastAsia="Calibri" w:hAnsi="Calibri"/>
          <w:b/>
          <w:bCs/>
          <w:color w:val="1A6B3A"/>
          <w:sz w:val="26"/>
          <w:szCs w:val="26"/>
        </w:rPr>
        <w:t xml:space="preserve">7.2 Engine Service Security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Internal only: Engine services are NOT exposed to the public internet. They are deployed in the VPC with no external load balancer. They can only be invoked by Pub/Sub push subscriptions (which use Google-signed tokens) or by internal service-to-service calls authenticated with GCP service account tokens.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Service account per engine: Each engine has a dedicated GCP service account with minimum required IAM permissions. No engine shares credentials with another engine.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Secret Manager: All credentials (PostgreSQL passwords, API keys, Redis auth) are read from GCP Secret Manager at startup. Never in environment variables or config files.</w:t>
      </w:r>
    </w:p>
    <w:p>
      <w:pPr>
        <w:spacing w:after="0" w:before="120"/>
      </w:pPr>
    </w:p>
    <w:p>
      <w:pPr>
        <w:pStyle w:val="Heading2"/>
        <w:spacing w:after="120" w:before="320"/>
      </w:pPr>
      <w:r>
        <w:rPr>
          <w:rFonts w:ascii="Calibri" w:cs="Calibri" w:eastAsia="Calibri" w:hAnsi="Calibri"/>
          <w:b/>
          <w:bCs/>
          <w:color w:val="1A6B3A"/>
          <w:sz w:val="26"/>
          <w:szCs w:val="26"/>
        </w:rPr>
        <w:t xml:space="preserve">7.3 Evidence Engine Security</w:t>
      </w:r>
    </w:p>
    <w:p>
      <w:pPr>
        <w:spacing w:after="100" w:before="60"/>
      </w:pPr>
      <w:r>
        <w:rPr>
          <w:rFonts w:ascii="Calibri" w:cs="Calibri" w:eastAsia="Calibri" w:hAnsi="Calibri"/>
          <w:color w:val="111827"/>
          <w:sz w:val="22"/>
          <w:szCs w:val="22"/>
        </w:rPr>
        <w:t xml:space="preserve">The Evidence Engine processes untrusted user-uploaded files. Defence-in-depth is applied: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File type validation: Magic-byte file type verification (not extension-based). Rejected types are quarantined.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File size limits: Maximum 500 MB per evidence upload. Enforced at the API Gateway before the file reaches Cloud Storage.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Virus scanning: All uploaded files are scanned with Cloud DLP before the Evidence Engine processes them. Infected files are quarantined and the uploader is notified.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Isolated execution: Evidence Engine processes files in an isolated Cloud Run instance with no network egress except to Cloud Storage, Google Vision API, and Vertex AI.</w:t>
      </w:r>
    </w:p>
    <w:p>
      <w:pPr>
        <w:spacing w:after="0" w:before="120"/>
      </w:pPr>
    </w:p>
    <w:p>
      <w:pPr>
        <w:pStyle w:val="Heading2"/>
        <w:spacing w:after="120" w:before="320"/>
      </w:pPr>
      <w:r>
        <w:rPr>
          <w:rFonts w:ascii="Calibri" w:cs="Calibri" w:eastAsia="Calibri" w:hAnsi="Calibri"/>
          <w:b/>
          <w:bCs/>
          <w:color w:val="1A6B3A"/>
          <w:sz w:val="26"/>
          <w:szCs w:val="26"/>
        </w:rPr>
        <w:t xml:space="preserve">7.4 AI Orchestration Engine Security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Prompt injection protection: User input is sanitised and wrapped in a structured prompt template. Raw user text is never concatenated directly into system prompts.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Content filtering: Claude responses are filtered for PII and project-inappropriate content before being returned to the client.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Token budget enforcement: Per-tenant and per-user token budgets enforced in the AI Orchestration Engine. Requests exceeding the budget return a 429 with retry-after.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Audit logging: Every Claude API call is logged with tenant_id, user_id, query hash, token count, and latency.</w:t>
      </w:r>
    </w:p>
    <w:p>
      <w:pPr>
        <w:spacing w:after="0" w:before="120"/>
      </w:pPr>
    </w:p>
    <w:p>
      <w:pPr>
        <w:pStyle w:val="Heading2"/>
        <w:spacing w:after="120" w:before="320"/>
      </w:pPr>
      <w:r>
        <w:rPr>
          <w:rFonts w:ascii="Calibri" w:cs="Calibri" w:eastAsia="Calibri" w:hAnsi="Calibri"/>
          <w:b/>
          <w:bCs/>
          <w:color w:val="1A6B3A"/>
          <w:sz w:val="26"/>
          <w:szCs w:val="26"/>
        </w:rPr>
        <w:t xml:space="preserve">7.5 API Gateway Security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JWT validation: All requests validated at the gateway. Expired or invalid tokens rejected before reaching application services.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Rate limiting: 1,000 req/min per tenant, 100 req/min per user (standard), 10 req/min per user (AI endpoints). Counters in Redis with sliding window.</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WAF: Cloud Armor policies block known attack patterns, OWASP Top 10. Custom rules for project-specific paths.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CORS: Strict domain allowlist in production. Preflight cache 3,600 seconds.</w:t>
      </w:r>
    </w:p>
    <w:p>
      <w:r>
        <w:br w:type="page"/>
      </w:r>
    </w:p>
    <w:p>
      <w:pPr>
        <w:pStyle w:val="Heading1"/>
        <w:spacing w:after="160" w:before="480"/>
      </w:pPr>
      <w:r>
        <w:rPr>
          <w:rFonts w:ascii="Calibri" w:cs="Calibri" w:eastAsia="Calibri" w:hAnsi="Calibri"/>
          <w:b/>
          <w:bCs/>
          <w:color w:val="0F4D28"/>
          <w:sz w:val="40"/>
          <w:szCs w:val="40"/>
        </w:rPr>
        <w:t xml:space="preserve">8. Architecture Decision Records</w:t>
      </w:r>
    </w:p>
    <w:p>
      <w:pPr>
        <w:spacing w:after="100" w:before="60"/>
      </w:pPr>
      <w:r>
        <w:rPr>
          <w:rFonts w:ascii="Calibri" w:cs="Calibri" w:eastAsia="Calibri" w:hAnsi="Calibri"/>
          <w:color w:val="111827"/>
          <w:sz w:val="22"/>
          <w:szCs w:val="22"/>
        </w:rPr>
        <w:t xml:space="preserve">Eight ADRs govern the key v4 architectural decisions. All ADRs in ACCEPTED status. v3 ADRs (Cloud Run, Microservices, Pub/Sub, Next.js, PgBouncer) carry forward unchanged.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80"/>
            </w:pPr>
            <w:r>
              <w:rPr>
                <w:rFonts w:ascii="Calibri" w:cs="Calibri" w:eastAsia="Calibri" w:hAnsi="Calibri"/>
                <w:b/>
                <w:bCs/>
                <w:color w:val="0F4D28"/>
                <w:sz w:val="21"/>
                <w:szCs w:val="21"/>
              </w:rPr>
              <w:t xml:space="preserve">ADR-001: Engine-Centric vs Module-Centric Architecture [ACCEPTED]</w:t>
            </w:r>
          </w:p>
          <w:p>
            <w:pPr>
              <w:spacing w:after="40" w:before="40"/>
            </w:pPr>
            <w:r>
              <w:rPr>
                <w:rFonts w:ascii="Calibri" w:cs="Calibri" w:eastAsia="Calibri" w:hAnsi="Calibri"/>
                <w:b/>
                <w:bCs/>
                <w:color w:val="374151"/>
                <w:sz w:val="20"/>
                <w:szCs w:val="20"/>
              </w:rPr>
              <w:t xml:space="preserve">Context: </w:t>
            </w:r>
            <w:r>
              <w:rPr>
                <w:rFonts w:ascii="Calibri" w:cs="Calibri" w:eastAsia="Calibri" w:hAnsi="Calibri"/>
                <w:color w:val="111827"/>
                <w:sz w:val="20"/>
                <w:szCs w:val="20"/>
              </w:rPr>
              <w:t xml:space="preserve">Green PM v3 organised intelligence as module-specific logic called synchronously by the UI. As the number of intelligence functions grew to 15, the sequential call chain caused latency compounding and UI/intelligence coupling. Options: (1) Engine-centric — 15 autonomous engines processing events independently; (2) Module-centric — intelligence embedded in each module's API service.</w:t>
            </w:r>
          </w:p>
          <w:p>
            <w:pPr>
              <w:spacing w:after="40" w:before="40"/>
            </w:pPr>
            <w:r>
              <w:rPr>
                <w:rFonts w:ascii="Calibri" w:cs="Calibri" w:eastAsia="Calibri" w:hAnsi="Calibri"/>
                <w:b/>
                <w:bCs/>
                <w:color w:val="374151"/>
                <w:sz w:val="20"/>
                <w:szCs w:val="20"/>
              </w:rPr>
              <w:t xml:space="preserve">Decision: </w:t>
            </w:r>
            <w:r>
              <w:rPr>
                <w:rFonts w:ascii="Calibri" w:cs="Calibri" w:eastAsia="Calibri" w:hAnsi="Calibri"/>
                <w:color w:val="111827"/>
                <w:sz w:val="20"/>
                <w:szCs w:val="20"/>
              </w:rPr>
              <w:t xml:space="preserve">Engine-centric. 15 autonomous intelligence services deployed as independent Cloud Run microservices, communicating via Pub/Sub events. Engines process events independently of each other and of the UI.</w:t>
            </w:r>
          </w:p>
          <w:p>
            <w:pPr>
              <w:spacing w:after="40" w:before="40"/>
            </w:pPr>
            <w:r>
              <w:rPr>
                <w:rFonts w:ascii="Calibri" w:cs="Calibri" w:eastAsia="Calibri" w:hAnsi="Calibri"/>
                <w:b/>
                <w:bCs/>
                <w:color w:val="374151"/>
                <w:sz w:val="20"/>
                <w:szCs w:val="20"/>
              </w:rPr>
              <w:t xml:space="preserve">Consequences: </w:t>
            </w:r>
            <w:r>
              <w:rPr>
                <w:rFonts w:ascii="Calibri" w:cs="Calibri" w:eastAsia="Calibri" w:hAnsi="Calibri"/>
                <w:color w:val="111827"/>
                <w:sz w:val="20"/>
                <w:szCs w:val="20"/>
              </w:rPr>
              <w:t xml:space="preserve">Pro: Engine failures are isolated — a failing Forecasting Engine does not affect the Workflow Engine. Pro: UI decouples from intelligence processing — workspaces show partial data as engines complete. Pro: Each engine can be independently scaled, deployed, and improved. Con: 15 additional Cloud Run services to operate. Mitigation: Shared CI/CD pipeline template, centralised monitoring dashboard.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80"/>
            </w:pPr>
            <w:r>
              <w:rPr>
                <w:rFonts w:ascii="Calibri" w:cs="Calibri" w:eastAsia="Calibri" w:hAnsi="Calibri"/>
                <w:b/>
                <w:bCs/>
                <w:color w:val="0F4D28"/>
                <w:sz w:val="21"/>
                <w:szCs w:val="21"/>
              </w:rPr>
              <w:t xml:space="preserve">ADR-002: GraphQL for Entity Workspaces [ACCEPTED]</w:t>
            </w:r>
          </w:p>
          <w:p>
            <w:pPr>
              <w:spacing w:after="40" w:before="40"/>
            </w:pPr>
            <w:r>
              <w:rPr>
                <w:rFonts w:ascii="Calibri" w:cs="Calibri" w:eastAsia="Calibri" w:hAnsi="Calibri"/>
                <w:b/>
                <w:bCs/>
                <w:color w:val="374151"/>
                <w:sz w:val="20"/>
                <w:szCs w:val="20"/>
              </w:rPr>
              <w:t xml:space="preserve">Context: </w:t>
            </w:r>
            <w:r>
              <w:rPr>
                <w:rFonts w:ascii="Calibri" w:cs="Calibri" w:eastAsia="Calibri" w:hAnsi="Calibri"/>
                <w:color w:val="111827"/>
                <w:sz w:val="20"/>
                <w:szCs w:val="20"/>
              </w:rPr>
              <w:t xml:space="preserve">Entity workspaces (Activity, Change, Decision) require fetching data from 6+ domain contexts simultaneously. REST required sequential calls or a purpose-built aggregation endpoint per workspace type. As workspaces grew richer (adding engine outputs), maintaining aggregation endpoints became unsustainable.</w:t>
            </w:r>
          </w:p>
          <w:p>
            <w:pPr>
              <w:spacing w:after="40" w:before="40"/>
            </w:pPr>
            <w:r>
              <w:rPr>
                <w:rFonts w:ascii="Calibri" w:cs="Calibri" w:eastAsia="Calibri" w:hAnsi="Calibri"/>
                <w:b/>
                <w:bCs/>
                <w:color w:val="374151"/>
                <w:sz w:val="20"/>
                <w:szCs w:val="20"/>
              </w:rPr>
              <w:t xml:space="preserve">Decision: </w:t>
            </w:r>
            <w:r>
              <w:rPr>
                <w:rFonts w:ascii="Calibri" w:cs="Calibri" w:eastAsia="Calibri" w:hAnsi="Calibri"/>
                <w:color w:val="111827"/>
                <w:sz w:val="20"/>
                <w:szCs w:val="20"/>
              </w:rPr>
              <w:t xml:space="preserve">Add GraphQL alongside REST. REST remains for all command and CRUD operations. GraphQL serves entity workspace queries and real-time subscriptions. Both endpoints share the same JWT authentication and RLS-scoped data access.</w:t>
            </w:r>
          </w:p>
          <w:p>
            <w:pPr>
              <w:spacing w:after="40" w:before="40"/>
            </w:pPr>
            <w:r>
              <w:rPr>
                <w:rFonts w:ascii="Calibri" w:cs="Calibri" w:eastAsia="Calibri" w:hAnsi="Calibri"/>
                <w:b/>
                <w:bCs/>
                <w:color w:val="374151"/>
                <w:sz w:val="20"/>
                <w:szCs w:val="20"/>
              </w:rPr>
              <w:t xml:space="preserve">Consequences: </w:t>
            </w:r>
            <w:r>
              <w:rPr>
                <w:rFonts w:ascii="Calibri" w:cs="Calibri" w:eastAsia="Calibri" w:hAnsi="Calibri"/>
                <w:color w:val="111827"/>
                <w:sz w:val="20"/>
                <w:szCs w:val="20"/>
              </w:rPr>
              <w:t xml:space="preserve">Pro: Single GraphQL query fetches all workspace data in parallel — no N+1 problem. Pro: Field selection reduces payload size for mobile views. Pro: GraphQL subscriptions provide a clean model for real-time workspace updates. Con: Two API paradigms (REST + GraphQL) require team familiarity with both. Mitigation: Clear API boundary documentation — REST for writes, GraphQL for reads.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80"/>
            </w:pPr>
            <w:r>
              <w:rPr>
                <w:rFonts w:ascii="Calibri" w:cs="Calibri" w:eastAsia="Calibri" w:hAnsi="Calibri"/>
                <w:b/>
                <w:bCs/>
                <w:color w:val="0F4D28"/>
                <w:sz w:val="21"/>
                <w:szCs w:val="21"/>
              </w:rPr>
              <w:t xml:space="preserve">ADR-003: Vertex AI Matching Engine for Evidence Semantic Search [ACCEPTED]</w:t>
            </w:r>
          </w:p>
          <w:p>
            <w:pPr>
              <w:spacing w:after="40" w:before="40"/>
            </w:pPr>
            <w:r>
              <w:rPr>
                <w:rFonts w:ascii="Calibri" w:cs="Calibri" w:eastAsia="Calibri" w:hAnsi="Calibri"/>
                <w:b/>
                <w:bCs/>
                <w:color w:val="374151"/>
                <w:sz w:val="20"/>
                <w:szCs w:val="20"/>
              </w:rPr>
              <w:t xml:space="preserve">Context: </w:t>
            </w:r>
            <w:r>
              <w:rPr>
                <w:rFonts w:ascii="Calibri" w:cs="Calibri" w:eastAsia="Calibri" w:hAnsi="Calibri"/>
                <w:color w:val="111827"/>
                <w:sz w:val="20"/>
                <w:szCs w:val="20"/>
              </w:rPr>
              <w:t xml:space="preserve">Evidence corpus grows to millions of items per project. Keyword search (PostgreSQL full-text) cannot match 'photos showing concrete defects' when the evidence OCR text says 'surface spalling observed on east wall'. A vector similarity search against text embeddings solves this.</w:t>
            </w:r>
          </w:p>
          <w:p>
            <w:pPr>
              <w:spacing w:after="40" w:before="40"/>
            </w:pPr>
            <w:r>
              <w:rPr>
                <w:rFonts w:ascii="Calibri" w:cs="Calibri" w:eastAsia="Calibri" w:hAnsi="Calibri"/>
                <w:b/>
                <w:bCs/>
                <w:color w:val="374151"/>
                <w:sz w:val="20"/>
                <w:szCs w:val="20"/>
              </w:rPr>
              <w:t xml:space="preserve">Decision: </w:t>
            </w:r>
            <w:r>
              <w:rPr>
                <w:rFonts w:ascii="Calibri" w:cs="Calibri" w:eastAsia="Calibri" w:hAnsi="Calibri"/>
                <w:color w:val="111827"/>
                <w:sz w:val="20"/>
                <w:szCs w:val="20"/>
              </w:rPr>
              <w:t xml:space="preserve">Use Vertex AI Matching Engine as the Vector DB for evidence and document semantic search. Embeddings generated by Vertex AI text-embedding-004 model. Evidence Engine indexes new items after OCR. AI Orchestration Engine queries for RAG retrieval.</w:t>
            </w:r>
          </w:p>
          <w:p>
            <w:pPr>
              <w:spacing w:after="40" w:before="40"/>
            </w:pPr>
            <w:r>
              <w:rPr>
                <w:rFonts w:ascii="Calibri" w:cs="Calibri" w:eastAsia="Calibri" w:hAnsi="Calibri"/>
                <w:b/>
                <w:bCs/>
                <w:color w:val="374151"/>
                <w:sz w:val="20"/>
                <w:szCs w:val="20"/>
              </w:rPr>
              <w:t xml:space="preserve">Consequences: </w:t>
            </w:r>
            <w:r>
              <w:rPr>
                <w:rFonts w:ascii="Calibri" w:cs="Calibri" w:eastAsia="Calibri" w:hAnsi="Calibri"/>
                <w:color w:val="111827"/>
                <w:sz w:val="20"/>
                <w:szCs w:val="20"/>
              </w:rPr>
              <w:t xml:space="preserve">Pro: Tight GCP integration — no additional cloud provider. Pro: Scales to tens of millions of embeddings. Pro: Same embedding infrastructure serves both evidence search and AI Copilot RAG. Con: Embedding generation adds ~2s to Evidence Engine processing. Mitigation: Embedding runs async after EvidenceItem is persisted; search is available as soon as indexing completes.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80"/>
            </w:pPr>
            <w:r>
              <w:rPr>
                <w:rFonts w:ascii="Calibri" w:cs="Calibri" w:eastAsia="Calibri" w:hAnsi="Calibri"/>
                <w:b/>
                <w:bCs/>
                <w:color w:val="0F4D28"/>
                <w:sz w:val="21"/>
                <w:szCs w:val="21"/>
              </w:rPr>
              <w:t xml:space="preserve">ADR-004: ProjectEvent as First-Class Persisted Entity [ACCEPTED]</w:t>
            </w:r>
          </w:p>
          <w:p>
            <w:pPr>
              <w:spacing w:after="40" w:before="40"/>
            </w:pPr>
            <w:r>
              <w:rPr>
                <w:rFonts w:ascii="Calibri" w:cs="Calibri" w:eastAsia="Calibri" w:hAnsi="Calibri"/>
                <w:b/>
                <w:bCs/>
                <w:color w:val="374151"/>
                <w:sz w:val="20"/>
                <w:szCs w:val="20"/>
              </w:rPr>
              <w:t xml:space="preserve">Context: </w:t>
            </w:r>
            <w:r>
              <w:rPr>
                <w:rFonts w:ascii="Calibri" w:cs="Calibri" w:eastAsia="Calibri" w:hAnsi="Calibri"/>
                <w:color w:val="111827"/>
                <w:sz w:val="20"/>
                <w:szCs w:val="20"/>
              </w:rPr>
              <w:t xml:space="preserve">In v3, events were published to Pub/Sub without guaranteed persistence. If an engine failed or a new engine was added after events occurred, those events were unrecoverable. This prevented safe engine deployments and debugging.</w:t>
            </w:r>
          </w:p>
          <w:p>
            <w:pPr>
              <w:spacing w:after="40" w:before="40"/>
            </w:pPr>
            <w:r>
              <w:rPr>
                <w:rFonts w:ascii="Calibri" w:cs="Calibri" w:eastAsia="Calibri" w:hAnsi="Calibri"/>
                <w:b/>
                <w:bCs/>
                <w:color w:val="374151"/>
                <w:sz w:val="20"/>
                <w:szCs w:val="20"/>
              </w:rPr>
              <w:t xml:space="preserve">Decision: </w:t>
            </w:r>
            <w:r>
              <w:rPr>
                <w:rFonts w:ascii="Calibri" w:cs="Calibri" w:eastAsia="Calibri" w:hAnsi="Calibri"/>
                <w:color w:val="111827"/>
                <w:sz w:val="20"/>
                <w:szCs w:val="20"/>
              </w:rPr>
              <w:t xml:space="preserve">Persist all ProjectEvents to the project_events table in PostgreSQL before publishing to Pub/Sub. The outbox processor publishes from the persisted table. Events carry a caused_by_event_id for causality chains. Engines can request event replay for any time window.</w:t>
            </w:r>
          </w:p>
          <w:p>
            <w:pPr>
              <w:spacing w:after="40" w:before="40"/>
            </w:pPr>
            <w:r>
              <w:rPr>
                <w:rFonts w:ascii="Calibri" w:cs="Calibri" w:eastAsia="Calibri" w:hAnsi="Calibri"/>
                <w:b/>
                <w:bCs/>
                <w:color w:val="374151"/>
                <w:sz w:val="20"/>
                <w:szCs w:val="20"/>
              </w:rPr>
              <w:t xml:space="preserve">Consequences: </w:t>
            </w:r>
            <w:r>
              <w:rPr>
                <w:rFonts w:ascii="Calibri" w:cs="Calibri" w:eastAsia="Calibri" w:hAnsi="Calibri"/>
                <w:color w:val="111827"/>
                <w:sz w:val="20"/>
                <w:szCs w:val="20"/>
              </w:rPr>
              <w:t xml:space="preserve">Pro: Complete audit trail of all project events. Pro: Engine replay enables safe re-processing after bug fixes and new engine deployments. Pro: Causality chains enable impact analysis of cascading events. Con: Increases write load on PostgreSQL. Mitigation: project_events table is append-only and partitioned by tenant_id and created_at; old partitions archived to Cloud Storage after 90 days.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80"/>
            </w:pPr>
            <w:r>
              <w:rPr>
                <w:rFonts w:ascii="Calibri" w:cs="Calibri" w:eastAsia="Calibri" w:hAnsi="Calibri"/>
                <w:b/>
                <w:bCs/>
                <w:color w:val="0F4D28"/>
                <w:sz w:val="21"/>
                <w:szCs w:val="21"/>
              </w:rPr>
              <w:t xml:space="preserve">ADR-005: WebSocket for Real-Time Engine Output Subscriptions [ACCEPTED]</w:t>
            </w:r>
          </w:p>
          <w:p>
            <w:pPr>
              <w:spacing w:after="40" w:before="40"/>
            </w:pPr>
            <w:r>
              <w:rPr>
                <w:rFonts w:ascii="Calibri" w:cs="Calibri" w:eastAsia="Calibri" w:hAnsi="Calibri"/>
                <w:b/>
                <w:bCs/>
                <w:color w:val="374151"/>
                <w:sz w:val="20"/>
                <w:szCs w:val="20"/>
              </w:rPr>
              <w:t xml:space="preserve">Context: </w:t>
            </w:r>
            <w:r>
              <w:rPr>
                <w:rFonts w:ascii="Calibri" w:cs="Calibri" w:eastAsia="Calibri" w:hAnsi="Calibri"/>
                <w:color w:val="111827"/>
                <w:sz w:val="20"/>
                <w:szCs w:val="20"/>
              </w:rPr>
              <w:t xml:space="preserve">v3 used Server-Sent Events (SSE) for unidirectional server push. SSE is adequate for simple notification delivery but cannot handle the bidirectional communication needed for GraphQL subscriptions, and does not scale across multiple WebSocket server instances without coordination.</w:t>
            </w:r>
          </w:p>
          <w:p>
            <w:pPr>
              <w:spacing w:after="40" w:before="40"/>
            </w:pPr>
            <w:r>
              <w:rPr>
                <w:rFonts w:ascii="Calibri" w:cs="Calibri" w:eastAsia="Calibri" w:hAnsi="Calibri"/>
                <w:b/>
                <w:bCs/>
                <w:color w:val="374151"/>
                <w:sz w:val="20"/>
                <w:szCs w:val="20"/>
              </w:rPr>
              <w:t xml:space="preserve">Decision: </w:t>
            </w:r>
            <w:r>
              <w:rPr>
                <w:rFonts w:ascii="Calibri" w:cs="Calibri" w:eastAsia="Calibri" w:hAnsi="Calibri"/>
                <w:color w:val="111827"/>
                <w:sz w:val="20"/>
                <w:szCs w:val="20"/>
              </w:rPr>
              <w:t xml:space="preserve">Use WebSocket for all real-time subscriptions. A dedicated WebSocket Cloud Run service manages client connections, coordinated via Redis pub/sub across instances. GraphQL subscriptions are delivered over WebSocket using the graphql-ws protocol.</w:t>
            </w:r>
          </w:p>
          <w:p>
            <w:pPr>
              <w:spacing w:after="40" w:before="40"/>
            </w:pPr>
            <w:r>
              <w:rPr>
                <w:rFonts w:ascii="Calibri" w:cs="Calibri" w:eastAsia="Calibri" w:hAnsi="Calibri"/>
                <w:b/>
                <w:bCs/>
                <w:color w:val="374151"/>
                <w:sz w:val="20"/>
                <w:szCs w:val="20"/>
              </w:rPr>
              <w:t xml:space="preserve">Consequences: </w:t>
            </w:r>
            <w:r>
              <w:rPr>
                <w:rFonts w:ascii="Calibri" w:cs="Calibri" w:eastAsia="Calibri" w:hAnsi="Calibri"/>
                <w:color w:val="111827"/>
                <w:sz w:val="20"/>
                <w:szCs w:val="20"/>
              </w:rPr>
              <w:t xml:space="preserve">Pro: Bidirectional communication enables GraphQL subscription protocol. Pro: Redis coordination allows horizontal scaling of WebSocket server. Pro: Single real-time transport for all subscription types. Con: WebSocket connections are stateful and consume server resources. Mitigation: Per-tenant connection limits; idle connections disconnected after 5 minutes with reconnect-on-activity.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80"/>
            </w:pPr>
            <w:r>
              <w:rPr>
                <w:rFonts w:ascii="Calibri" w:cs="Calibri" w:eastAsia="Calibri" w:hAnsi="Calibri"/>
                <w:b/>
                <w:bCs/>
                <w:color w:val="0F4D28"/>
                <w:sz w:val="21"/>
                <w:szCs w:val="21"/>
              </w:rPr>
              <w:t xml:space="preserve">ADR-006: Google Vision API for Evidence Computer Vision [ACCEPTED]</w:t>
            </w:r>
          </w:p>
          <w:p>
            <w:pPr>
              <w:spacing w:after="40" w:before="40"/>
            </w:pPr>
            <w:r>
              <w:rPr>
                <w:rFonts w:ascii="Calibri" w:cs="Calibri" w:eastAsia="Calibri" w:hAnsi="Calibri"/>
                <w:b/>
                <w:bCs/>
                <w:color w:val="374151"/>
                <w:sz w:val="20"/>
                <w:szCs w:val="20"/>
              </w:rPr>
              <w:t xml:space="preserve">Context: </w:t>
            </w:r>
            <w:r>
              <w:rPr>
                <w:rFonts w:ascii="Calibri" w:cs="Calibri" w:eastAsia="Calibri" w:hAnsi="Calibri"/>
                <w:color w:val="111827"/>
                <w:sz w:val="20"/>
                <w:szCs w:val="20"/>
              </w:rPr>
              <w:t xml:space="preserve">Evidence photos and drone footage require automated Computer Vision analysis: object detection (equipment, personnel, materials), defect identification (cracks, corrosion, misalignment), progress quantification (percentage complete estimates from drone footage). Options: (1) Google Vision API — managed CV service; (2) Custom ML model on Vertex AI; (3) Third-party CV API.</w:t>
            </w:r>
          </w:p>
          <w:p>
            <w:pPr>
              <w:spacing w:after="40" w:before="40"/>
            </w:pPr>
            <w:r>
              <w:rPr>
                <w:rFonts w:ascii="Calibri" w:cs="Calibri" w:eastAsia="Calibri" w:hAnsi="Calibri"/>
                <w:b/>
                <w:bCs/>
                <w:color w:val="374151"/>
                <w:sz w:val="20"/>
                <w:szCs w:val="20"/>
              </w:rPr>
              <w:t xml:space="preserve">Decision: </w:t>
            </w:r>
            <w:r>
              <w:rPr>
                <w:rFonts w:ascii="Calibri" w:cs="Calibri" w:eastAsia="Calibri" w:hAnsi="Calibri"/>
                <w:color w:val="111827"/>
                <w:sz w:val="20"/>
                <w:szCs w:val="20"/>
              </w:rPr>
              <w:t xml:space="preserve">Use Google Vision API for all photo and video Computer Vision in the Evidence Engine. Object detection, label detection, and image text (OCR) via Google Vision API. Drone footage processed via Video Intelligence API.</w:t>
            </w:r>
          </w:p>
          <w:p>
            <w:pPr>
              <w:spacing w:after="40" w:before="40"/>
            </w:pPr>
            <w:r>
              <w:rPr>
                <w:rFonts w:ascii="Calibri" w:cs="Calibri" w:eastAsia="Calibri" w:hAnsi="Calibri"/>
                <w:b/>
                <w:bCs/>
                <w:color w:val="374151"/>
                <w:sz w:val="20"/>
                <w:szCs w:val="20"/>
              </w:rPr>
              <w:t xml:space="preserve">Consequences: </w:t>
            </w:r>
            <w:r>
              <w:rPr>
                <w:rFonts w:ascii="Calibri" w:cs="Calibri" w:eastAsia="Calibri" w:hAnsi="Calibri"/>
                <w:color w:val="111827"/>
                <w:sz w:val="20"/>
                <w:szCs w:val="20"/>
              </w:rPr>
              <w:t xml:space="preserve">Pro: Tight GCP integration — no additional cloud provider, shared IAM. Pro: No ML model training or maintenance required. Pro: High accuracy for construction-domain objects (equipment, materials, signage). Pro: Cost-efficient at scale (per-request pricing). Con: Google Vision API does not natively understand construction-specific terminology. Mitigation: Post-processing layer maps Vision API labels to Green PM Evidence taxonomy.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80"/>
            </w:pPr>
            <w:r>
              <w:rPr>
                <w:rFonts w:ascii="Calibri" w:cs="Calibri" w:eastAsia="Calibri" w:hAnsi="Calibri"/>
                <w:b/>
                <w:bCs/>
                <w:color w:val="0F4D28"/>
                <w:sz w:val="21"/>
                <w:szCs w:val="21"/>
              </w:rPr>
              <w:t xml:space="preserve">ADR-007: Elasticsearch for Entity and Evidence Search [ACCEPTED]</w:t>
            </w:r>
          </w:p>
          <w:p>
            <w:pPr>
              <w:spacing w:after="40" w:before="40"/>
            </w:pPr>
            <w:r>
              <w:rPr>
                <w:rFonts w:ascii="Calibri" w:cs="Calibri" w:eastAsia="Calibri" w:hAnsi="Calibri"/>
                <w:b/>
                <w:bCs/>
                <w:color w:val="374151"/>
                <w:sz w:val="20"/>
                <w:szCs w:val="20"/>
              </w:rPr>
              <w:t xml:space="preserve">Context: </w:t>
            </w:r>
            <w:r>
              <w:rPr>
                <w:rFonts w:ascii="Calibri" w:cs="Calibri" w:eastAsia="Calibri" w:hAnsi="Calibri"/>
                <w:color w:val="111827"/>
                <w:sz w:val="20"/>
                <w:szCs w:val="20"/>
              </w:rPr>
              <w:t xml:space="preserve">Global search across entities (activities, vendors, documents, NCRs) and evidence OCR text requires full-text indexing. PostgreSQL full-text search (tsvector) is sufficient for simple keyword search but cannot support relevance scoring, faceted filtering, synonym expansion, or the evidence content corpus at scale.</w:t>
            </w:r>
          </w:p>
          <w:p>
            <w:pPr>
              <w:spacing w:after="40" w:before="40"/>
            </w:pPr>
            <w:r>
              <w:rPr>
                <w:rFonts w:ascii="Calibri" w:cs="Calibri" w:eastAsia="Calibri" w:hAnsi="Calibri"/>
                <w:b/>
                <w:bCs/>
                <w:color w:val="374151"/>
                <w:sz w:val="20"/>
                <w:szCs w:val="20"/>
              </w:rPr>
              <w:t xml:space="preserve">Decision: </w:t>
            </w:r>
            <w:r>
              <w:rPr>
                <w:rFonts w:ascii="Calibri" w:cs="Calibri" w:eastAsia="Calibri" w:hAnsi="Calibri"/>
                <w:color w:val="111827"/>
                <w:sz w:val="20"/>
                <w:szCs w:val="20"/>
              </w:rPr>
              <w:t xml:space="preserve">Add Elasticsearch alongside PostgreSQL. Elasticsearch is the read-only search index; PostgreSQL remains the authoritative source. All entity writes to PostgreSQL trigger an async index update to Elasticsearch via a Change Data Capture (CDC) pattern using PostgreSQL logical replication.</w:t>
            </w:r>
          </w:p>
          <w:p>
            <w:pPr>
              <w:spacing w:after="40" w:before="40"/>
            </w:pPr>
            <w:r>
              <w:rPr>
                <w:rFonts w:ascii="Calibri" w:cs="Calibri" w:eastAsia="Calibri" w:hAnsi="Calibri"/>
                <w:b/>
                <w:bCs/>
                <w:color w:val="374151"/>
                <w:sz w:val="20"/>
                <w:szCs w:val="20"/>
              </w:rPr>
              <w:t xml:space="preserve">Consequences: </w:t>
            </w:r>
            <w:r>
              <w:rPr>
                <w:rFonts w:ascii="Calibri" w:cs="Calibri" w:eastAsia="Calibri" w:hAnsi="Calibri"/>
                <w:color w:val="111827"/>
                <w:sz w:val="20"/>
                <w:szCs w:val="20"/>
              </w:rPr>
              <w:t xml:space="preserve">Pro: Full-text search with relevance scoring, faceted filters, and synonym support. Pro: Evidence OCR text indexed at scale (millions of documents). Pro: Decoupled from PostgreSQL — search load does not affect operational query performance. Con: Dual-write complexity (CDC pipeline must be maintained). Mitigation: Elasticsearch is a read-only downstream; all writes go to PostgreSQL. CDC failures trigger alerts but do not affect primary operations.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80"/>
            </w:pPr>
            <w:r>
              <w:rPr>
                <w:rFonts w:ascii="Calibri" w:cs="Calibri" w:eastAsia="Calibri" w:hAnsi="Calibri"/>
                <w:b/>
                <w:bCs/>
                <w:color w:val="0F4D28"/>
                <w:sz w:val="21"/>
                <w:szCs w:val="21"/>
              </w:rPr>
              <w:t xml:space="preserve">ADR-008: Separate Green PM Studio as Independent Cloud Run Service [ACCEPTED]</w:t>
            </w:r>
          </w:p>
          <w:p>
            <w:pPr>
              <w:spacing w:after="40" w:before="40"/>
            </w:pPr>
            <w:r>
              <w:rPr>
                <w:rFonts w:ascii="Calibri" w:cs="Calibri" w:eastAsia="Calibri" w:hAnsi="Calibri"/>
                <w:b/>
                <w:bCs/>
                <w:color w:val="374151"/>
                <w:sz w:val="20"/>
                <w:szCs w:val="20"/>
              </w:rPr>
              <w:t xml:space="preserve">Context: </w:t>
            </w:r>
            <w:r>
              <w:rPr>
                <w:rFonts w:ascii="Calibri" w:cs="Calibri" w:eastAsia="Calibri" w:hAnsi="Calibri"/>
                <w:color w:val="111827"/>
                <w:sz w:val="20"/>
                <w:szCs w:val="20"/>
              </w:rPr>
              <w:t xml:space="preserve">Green PM Studio (the Configuration Builder) allows System Admins to define project templates, workflow definitions, gate builders, and evidence type configurations. In v3, these configuration operations shared the API service with live project operations. A misconfigured template deployment could affect all active projects on the same service.</w:t>
            </w:r>
          </w:p>
          <w:p>
            <w:pPr>
              <w:spacing w:after="40" w:before="40"/>
            </w:pPr>
            <w:r>
              <w:rPr>
                <w:rFonts w:ascii="Calibri" w:cs="Calibri" w:eastAsia="Calibri" w:hAnsi="Calibri"/>
                <w:b/>
                <w:bCs/>
                <w:color w:val="374151"/>
                <w:sz w:val="20"/>
                <w:szCs w:val="20"/>
              </w:rPr>
              <w:t xml:space="preserve">Decision: </w:t>
            </w:r>
            <w:r>
              <w:rPr>
                <w:rFonts w:ascii="Calibri" w:cs="Calibri" w:eastAsia="Calibri" w:hAnsi="Calibri"/>
                <w:color w:val="111827"/>
                <w:sz w:val="20"/>
                <w:szCs w:val="20"/>
              </w:rPr>
              <w:t xml:space="preserve">Deploy Green PM Studio as a completely separate Cloud Run service (studio-api) with its own database schema and deployment pipeline. The Configuration Engine reads configuration from the studio schema but has no write access. Studio deployments are independently versioned and require a separate approval workflow.</w:t>
            </w:r>
          </w:p>
          <w:p>
            <w:pPr>
              <w:spacing w:after="40" w:before="40"/>
            </w:pPr>
            <w:r>
              <w:rPr>
                <w:rFonts w:ascii="Calibri" w:cs="Calibri" w:eastAsia="Calibri" w:hAnsi="Calibri"/>
                <w:b/>
                <w:bCs/>
                <w:color w:val="374151"/>
                <w:sz w:val="20"/>
                <w:szCs w:val="20"/>
              </w:rPr>
              <w:t xml:space="preserve">Consequences: </w:t>
            </w:r>
            <w:r>
              <w:rPr>
                <w:rFonts w:ascii="Calibri" w:cs="Calibri" w:eastAsia="Calibri" w:hAnsi="Calibri"/>
                <w:color w:val="111827"/>
                <w:sz w:val="20"/>
                <w:szCs w:val="20"/>
              </w:rPr>
              <w:t xml:space="preserve">Pro: Studio deployments are fully isolated from live project operations — a studio bug cannot affect active projects. Pro: Configuration changes can be staged and reviewed before affecting the live Configuration Engine cache. Pro: Independent scaling — studio is low-traffic and can scale to zero. Con: Cross-service reads (Configuration Engine reading from studio schema) add a dependency. Mitigation: Configuration Engine caches studio config in Redis; studio outages do not affect running projects.</w:t>
            </w:r>
          </w:p>
        </w:tc>
      </w:tr>
    </w:tbl>
    <w:p>
      <w:pPr>
        <w:spacing w:after="0" w:before="120"/>
      </w:pPr>
    </w:p>
    <w:p>
      <w:r>
        <w:br w:type="page"/>
      </w:r>
    </w:p>
    <w:p>
      <w:pPr>
        <w:pStyle w:val="Heading1"/>
        <w:spacing w:after="160" w:before="480"/>
      </w:pPr>
      <w:r>
        <w:rPr>
          <w:rFonts w:ascii="Calibri" w:cs="Calibri" w:eastAsia="Calibri" w:hAnsi="Calibri"/>
          <w:b/>
          <w:bCs/>
          <w:color w:val="0F4D28"/>
          <w:sz w:val="40"/>
          <w:szCs w:val="40"/>
        </w:rPr>
        <w:t xml:space="preserve">9. Deployment Architecture</w:t>
      </w:r>
    </w:p>
    <w:p>
      <w:pPr>
        <w:spacing w:after="100" w:before="60"/>
      </w:pPr>
      <w:r>
        <w:rPr>
          <w:rFonts w:ascii="Calibri" w:cs="Calibri" w:eastAsia="Calibri" w:hAnsi="Calibri"/>
          <w:color w:val="111827"/>
          <w:sz w:val="22"/>
          <w:szCs w:val="22"/>
        </w:rPr>
        <w:t xml:space="preserve">Green PM v4 deploys 23 Cloud Run services: 15 engine services, API Gateway, WebSocket Server, Studio API, Frontend, Evidence Processor, Scheduler, Notification Service, and Integration Hub. All services run in GCP us-central1 as the primary region with multi-region failover on us-east1.</w:t>
      </w:r>
    </w:p>
    <w:p>
      <w:pPr>
        <w:spacing w:after="0" w:before="120"/>
      </w:pPr>
    </w:p>
    <w:p>
      <w:pPr>
        <w:pStyle w:val="Heading2"/>
        <w:spacing w:after="120" w:before="320"/>
      </w:pPr>
      <w:r>
        <w:rPr>
          <w:rFonts w:ascii="Calibri" w:cs="Calibri" w:eastAsia="Calibri" w:hAnsi="Calibri"/>
          <w:b/>
          <w:bCs/>
          <w:color w:val="1A6B3A"/>
          <w:sz w:val="26"/>
          <w:szCs w:val="26"/>
        </w:rPr>
        <w:t xml:space="preserve">9.1 Cloud Run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3600"/>
        <w:gridCol w:w="2160"/>
      </w:tblGrid>
      <w:tr>
        <w:trPr>
          <w:tblHeader/>
        </w:trPr>
        <w:tc>
          <w:tcPr>
            <w:tcW w:type="dxa" w:w="21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Service</w:t>
            </w:r>
          </w:p>
        </w:tc>
        <w:tc>
          <w:tcPr>
            <w:tcW w:type="dxa" w:w="144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Type</w:t>
            </w:r>
          </w:p>
        </w:tc>
        <w:tc>
          <w:tcPr>
            <w:tcW w:type="dxa" w:w="36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Cloud Run Config</w:t>
            </w:r>
          </w:p>
        </w:tc>
        <w:tc>
          <w:tcPr>
            <w:tcW w:type="dxa" w:w="21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Min/Max Instances</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api-gateway</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API Gateway</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FastAPI + GraphQL, 2 vCPU, 4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2 / 20</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websocket-server</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WebSocket Server</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Node.js ws, 1 vCPU, 2 GB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 / 10</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studio-api</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Studio API</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FastAPI, 1 vCPU, 2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0 / 4</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frontend</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Next.js 14</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Node.js, 1 vCPU, 2 GB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 / 10</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evidence-processor</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File Processor</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Python, 2 vCPU, 4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2 / 20</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scheduler</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Cron Dispatcher</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Python, 0.5 vCPU, 512 MB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 / 2</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engine-workflow</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Python FastAPI, 1 vCPU, 2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2 / 10</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engine-configuration</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Python FastAPI, 1 vCPU, 2 GB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 / 8</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engine-decision</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Python FastAPI, 1 vCPU, 2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 / 6</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engine-impact-analysis</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Python FastAPI, 2 vCPU, 4 GB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 / 20</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engine-dependency-chain</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Python FastAPI, 2 vCPU, 4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 / 10</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engine-communication-alignment</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Python FastAPI, 1 vCPU, 2 GB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 / 8</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engine-synchronization</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Python FastAPI, 2 vCPU, 4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 / 10</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engine-evidence</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Python FastAPI, 2 vCPU, 4 GB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 / 20</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engine-vendor-intelligence</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Python FastAPI, 1 vCPU, 2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 / 8</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engine-supply-chain</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Python FastAPI, 1 vCPU, 2 GB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 / 8</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engine-risk</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Python FastAPI, 1 vCPU, 2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2 / 12</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engine-forecasting</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Python FastAPI, 2 vCPU, 4 GB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 / 6</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engine-recommendation</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Python FastAPI, 2 vCPU, 4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 / 8</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engine-reporting</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Python FastAPI, 2 vCPU, 8 GB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 / 6</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engine-ai-orchestration</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Python FastAPI, 2 vCPU, 4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2 / 10</w:t>
            </w:r>
          </w:p>
        </w:tc>
      </w:tr>
      <w:tr>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notification-service</w:t>
            </w:r>
          </w:p>
        </w:tc>
        <w:tc>
          <w:tcPr>
            <w:tcW w:type="dxa" w:w="144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Support Service</w:t>
            </w:r>
          </w:p>
        </w:tc>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Python FastAPI, 1 vCPU, 1 GB RAM</w:t>
            </w:r>
          </w:p>
        </w:tc>
        <w:tc>
          <w:tcPr>
            <w:tcW w:type="dxa" w:w="2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 / 6</w:t>
            </w:r>
          </w:p>
        </w:tc>
      </w:tr>
      <w:tr>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integration-hub</w:t>
            </w:r>
          </w:p>
        </w:tc>
        <w:tc>
          <w:tcPr>
            <w:tcW w:type="dxa" w:w="144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Support Service</w:t>
            </w:r>
          </w:p>
        </w:tc>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Python FastAPI, 1 vCPU, 2 GB RAM</w:t>
            </w:r>
          </w:p>
        </w:tc>
        <w:tc>
          <w:tcPr>
            <w:tcW w:type="dxa" w:w="2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 / 6</w:t>
            </w:r>
          </w:p>
        </w:tc>
      </w:tr>
    </w:tbl>
    <w:p>
      <w:pPr>
        <w:spacing w:after="0" w:before="200"/>
      </w:pPr>
    </w:p>
    <w:p>
      <w:pPr>
        <w:pStyle w:val="Heading2"/>
        <w:spacing w:after="120" w:before="320"/>
      </w:pPr>
      <w:r>
        <w:rPr>
          <w:rFonts w:ascii="Calibri" w:cs="Calibri" w:eastAsia="Calibri" w:hAnsi="Calibri"/>
          <w:b/>
          <w:bCs/>
          <w:color w:val="1A6B3A"/>
          <w:sz w:val="26"/>
          <w:szCs w:val="26"/>
        </w:rPr>
        <w:t xml:space="preserve">9.2 Network Topology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Cloud Load Balancing: Single entry point. Routes HTTPS traffic to the API Gateway and Frontend services.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Cloud CDN: Caches static Next.js assets (JS, CSS, images) at GCP edge nodes. Cache-Control: max-age=31536000, immutable for hashed assets.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VPC: All Cloud Run services are connected to a shared VPC via VPC Connector. PostgreSQL, Redis, and Elasticsearch are accessible only from within the VPC — never from the public internet.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Private Google Access: Engine services access Cloud Storage, Google Vision API, and Vertex AI via Private Google Access — traffic stays on Google's internal network.</w:t>
      </w:r>
    </w:p>
    <w:p>
      <w:pPr>
        <w:spacing w:after="0" w:before="120"/>
      </w:pPr>
    </w:p>
    <w:p>
      <w:pPr>
        <w:pStyle w:val="Heading2"/>
        <w:spacing w:after="120" w:before="320"/>
      </w:pPr>
      <w:r>
        <w:rPr>
          <w:rFonts w:ascii="Calibri" w:cs="Calibri" w:eastAsia="Calibri" w:hAnsi="Calibri"/>
          <w:b/>
          <w:bCs/>
          <w:color w:val="1A6B3A"/>
          <w:sz w:val="26"/>
          <w:szCs w:val="26"/>
        </w:rPr>
        <w:t xml:space="preserve">9.3 Pub/Sub Topics (v4 — 20 topics)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v3 topics retained (15): greenpm.workflow.events, greenpm.change.events, greenpm.evidence.events, greenpm.document.events, greenpm.vendor.events, greenpm.dispatch.events, greenpm.quality.events, greenpm.safety.events, greenpm.commercial.events, greenpm.governance.events, greenpm.schedule.events, greenpm.notifications, greenpm.ai.tasks, greenpm.integration.events, greenpm.audit.events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v4 new topics (5): greenpm.engine.outputs, greenpm.evidence.captures, greenpm.supplychain.events, greenpm.readiness.events, greenpm.alignment.events</w:t>
      </w:r>
    </w:p>
    <w:p>
      <w:pPr>
        <w:spacing w:after="0" w:before="120"/>
      </w:pPr>
    </w:p>
    <w:p>
      <w:pPr>
        <w:pStyle w:val="Heading2"/>
        <w:spacing w:after="120" w:before="320"/>
      </w:pPr>
      <w:r>
        <w:rPr>
          <w:rFonts w:ascii="Calibri" w:cs="Calibri" w:eastAsia="Calibri" w:hAnsi="Calibri"/>
          <w:b/>
          <w:bCs/>
          <w:color w:val="1A6B3A"/>
          <w:sz w:val="26"/>
          <w:szCs w:val="26"/>
        </w:rPr>
        <w:t xml:space="preserve">9.4 Multi-Region Failover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Primary region: us-central1 for all services.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Failover region: us-east1 with Cloud SQL read replica promoted to primary on regional failure.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RTO: &lt;1 hour for full regional failover. RPO: &lt;15 minutes (Cloud SQL PITR + WAL archiving).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Pub/Sub: Global service — no regional failover configuration needed.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Tenant data residency: Tenants with data residency requirements (India, Middle East, EU) are deployed in asia-south1, me-west1, or europe-west4 respectively.</w:t>
      </w:r>
    </w:p>
    <w:p>
      <w:r>
        <w:br w:type="page"/>
      </w:r>
    </w:p>
    <w:p>
      <w:pPr>
        <w:pStyle w:val="Heading1"/>
        <w:spacing w:after="160" w:before="480"/>
      </w:pPr>
      <w:r>
        <w:rPr>
          <w:rFonts w:ascii="Calibri" w:cs="Calibri" w:eastAsia="Calibri" w:hAnsi="Calibri"/>
          <w:b/>
          <w:bCs/>
          <w:color w:val="0F4D28"/>
          <w:sz w:val="40"/>
          <w:szCs w:val="40"/>
        </w:rPr>
        <w:t xml:space="preserve">10. Observability</w:t>
      </w:r>
    </w:p>
    <w:p>
      <w:pPr>
        <w:pStyle w:val="Heading2"/>
        <w:spacing w:after="120" w:before="320"/>
      </w:pPr>
      <w:r>
        <w:rPr>
          <w:rFonts w:ascii="Calibri" w:cs="Calibri" w:eastAsia="Calibri" w:hAnsi="Calibri"/>
          <w:b/>
          <w:bCs/>
          <w:color w:val="1A6B3A"/>
          <w:sz w:val="26"/>
          <w:szCs w:val="26"/>
        </w:rPr>
        <w:t xml:space="preserve">10.1 Metrics — Cloud Monitoring</w:t>
      </w:r>
    </w:p>
    <w:p>
      <w:pPr>
        <w:spacing w:after="100" w:before="60"/>
      </w:pPr>
      <w:r>
        <w:rPr>
          <w:rFonts w:ascii="Calibri" w:cs="Calibri" w:eastAsia="Calibri" w:hAnsi="Calibri"/>
          <w:color w:val="111827"/>
          <w:sz w:val="22"/>
          <w:szCs w:val="22"/>
        </w:rPr>
        <w:t xml:space="preserve">Every engine service emits the following per-engine metrics to Cloud Monitoring: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engine_event_processing_latency_ms: Histogram of event processing latency from Pub/Sub receipt to output published. Tagged by engine_name, event_type.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engine_event_processing_errors_total: Counter of failed event processing attempts. Tagged by engine_name, error_type.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engine_queue_depth: Current number of unprocessed messages in each engine's Pub/Sub subscription.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engine_output_publish_latency_ms: Latency from processing completion to output event published to greenpm.engine.outputs.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websocket_active_connections: Current count of active WebSocket connections, tagged by tenant_id.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graphql_query_latency_ms: Histogram of GraphQL query resolution latency, tagged by operation_name.</w:t>
      </w:r>
    </w:p>
    <w:p>
      <w:pPr>
        <w:spacing w:after="0" w:before="120"/>
      </w:pPr>
    </w:p>
    <w:p>
      <w:pPr>
        <w:pStyle w:val="Heading2"/>
        <w:spacing w:after="120" w:before="320"/>
      </w:pPr>
      <w:r>
        <w:rPr>
          <w:rFonts w:ascii="Calibri" w:cs="Calibri" w:eastAsia="Calibri" w:hAnsi="Calibri"/>
          <w:b/>
          <w:bCs/>
          <w:color w:val="1A6B3A"/>
          <w:sz w:val="26"/>
          <w:szCs w:val="26"/>
        </w:rPr>
        <w:t xml:space="preserve">10.2 Distributed Tracing — Cloud Trace</w:t>
      </w:r>
    </w:p>
    <w:p>
      <w:pPr>
        <w:spacing w:after="100" w:before="60"/>
      </w:pPr>
      <w:r>
        <w:rPr>
          <w:rFonts w:ascii="Calibri" w:cs="Calibri" w:eastAsia="Calibri" w:hAnsi="Calibri"/>
          <w:color w:val="111827"/>
          <w:sz w:val="22"/>
          <w:szCs w:val="22"/>
        </w:rPr>
        <w:t xml:space="preserve">Cloud Trace provides end-to-end distributed tracing across the engine processing pipeline. The most complex trace path is the Impact Analysis Pipeline (5 hops):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Hop 1: API Gateway receives ChangeInitiated command → writes to PostgreSQL + outbox</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Hop 2: Outbox processor publishes ChangeInitiated event to greenpm.change.events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Hop 3: Impact Analysis Engine processes event → reads WBS + Schedule + Budget → publishes ImpactAnalysis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Hop 4: Recommendation Engine processes ImpactAnalysisComplete → calls Claude → publishes PrioritizedActions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Hop 5: WebSocket server receives engine output → pushes to subscribed UI clients</w:t>
      </w:r>
    </w:p>
    <w:p>
      <w:pPr>
        <w:spacing w:after="100" w:before="60"/>
      </w:pPr>
      <w:r>
        <w:rPr>
          <w:rFonts w:ascii="Calibri" w:cs="Calibri" w:eastAsia="Calibri" w:hAnsi="Calibri"/>
          <w:color w:val="111827"/>
          <w:sz w:val="22"/>
          <w:szCs w:val="22"/>
        </w:rPr>
        <w:t xml:space="preserve">Each hop carries a trace_id and span_id. Full pipeline trace is queryable in Cloud Trace by correlation_id.</w:t>
      </w:r>
    </w:p>
    <w:p>
      <w:pPr>
        <w:spacing w:after="0" w:before="120"/>
      </w:pPr>
    </w:p>
    <w:p>
      <w:pPr>
        <w:pStyle w:val="Heading2"/>
        <w:spacing w:after="120" w:before="320"/>
      </w:pPr>
      <w:r>
        <w:rPr>
          <w:rFonts w:ascii="Calibri" w:cs="Calibri" w:eastAsia="Calibri" w:hAnsi="Calibri"/>
          <w:b/>
          <w:bCs/>
          <w:color w:val="1A6B3A"/>
          <w:sz w:val="26"/>
          <w:szCs w:val="26"/>
        </w:rPr>
        <w:t xml:space="preserve">10.3 Structured Logging — Cloud Logging</w:t>
      </w:r>
    </w:p>
    <w:p>
      <w:pPr>
        <w:spacing w:after="100" w:before="60"/>
      </w:pPr>
      <w:r>
        <w:rPr>
          <w:rFonts w:ascii="Calibri" w:cs="Calibri" w:eastAsia="Calibri" w:hAnsi="Calibri"/>
          <w:color w:val="111827"/>
          <w:sz w:val="22"/>
          <w:szCs w:val="22"/>
        </w:rPr>
        <w:t xml:space="preserve">All services emit structured JSON logs. Every log record includes: tenant_id, user_id, correlation_id, service_name, engine_name (for engine services), operation, duration_ms, status, event_type (for Pub/Sub processing).</w:t>
      </w:r>
    </w:p>
    <w:p>
      <w:pPr>
        <w:spacing w:after="0" w:before="120"/>
      </w:pPr>
    </w:p>
    <w:p>
      <w:pPr>
        <w:pStyle w:val="Heading2"/>
        <w:spacing w:after="120" w:before="320"/>
      </w:pPr>
      <w:r>
        <w:rPr>
          <w:rFonts w:ascii="Calibri" w:cs="Calibri" w:eastAsia="Calibri" w:hAnsi="Calibri"/>
          <w:b/>
          <w:bCs/>
          <w:color w:val="1A6B3A"/>
          <w:sz w:val="26"/>
          <w:szCs w:val="26"/>
        </w:rPr>
        <w:t xml:space="preserve">10.4 Alerting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200"/>
        <w:gridCol w:w="3600"/>
      </w:tblGrid>
      <w:tr>
        <w:trPr>
          <w:tblHeader/>
        </w:trPr>
        <w:tc>
          <w:tcPr>
            <w:tcW w:type="dxa" w:w="24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Alert</w:t>
            </w:r>
          </w:p>
        </w:tc>
        <w:tc>
          <w:tcPr>
            <w:tcW w:type="dxa" w:w="21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Threshold</w:t>
            </w:r>
          </w:p>
        </w:tc>
        <w:tc>
          <w:tcPr>
            <w:tcW w:type="dxa" w:w="12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Severity</w:t>
            </w:r>
          </w:p>
        </w:tc>
        <w:tc>
          <w:tcPr>
            <w:tcW w:type="dxa" w:w="36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Action</w:t>
            </w:r>
          </w:p>
        </w:tc>
      </w:tr>
      <w:tr>
        <w:tc>
          <w:tcPr>
            <w:tcW w:type="dxa" w:w="2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Engine processing lag</w:t>
            </w:r>
          </w:p>
        </w:tc>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&gt;30s average queue depth across any engine topic</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w:t>
            </w:r>
          </w:p>
        </w:tc>
        <w:tc>
          <w:tcPr>
            <w:tcW w:type="dxa" w:w="36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Page on-call; check Cloud Run instance count and autoscaling limits</w:t>
            </w:r>
          </w:p>
        </w:tc>
      </w:tr>
      <w:tr>
        <w:tc>
          <w:tcPr>
            <w:tcW w:type="dxa" w:w="2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WebSocket connection drop rate</w:t>
            </w:r>
          </w:p>
        </w:tc>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&gt;10% of active connections dropped in 5-min window</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w:t>
            </w:r>
          </w:p>
        </w:tc>
        <w:tc>
          <w:tcPr>
            <w:tcW w:type="dxa" w:w="36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Page on-call; check WebSocket server health and Redis pub/sub</w:t>
            </w:r>
          </w:p>
        </w:tc>
      </w:tr>
      <w:tr>
        <w:tc>
          <w:tcPr>
            <w:tcW w:type="dxa" w:w="2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API error rate</w:t>
            </w:r>
          </w:p>
        </w:tc>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&gt;1% of API requests returning 5xx in 5-min window</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w:t>
            </w:r>
          </w:p>
        </w:tc>
        <w:tc>
          <w:tcPr>
            <w:tcW w:type="dxa" w:w="36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Page on-call; check service logs in Cloud Logging</w:t>
            </w:r>
          </w:p>
        </w:tc>
      </w:tr>
      <w:tr>
        <w:tc>
          <w:tcPr>
            <w:tcW w:type="dxa" w:w="2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 Engine backlog</w:t>
            </w:r>
          </w:p>
        </w:tc>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&gt;500 unprocessed evidence items in queue</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P2</w:t>
            </w:r>
          </w:p>
        </w:tc>
        <w:tc>
          <w:tcPr>
            <w:tcW w:type="dxa" w:w="36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Alert on-call; scale Evidence Engine manually if autoscaling insufficient</w:t>
            </w:r>
          </w:p>
        </w:tc>
      </w:tr>
      <w:tr>
        <w:tc>
          <w:tcPr>
            <w:tcW w:type="dxa" w:w="2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AI Orchestration circuit breaker open</w:t>
            </w:r>
          </w:p>
        </w:tc>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Claude API circuit breaker opens</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P2</w:t>
            </w:r>
          </w:p>
        </w:tc>
        <w:tc>
          <w:tcPr>
            <w:tcW w:type="dxa" w:w="36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Alert on-call; platform continues without AI features (graceful degradation)</w:t>
            </w:r>
          </w:p>
        </w:tc>
      </w:tr>
      <w:tr>
        <w:tc>
          <w:tcPr>
            <w:tcW w:type="dxa" w:w="2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PostgreSQL connection pool saturation</w:t>
            </w:r>
          </w:p>
        </w:tc>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&gt;90% PgBouncer pool utilisation</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P2</w:t>
            </w:r>
          </w:p>
        </w:tc>
        <w:tc>
          <w:tcPr>
            <w:tcW w:type="dxa" w:w="36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Alert on-call; check for long-running queries, scale Cloud Run min-instances</w:t>
            </w:r>
          </w:p>
        </w:tc>
      </w:tr>
      <w:tr>
        <w:tc>
          <w:tcPr>
            <w:tcW w:type="dxa" w:w="2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Forecasting Engine staleness</w:t>
            </w:r>
          </w:p>
        </w:tc>
        <w:tc>
          <w:tcPr>
            <w:tcW w:type="dxa" w:w="21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No ForecastUpdated event in &gt;26 hours</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P2</w:t>
            </w:r>
          </w:p>
        </w:tc>
        <w:tc>
          <w:tcPr>
            <w:tcW w:type="dxa" w:w="36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Alert on-call; check DailySchedulerTick is firing</w:t>
            </w:r>
          </w:p>
        </w:tc>
      </w:tr>
      <w:tr>
        <w:tc>
          <w:tcPr>
            <w:tcW w:type="dxa" w:w="2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Pub/Sub DLQ messages</w:t>
            </w:r>
          </w:p>
        </w:tc>
        <w:tc>
          <w:tcPr>
            <w:tcW w:type="dxa" w:w="21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Any message in any Dead Letter Topic</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P3</w:t>
            </w:r>
          </w:p>
        </w:tc>
        <w:tc>
          <w:tcPr>
            <w:tcW w:type="dxa" w:w="36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Investigate within 4 hours; replay or acknowledge</w:t>
            </w:r>
          </w:p>
        </w:tc>
      </w:tr>
    </w:tbl>
    <w:p>
      <w:pPr>
        <w:spacing w:after="0" w:before="200"/>
      </w:pPr>
    </w:p>
    <w:p>
      <w:pPr>
        <w:pStyle w:val="Heading2"/>
        <w:spacing w:after="120" w:before="320"/>
      </w:pPr>
      <w:r>
        <w:rPr>
          <w:rFonts w:ascii="Calibri" w:cs="Calibri" w:eastAsia="Calibri" w:hAnsi="Calibri"/>
          <w:b/>
          <w:bCs/>
          <w:color w:val="1A6B3A"/>
          <w:sz w:val="26"/>
          <w:szCs w:val="26"/>
        </w:rPr>
        <w:t xml:space="preserve">10.5 Health Checks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/health: Liveness check. Returns 200 if the process is alive. Used by Cloud Run to restart unhealthy instances.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/ready: Readiness check. Returns 200 only if PostgreSQL connection, Redis connection, and Pub/Sub subscription are healthy. Used by Cloud Run to exclude instances from load balancing during startup.</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/metrics: Prometheus-format metrics endpoint. Scraped by Cloud Monitoring via the Managed Prometheus collector.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v4 Engineering Architecture</dc:title>
  <dc:creator>GreenflIQ Engineering</dc:creator>
  <dc:description>Engine-Centric Platform Architecture Reference — v4.0 August 2026</dc:description>
  <cp:lastModifiedBy>Un-named</cp:lastModifiedBy>
  <cp:revision>1</cp:revision>
  <dcterms:created xsi:type="dcterms:W3CDTF">2026-08-03T07:24:26.617Z</dcterms:created>
  <dcterms:modified xsi:type="dcterms:W3CDTF">2026-08-03T07:24:26.619Z</dcterms:modified>
</cp:coreProperties>
</file>

<file path=docProps/custom.xml><?xml version="1.0" encoding="utf-8"?>
<Properties xmlns="http://schemas.openxmlformats.org/officeDocument/2006/custom-properties" xmlns:vt="http://schemas.openxmlformats.org/officeDocument/2006/docPropsVTypes"/>
</file>