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b/>
          <w:bCs/>
          <w:color w:val="1A4731"/>
          <w:sz w:val="80"/>
          <w:szCs w:val="80"/>
        </w:rPr>
        <w:t xml:space="preserve">GREEN PM</w:t>
      </w:r>
    </w:p>
    <w:p>
      <w:pPr>
        <w:spacing w:after="200"/>
        <w:jc w:val="center"/>
      </w:pPr>
      <w:r>
        <w:rPr>
          <w:color w:val="2D7A4F"/>
          <w:sz w:val="44"/>
          <w:szCs w:val="44"/>
        </w:rPr>
        <w:t xml:space="preserve">Engineering &amp; Architecture</w:t>
      </w:r>
    </w:p>
    <w:p>
      <w:pPr>
        <w:spacing w:after="160"/>
        <w:jc w:val="center"/>
      </w:pPr>
      <w:r>
        <w:rPr>
          <w:color w:val="6C757D"/>
          <w:sz w:val="26"/>
          <w:szCs w:val="26"/>
        </w:rPr>
        <w:t xml:space="preserve">Version 5.0  ·  August 2026</w:t>
      </w:r>
    </w:p>
    <w:p>
      <w:pPr>
        <w:spacing w:after="120"/>
        <w:jc w:val="center"/>
      </w:pPr>
      <w:r>
        <w:rPr>
          <w:color w:val="6C757D"/>
          <w:sz w:val="24"/>
          <w:szCs w:val="24"/>
        </w:rPr>
        <w:t xml:space="preserve">Engineering Project Intelligence Platform</w:t>
      </w:r>
    </w:p>
    <w:p>
      <w:pPr>
        <w:spacing w:after="320"/>
        <w:jc w:val="center"/>
      </w:pPr>
      <w:r>
        <w:rPr>
          <w:b/>
          <w:bCs/>
          <w:color w:val="6C757D"/>
          <w:sz w:val="20"/>
          <w:szCs w:val="20"/>
        </w:rPr>
        <w:t xml:space="preserve">INTERNAL — ENGINEERING TECHNICAL REFERENCE</w:t>
      </w:r>
    </w:p>
    <w:p>
      <w:pPr>
        <w:jc w:val="center"/>
      </w:pPr>
      <w:r>
        <w:rPr>
          <w:i/>
          <w:iCs/>
          <w:color w:val="2C3E50"/>
          <w:sz w:val="22"/>
          <w:szCs w:val="22"/>
        </w:rPr>
        <w:t xml:space="preserve">“Green PM continuously transforms every project event into synchronized project intelligence and actionable decisions.”</w:t>
      </w:r>
    </w:p>
    <w:p>
      <w:r>
        <w:br w:type="page"/>
      </w:r>
    </w:p>
    <w:p>
      <w:pPr>
        <w:pStyle w:val="Heading1"/>
        <w:spacing w:after="240" w:before="480"/>
      </w:pPr>
      <w:r>
        <w:t xml:space="preserve">1. Architecture Philosophy</w:t>
      </w:r>
    </w:p>
    <w:p>
      <w:pPr>
        <w:spacing w:after="140"/>
      </w:pPr>
      <w:r>
        <w:rPr>
          <w:sz w:val="22"/>
          <w:szCs w:val="22"/>
        </w:rPr>
        <w:t xml:space="preserve">Green PM v5 is governed by five non-negotiable architectural principles. These are not aspirational guidelines — they are hard constraints applied at every infrastructure and design decision.</w:t>
      </w:r>
    </w:p>
    <w:p>
      <w:pPr>
        <w:spacing w:after="80"/>
      </w:pPr>
    </w:p>
    <w:p>
      <w:pPr>
        <w:pStyle w:val="Heading2"/>
        <w:spacing w:after="160" w:before="320"/>
      </w:pPr>
      <w:r>
        <w:t xml:space="preserve">Principle 1 — Scale to Zero Where Possible</w:t>
      </w:r>
    </w:p>
    <w:p>
      <w:pPr>
        <w:spacing w:after="140"/>
      </w:pPr>
      <w:r>
        <w:rPr>
          <w:sz w:val="22"/>
          <w:szCs w:val="22"/>
        </w:rPr>
        <w:t xml:space="preserve">Event-driven engine services scale to zero between events. Cold start latency is acceptable because the triggering event has already occurred — the engine reacts, it does not respond in real time. Only the API gateway and the Next.js frontend are always-on (min-instances=1), because they serve interactive user traffic.</w:t>
      </w:r>
    </w:p>
    <w:p>
      <w:pPr>
        <w:spacing w:after="80"/>
      </w:pPr>
    </w:p>
    <w:p>
      <w:pPr>
        <w:pStyle w:val="Heading2"/>
        <w:spacing w:after="160" w:before="320"/>
      </w:pPr>
      <w:r>
        <w:t xml:space="preserve">Principle 2 — The Project Intelligence Graph Is Infrastructure</w:t>
      </w:r>
    </w:p>
    <w:p>
      <w:pPr>
        <w:spacing w:after="140"/>
      </w:pPr>
      <w:r>
        <w:rPr>
          <w:sz w:val="22"/>
          <w:szCs w:val="22"/>
        </w:rPr>
        <w:t xml:space="preserve">The PIG is not an application feature. It is a shared infrastructure layer. Every engine queries the pig-query-service GraphQL API — no engine connects to graph_nodes or graph_edges tables directly. This constraint ensures that all graph traversal logic, caching, and tenant isolation lives in one place and is never duplicated across engines.</w:t>
      </w:r>
    </w:p>
    <w:p>
      <w:pPr>
        <w:spacing w:after="80"/>
      </w:pPr>
    </w:p>
    <w:p>
      <w:pPr>
        <w:pStyle w:val="Heading2"/>
        <w:spacing w:after="160" w:before="320"/>
      </w:pPr>
      <w:r>
        <w:t xml:space="preserve">Principle 3 — Deterministic Where Possible, AI Only Where Reasoning Adds Value</w:t>
      </w:r>
    </w:p>
    <w:p>
      <w:pPr>
        <w:spacing w:after="140"/>
      </w:pPr>
      <w:r>
        <w:rPr>
          <w:sz w:val="22"/>
          <w:szCs w:val="22"/>
        </w:rPr>
        <w:t xml:space="preserve">CPM schedule calculations, evidence scoring formula, and graph traversal are deterministic. AI (claude-sonnet-4-6 via Claude API) is used only for: confidence narrative generation, change impact summaries, risk narratives, structured report prose, and AI Copilot (Ask Green PM). AI is never used where a formula or algorithm produces the correct answer.</w:t>
      </w:r>
    </w:p>
    <w:p>
      <w:pPr>
        <w:spacing w:after="80"/>
      </w:pPr>
    </w:p>
    <w:p>
      <w:pPr>
        <w:pStyle w:val="Heading2"/>
        <w:spacing w:after="160" w:before="320"/>
      </w:pPr>
      <w:r>
        <w:t xml:space="preserve">Principle 4 — Every Tenant Is Isolated at the Database Level</w:t>
      </w:r>
    </w:p>
    <w:p>
      <w:pPr>
        <w:spacing w:after="140"/>
      </w:pPr>
      <w:r>
        <w:rPr>
          <w:sz w:val="22"/>
          <w:szCs w:val="22"/>
        </w:rPr>
        <w:t xml:space="preserve">Tenant isolation is enforced by PostgreSQL Row-Level Security (RLS). There is no per-tenant infrastructure. All tenants share the same Cloud Run services, Cloud SQL instance, and Redis cluster. Isolation is enforced by SET app.current_tenant_id at connection start and RLS policies on every table — making cross-tenant data access impossible regardless of application-layer bugs.</w:t>
      </w:r>
    </w:p>
    <w:p>
      <w:pPr>
        <w:spacing w:after="80"/>
      </w:pPr>
    </w:p>
    <w:p>
      <w:pPr>
        <w:pStyle w:val="Heading2"/>
        <w:spacing w:after="160" w:before="320"/>
      </w:pPr>
      <w:r>
        <w:t xml:space="preserve">Principle 5 — Configuration Over Code</w:t>
      </w:r>
    </w:p>
    <w:p>
      <w:pPr>
        <w:spacing w:after="140"/>
      </w:pPr>
      <w:r>
        <w:rPr>
          <w:sz w:val="22"/>
          <w:szCs w:val="22"/>
        </w:rPr>
        <w:t xml:space="preserve">Green PM Studio provides 15 configuration builders that cover every client customization scenario: custom fields, workflows, approval chains, report templates, notification rules, and entity relationships. No client ever receives custom code. New client onboarding is O(1) — a new record in the tenants table plus Studio configuration, zero deployment changes.</w:t>
      </w:r>
    </w:p>
    <w:p>
      <w:r>
        <w:br w:type="page"/>
      </w:r>
    </w:p>
    <w:p>
      <w:pPr>
        <w:pStyle w:val="Heading1"/>
        <w:spacing w:after="240" w:before="480"/>
      </w:pPr>
      <w:r>
        <w:t xml:space="preserve">2. System Overview</w:t>
      </w:r>
    </w:p>
    <w:p>
      <w:pPr>
        <w:spacing w:after="140"/>
      </w:pPr>
      <w:r>
        <w:rPr>
          <w:sz w:val="22"/>
          <w:szCs w:val="22"/>
        </w:rPr>
        <w:t xml:space="preserve">Green PM v5 consists of 24 Cloud Run services organized in four tiers. The API gateway accepts mutations, writes to PostgreSQL with a transactional outbox entry, and the outbox processor publishes events to Pub/Sub. Push subscriptions trigger engine services, which process the event, update state, write Firestore documents for real-time UI updates, and publish downstream events.</w:t>
      </w:r>
    </w:p>
    <w:p>
      <w:pPr>
        <w:spacing w:after="80"/>
      </w:pPr>
    </w:p>
    <w:p>
      <w:pPr>
        <w:pStyle w:val="Heading2"/>
        <w:spacing w:after="160" w:before="320"/>
      </w:pPr>
      <w:r>
        <w:t xml:space="preserve">Tier 1 — Frontend &amp; Gateway (3 services, always-on)</w:t>
      </w:r>
    </w:p>
    <w:p>
      <w:pPr>
        <w:pStyle w:val="ListParagraph"/>
        <w:numPr>
          <w:ilvl w:val="0"/>
          <w:numId w:val="1"/>
        </w:numPr>
        <w:spacing w:after="80"/>
      </w:pPr>
      <w:r>
        <w:rPr>
          <w:sz w:val="22"/>
          <w:szCs w:val="22"/>
        </w:rPr>
        <w:t xml:space="preserve">green-pm-frontend: Next.js 14 SSR application. min-instances=1.</w:t>
      </w:r>
    </w:p>
    <w:p>
      <w:pPr>
        <w:pStyle w:val="ListParagraph"/>
        <w:numPr>
          <w:ilvl w:val="0"/>
          <w:numId w:val="1"/>
        </w:numPr>
        <w:spacing w:after="80"/>
      </w:pPr>
      <w:r>
        <w:rPr>
          <w:sz w:val="22"/>
          <w:szCs w:val="22"/>
        </w:rPr>
        <w:t xml:space="preserve">api-gateway: FastAPI REST API with PgBouncer sidecar in session mode. min-instances=1.</w:t>
      </w:r>
    </w:p>
    <w:p>
      <w:pPr>
        <w:pStyle w:val="ListParagraph"/>
        <w:numPr>
          <w:ilvl w:val="0"/>
          <w:numId w:val="1"/>
        </w:numPr>
        <w:spacing w:after="80"/>
      </w:pPr>
      <w:r>
        <w:rPr>
          <w:sz w:val="22"/>
          <w:szCs w:val="22"/>
        </w:rPr>
        <w:t xml:space="preserve">studio-api: FastAPI admin API for Green PM Studio operations. scale-to-0.</w:t>
      </w:r>
    </w:p>
    <w:p>
      <w:pPr>
        <w:spacing w:after="80"/>
      </w:pPr>
    </w:p>
    <w:p>
      <w:pPr>
        <w:pStyle w:val="Heading2"/>
        <w:spacing w:after="160" w:before="320"/>
      </w:pPr>
      <w:r>
        <w:t xml:space="preserve">Tier 2 — Engine Services (17 services, scale-to-zero)</w:t>
      </w:r>
    </w:p>
    <w:p>
      <w:pPr>
        <w:spacing w:after="140"/>
      </w:pPr>
      <w:r>
        <w:rPr>
          <w:sz w:val="22"/>
          <w:szCs w:val="22"/>
        </w:rPr>
        <w:t xml:space="preserve">One Cloud Run service per engine. Each triggered by Pub/Sub push subscription to its dedicated topic. Engines are independently deployed and independently scalable. The 17 engines are: Evidence, Impact Analysis, Dependency Chain, Organizational Alignment, Sync &amp; Consistency, Vendor Intelligence, Supply Chain, Risk, Forecasting, Recommendation, Decision, Reporting, AI Orchestration, Readiness [NEW], Simulation [NEW], Coordination [NEW], Organizational Memory [NEW].</w:t>
      </w:r>
    </w:p>
    <w:p>
      <w:pPr>
        <w:spacing w:after="80"/>
      </w:pPr>
    </w:p>
    <w:p>
      <w:pPr>
        <w:pStyle w:val="Heading2"/>
        <w:spacing w:after="160" w:before="320"/>
      </w:pPr>
      <w:r>
        <w:t xml:space="preserve">Tier 3 — Platform Services (3 services)</w:t>
      </w:r>
    </w:p>
    <w:p>
      <w:pPr>
        <w:pStyle w:val="ListParagraph"/>
        <w:numPr>
          <w:ilvl w:val="0"/>
          <w:numId w:val="1"/>
        </w:numPr>
        <w:spacing w:after="80"/>
      </w:pPr>
      <w:r>
        <w:rPr>
          <w:sz w:val="22"/>
          <w:szCs w:val="22"/>
        </w:rPr>
        <w:t xml:space="preserve">pig-query-service: GraphQL API over PostgreSQL graph tables. The exclusive interface to the Project Intelligence Graph. [NEW in v5]</w:t>
      </w:r>
    </w:p>
    <w:p>
      <w:pPr>
        <w:pStyle w:val="ListParagraph"/>
        <w:numPr>
          <w:ilvl w:val="0"/>
          <w:numId w:val="1"/>
        </w:numPr>
        <w:spacing w:after="80"/>
      </w:pPr>
      <w:r>
        <w:rPr>
          <w:sz w:val="22"/>
          <w:szCs w:val="22"/>
        </w:rPr>
        <w:t xml:space="preserve">evidence-processor: Processes evidence uploads (photos, voice memos, documents) from GCS event triggers via Vision API, Speech-to-Text, and OCR.</w:t>
      </w:r>
    </w:p>
    <w:p>
      <w:pPr>
        <w:pStyle w:val="ListParagraph"/>
        <w:numPr>
          <w:ilvl w:val="0"/>
          <w:numId w:val="1"/>
        </w:numPr>
        <w:spacing w:after="80"/>
      </w:pPr>
      <w:r>
        <w:rPr>
          <w:sz w:val="22"/>
          <w:szCs w:val="22"/>
        </w:rPr>
        <w:t xml:space="preserve">scheduler-service: Cloud Scheduler + Cloud Tasks orchestrator for time-based triggers (outbox polling, scheduled reports, weekly EDT).</w:t>
      </w:r>
    </w:p>
    <w:p>
      <w:pPr>
        <w:spacing w:after="80"/>
      </w:pPr>
    </w:p>
    <w:p>
      <w:pPr>
        <w:pStyle w:val="Heading2"/>
        <w:spacing w:after="160" w:before="320"/>
      </w:pPr>
      <w:r>
        <w:t xml:space="preserve">Tier 4 — Real-Time (Firestore managed service)</w:t>
      </w:r>
    </w:p>
    <w:p>
      <w:pPr>
        <w:spacing w:after="140"/>
      </w:pPr>
      <w:r>
        <w:rPr>
          <w:sz w:val="22"/>
          <w:szCs w:val="22"/>
        </w:rPr>
        <w:t xml:space="preserve">Firestore replaces the always-on WebSocket Cloud Run service from v4. Engine services write Firestore documents after computation. The Next.js frontend reads via Firestore SDK with built-in reconnection. Documents are organized as one per panel per project (PCC-1 through PCC-8). Saves approximately Rs 5,000/month versus always-on WebSocket service.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800"/>
        <w:gridCol w:w="800"/>
        <w:gridCol w:w="700"/>
        <w:gridCol w:w="600"/>
        <w:gridCol w:w="2260"/>
      </w:tblGrid>
      <w:tr>
        <w:trPr>
          <w:tblHeader/>
        </w:trPr>
        <w:tc>
          <w:tcPr>
            <w:tcW w:type="dxa" w:w="2500"/>
            <w:shd w:fill="1A4731" w:val="clear"/>
          </w:tcPr>
          <w:p>
            <w:pPr>
              <w:spacing w:after="80" w:before="80"/>
            </w:pPr>
            <w:r>
              <w:rPr>
                <w:b/>
                <w:bCs/>
                <w:color w:val="FFFFFF"/>
                <w:sz w:val="18"/>
                <w:szCs w:val="18"/>
              </w:rPr>
              <w:t xml:space="preserve">Service</w:t>
            </w:r>
          </w:p>
        </w:tc>
        <w:tc>
          <w:tcPr>
            <w:tcW w:type="dxa" w:w="700"/>
            <w:shd w:fill="1A4731" w:val="clear"/>
          </w:tcPr>
          <w:p>
            <w:pPr>
              <w:spacing w:after="80" w:before="80"/>
            </w:pPr>
            <w:r>
              <w:rPr>
                <w:b/>
                <w:bCs/>
                <w:color w:val="FFFFFF"/>
                <w:sz w:val="18"/>
                <w:szCs w:val="18"/>
              </w:rPr>
              <w:t xml:space="preserve">Tier</w:t>
            </w:r>
          </w:p>
        </w:tc>
        <w:tc>
          <w:tcPr>
            <w:tcW w:type="dxa" w:w="1800"/>
            <w:shd w:fill="1A4731" w:val="clear"/>
          </w:tcPr>
          <w:p>
            <w:pPr>
              <w:spacing w:after="80" w:before="80"/>
            </w:pPr>
            <w:r>
              <w:rPr>
                <w:b/>
                <w:bCs/>
                <w:color w:val="FFFFFF"/>
                <w:sz w:val="18"/>
                <w:szCs w:val="18"/>
              </w:rPr>
              <w:t xml:space="preserve">Trigger</w:t>
            </w:r>
          </w:p>
        </w:tc>
        <w:tc>
          <w:tcPr>
            <w:tcW w:type="dxa" w:w="800"/>
            <w:shd w:fill="1A4731" w:val="clear"/>
          </w:tcPr>
          <w:p>
            <w:pPr>
              <w:spacing w:after="80" w:before="80"/>
            </w:pPr>
            <w:r>
              <w:rPr>
                <w:b/>
                <w:bCs/>
                <w:color w:val="FFFFFF"/>
                <w:sz w:val="18"/>
                <w:szCs w:val="18"/>
              </w:rPr>
              <w:t xml:space="preserve">Min Inst.</w:t>
            </w:r>
          </w:p>
        </w:tc>
        <w:tc>
          <w:tcPr>
            <w:tcW w:type="dxa" w:w="700"/>
            <w:shd w:fill="1A4731" w:val="clear"/>
          </w:tcPr>
          <w:p>
            <w:pPr>
              <w:spacing w:after="80" w:before="80"/>
            </w:pPr>
            <w:r>
              <w:rPr>
                <w:b/>
                <w:bCs/>
                <w:color w:val="FFFFFF"/>
                <w:sz w:val="18"/>
                <w:szCs w:val="18"/>
              </w:rPr>
              <w:t xml:space="preserve">Memory</w:t>
            </w:r>
          </w:p>
        </w:tc>
        <w:tc>
          <w:tcPr>
            <w:tcW w:type="dxa" w:w="600"/>
            <w:shd w:fill="1A4731" w:val="clear"/>
          </w:tcPr>
          <w:p>
            <w:pPr>
              <w:spacing w:after="80" w:before="80"/>
            </w:pPr>
            <w:r>
              <w:rPr>
                <w:b/>
                <w:bCs/>
                <w:color w:val="FFFFFF"/>
                <w:sz w:val="18"/>
                <w:szCs w:val="18"/>
              </w:rPr>
              <w:t xml:space="preserve">CPU</w:t>
            </w:r>
          </w:p>
        </w:tc>
        <w:tc>
          <w:tcPr>
            <w:tcW w:type="dxa" w:w="2260"/>
            <w:shd w:fill="1A4731" w:val="clear"/>
          </w:tcPr>
          <w:p>
            <w:pPr>
              <w:spacing w:after="80" w:before="80"/>
            </w:pPr>
            <w:r>
              <w:rPr>
                <w:b/>
                <w:bCs/>
                <w:color w:val="FFFFFF"/>
                <w:sz w:val="18"/>
                <w:szCs w:val="18"/>
              </w:rPr>
              <w:t xml:space="preserve">Description</w:t>
            </w:r>
          </w:p>
        </w:tc>
      </w:tr>
      <w:tr>
        <w:tc>
          <w:tcPr>
            <w:tcW w:type="dxa" w:w="2500"/>
            <w:shd w:fill="FFFFFF" w:val="clear"/>
          </w:tcPr>
          <w:p>
            <w:pPr>
              <w:spacing w:after="60" w:before="60"/>
            </w:pPr>
            <w:r>
              <w:rPr>
                <w:sz w:val="18"/>
                <w:szCs w:val="18"/>
              </w:rPr>
              <w:t xml:space="preserve">green-pm-frontend</w:t>
            </w:r>
          </w:p>
        </w:tc>
        <w:tc>
          <w:tcPr>
            <w:tcW w:type="dxa" w:w="700"/>
            <w:shd w:fill="FFFFFF" w:val="clear"/>
          </w:tcPr>
          <w:p>
            <w:pPr>
              <w:spacing w:after="60" w:before="60"/>
            </w:pPr>
            <w:r>
              <w:rPr>
                <w:sz w:val="18"/>
                <w:szCs w:val="18"/>
              </w:rPr>
              <w:t xml:space="preserve">T1</w:t>
            </w:r>
          </w:p>
        </w:tc>
        <w:tc>
          <w:tcPr>
            <w:tcW w:type="dxa" w:w="1800"/>
            <w:shd w:fill="FFFFFF" w:val="clear"/>
          </w:tcPr>
          <w:p>
            <w:pPr>
              <w:spacing w:after="60" w:before="60"/>
            </w:pPr>
            <w:r>
              <w:rPr>
                <w:sz w:val="18"/>
                <w:szCs w:val="18"/>
              </w:rPr>
              <w:t xml:space="preserve">HTTP</w:t>
            </w:r>
          </w:p>
        </w:tc>
        <w:tc>
          <w:tcPr>
            <w:tcW w:type="dxa" w:w="800"/>
            <w:shd w:fill="FFFFFF" w:val="clear"/>
          </w:tcPr>
          <w:p>
            <w:pPr>
              <w:spacing w:after="60" w:before="60"/>
            </w:pPr>
            <w:r>
              <w:rPr>
                <w:sz w:val="18"/>
                <w:szCs w:val="18"/>
              </w:rPr>
              <w:t xml:space="preserve">1</w:t>
            </w:r>
          </w:p>
        </w:tc>
        <w:tc>
          <w:tcPr>
            <w:tcW w:type="dxa" w:w="700"/>
            <w:shd w:fill="FFFFFF" w:val="clear"/>
          </w:tcPr>
          <w:p>
            <w:pPr>
              <w:spacing w:after="60" w:before="60"/>
            </w:pPr>
            <w:r>
              <w:rPr>
                <w:sz w:val="18"/>
                <w:szCs w:val="18"/>
              </w:rPr>
              <w:t xml:space="preserve">512 MB</w:t>
            </w:r>
          </w:p>
        </w:tc>
        <w:tc>
          <w:tcPr>
            <w:tcW w:type="dxa" w:w="600"/>
            <w:shd w:fill="FFFFFF" w:val="clear"/>
          </w:tcPr>
          <w:p>
            <w:pPr>
              <w:spacing w:after="60" w:before="60"/>
            </w:pPr>
            <w:r>
              <w:rPr>
                <w:sz w:val="18"/>
                <w:szCs w:val="18"/>
              </w:rPr>
              <w:t xml:space="preserve">1</w:t>
            </w:r>
          </w:p>
        </w:tc>
        <w:tc>
          <w:tcPr>
            <w:tcW w:type="dxa" w:w="2260"/>
            <w:shd w:fill="FFFFFF" w:val="clear"/>
          </w:tcPr>
          <w:p>
            <w:pPr>
              <w:spacing w:after="60" w:before="60"/>
            </w:pPr>
            <w:r>
              <w:rPr>
                <w:sz w:val="18"/>
                <w:szCs w:val="18"/>
              </w:rPr>
              <w:t xml:space="preserve">Next.js 14 SSR frontend</w:t>
            </w:r>
          </w:p>
        </w:tc>
      </w:tr>
      <w:tr>
        <w:tc>
          <w:tcPr>
            <w:tcW w:type="dxa" w:w="2500"/>
            <w:shd w:fill="E8F5EE" w:val="clear"/>
          </w:tcPr>
          <w:p>
            <w:pPr>
              <w:spacing w:after="60" w:before="60"/>
            </w:pPr>
            <w:r>
              <w:rPr>
                <w:sz w:val="18"/>
                <w:szCs w:val="18"/>
              </w:rPr>
              <w:t xml:space="preserve">api-gateway</w:t>
            </w:r>
          </w:p>
        </w:tc>
        <w:tc>
          <w:tcPr>
            <w:tcW w:type="dxa" w:w="700"/>
            <w:shd w:fill="E8F5EE" w:val="clear"/>
          </w:tcPr>
          <w:p>
            <w:pPr>
              <w:spacing w:after="60" w:before="60"/>
            </w:pPr>
            <w:r>
              <w:rPr>
                <w:sz w:val="18"/>
                <w:szCs w:val="18"/>
              </w:rPr>
              <w:t xml:space="preserve">T1</w:t>
            </w:r>
          </w:p>
        </w:tc>
        <w:tc>
          <w:tcPr>
            <w:tcW w:type="dxa" w:w="1800"/>
            <w:shd w:fill="E8F5EE" w:val="clear"/>
          </w:tcPr>
          <w:p>
            <w:pPr>
              <w:spacing w:after="60" w:before="60"/>
            </w:pPr>
            <w:r>
              <w:rPr>
                <w:sz w:val="18"/>
                <w:szCs w:val="18"/>
              </w:rPr>
              <w:t xml:space="preserve">HTTP</w:t>
            </w:r>
          </w:p>
        </w:tc>
        <w:tc>
          <w:tcPr>
            <w:tcW w:type="dxa" w:w="800"/>
            <w:shd w:fill="E8F5EE" w:val="clear"/>
          </w:tcPr>
          <w:p>
            <w:pPr>
              <w:spacing w:after="60" w:before="60"/>
            </w:pPr>
            <w:r>
              <w:rPr>
                <w:sz w:val="18"/>
                <w:szCs w:val="18"/>
              </w:rPr>
              <w:t xml:space="preserve">1</w:t>
            </w:r>
          </w:p>
        </w:tc>
        <w:tc>
          <w:tcPr>
            <w:tcW w:type="dxa" w:w="700"/>
            <w:shd w:fill="E8F5EE" w:val="clear"/>
          </w:tcPr>
          <w:p>
            <w:pPr>
              <w:spacing w:after="60" w:before="60"/>
            </w:pPr>
            <w:r>
              <w:rPr>
                <w:sz w:val="18"/>
                <w:szCs w:val="18"/>
              </w:rPr>
              <w:t xml:space="preserve">1 GB</w:t>
            </w:r>
          </w:p>
        </w:tc>
        <w:tc>
          <w:tcPr>
            <w:tcW w:type="dxa" w:w="600"/>
            <w:shd w:fill="E8F5EE" w:val="clear"/>
          </w:tcPr>
          <w:p>
            <w:pPr>
              <w:spacing w:after="60" w:before="60"/>
            </w:pPr>
            <w:r>
              <w:rPr>
                <w:sz w:val="18"/>
                <w:szCs w:val="18"/>
              </w:rPr>
              <w:t xml:space="preserve">2</w:t>
            </w:r>
          </w:p>
        </w:tc>
        <w:tc>
          <w:tcPr>
            <w:tcW w:type="dxa" w:w="2260"/>
            <w:shd w:fill="E8F5EE" w:val="clear"/>
          </w:tcPr>
          <w:p>
            <w:pPr>
              <w:spacing w:after="60" w:before="60"/>
            </w:pPr>
            <w:r>
              <w:rPr>
                <w:sz w:val="18"/>
                <w:szCs w:val="18"/>
              </w:rPr>
              <w:t xml:space="preserve">FastAPI + PgBouncer sidecar</w:t>
            </w:r>
          </w:p>
        </w:tc>
      </w:tr>
      <w:tr>
        <w:tc>
          <w:tcPr>
            <w:tcW w:type="dxa" w:w="2500"/>
            <w:shd w:fill="FFFFFF" w:val="clear"/>
          </w:tcPr>
          <w:p>
            <w:pPr>
              <w:spacing w:after="60" w:before="60"/>
            </w:pPr>
            <w:r>
              <w:rPr>
                <w:sz w:val="18"/>
                <w:szCs w:val="18"/>
              </w:rPr>
              <w:t xml:space="preserve">studio-api</w:t>
            </w:r>
          </w:p>
        </w:tc>
        <w:tc>
          <w:tcPr>
            <w:tcW w:type="dxa" w:w="700"/>
            <w:shd w:fill="FFFFFF" w:val="clear"/>
          </w:tcPr>
          <w:p>
            <w:pPr>
              <w:spacing w:after="60" w:before="60"/>
            </w:pPr>
            <w:r>
              <w:rPr>
                <w:sz w:val="18"/>
                <w:szCs w:val="18"/>
              </w:rPr>
              <w:t xml:space="preserve">T1</w:t>
            </w:r>
          </w:p>
        </w:tc>
        <w:tc>
          <w:tcPr>
            <w:tcW w:type="dxa" w:w="1800"/>
            <w:shd w:fill="FFFFFF" w:val="clear"/>
          </w:tcPr>
          <w:p>
            <w:pPr>
              <w:spacing w:after="60" w:before="60"/>
            </w:pPr>
            <w:r>
              <w:rPr>
                <w:sz w:val="18"/>
                <w:szCs w:val="18"/>
              </w:rPr>
              <w:t xml:space="preserve">HTTP</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512 MB</w:t>
            </w:r>
          </w:p>
        </w:tc>
        <w:tc>
          <w:tcPr>
            <w:tcW w:type="dxa" w:w="600"/>
            <w:shd w:fill="FFFFFF" w:val="clear"/>
          </w:tcPr>
          <w:p>
            <w:pPr>
              <w:spacing w:after="60" w:before="60"/>
            </w:pPr>
            <w:r>
              <w:rPr>
                <w:sz w:val="18"/>
                <w:szCs w:val="18"/>
              </w:rPr>
              <w:t xml:space="preserve">1</w:t>
            </w:r>
          </w:p>
        </w:tc>
        <w:tc>
          <w:tcPr>
            <w:tcW w:type="dxa" w:w="2260"/>
            <w:shd w:fill="FFFFFF" w:val="clear"/>
          </w:tcPr>
          <w:p>
            <w:pPr>
              <w:spacing w:after="60" w:before="60"/>
            </w:pPr>
            <w:r>
              <w:rPr>
                <w:sz w:val="18"/>
                <w:szCs w:val="18"/>
              </w:rPr>
              <w:t xml:space="preserve">Green PM Studio admin API</w:t>
            </w:r>
          </w:p>
        </w:tc>
      </w:tr>
      <w:tr>
        <w:tc>
          <w:tcPr>
            <w:tcW w:type="dxa" w:w="2500"/>
            <w:shd w:fill="E8F5EE" w:val="clear"/>
          </w:tcPr>
          <w:p>
            <w:pPr>
              <w:spacing w:after="60" w:before="60"/>
            </w:pPr>
            <w:r>
              <w:rPr>
                <w:sz w:val="18"/>
                <w:szCs w:val="18"/>
              </w:rPr>
              <w:t xml:space="preserve">engine-evidence</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1 GB</w:t>
            </w:r>
          </w:p>
        </w:tc>
        <w:tc>
          <w:tcPr>
            <w:tcW w:type="dxa" w:w="600"/>
            <w:shd w:fill="E8F5EE" w:val="clear"/>
          </w:tcPr>
          <w:p>
            <w:pPr>
              <w:spacing w:after="60" w:before="60"/>
            </w:pPr>
            <w:r>
              <w:rPr>
                <w:sz w:val="18"/>
                <w:szCs w:val="18"/>
              </w:rPr>
              <w:t xml:space="preserve">2</w:t>
            </w:r>
          </w:p>
        </w:tc>
        <w:tc>
          <w:tcPr>
            <w:tcW w:type="dxa" w:w="2260"/>
            <w:shd w:fill="E8F5EE" w:val="clear"/>
          </w:tcPr>
          <w:p>
            <w:pPr>
              <w:spacing w:after="60" w:before="60"/>
            </w:pPr>
            <w:r>
              <w:rPr>
                <w:sz w:val="18"/>
                <w:szCs w:val="18"/>
              </w:rPr>
              <w:t xml:space="preserve">Evidence ingestion &amp; scoring</w:t>
            </w:r>
          </w:p>
        </w:tc>
      </w:tr>
      <w:tr>
        <w:tc>
          <w:tcPr>
            <w:tcW w:type="dxa" w:w="2500"/>
            <w:shd w:fill="FFFFFF" w:val="clear"/>
          </w:tcPr>
          <w:p>
            <w:pPr>
              <w:spacing w:after="60" w:before="60"/>
            </w:pPr>
            <w:r>
              <w:rPr>
                <w:sz w:val="18"/>
                <w:szCs w:val="18"/>
              </w:rPr>
              <w:t xml:space="preserve">engine-impact-analysis</w:t>
            </w:r>
          </w:p>
        </w:tc>
        <w:tc>
          <w:tcPr>
            <w:tcW w:type="dxa" w:w="700"/>
            <w:shd w:fill="FFFFFF" w:val="clear"/>
          </w:tcPr>
          <w:p>
            <w:pPr>
              <w:spacing w:after="60" w:before="60"/>
            </w:pPr>
            <w:r>
              <w:rPr>
                <w:sz w:val="18"/>
                <w:szCs w:val="18"/>
              </w:rPr>
              <w:t xml:space="preserve">T2</w:t>
            </w:r>
          </w:p>
        </w:tc>
        <w:tc>
          <w:tcPr>
            <w:tcW w:type="dxa" w:w="1800"/>
            <w:shd w:fill="FFFFFF" w:val="clear"/>
          </w:tcPr>
          <w:p>
            <w:pPr>
              <w:spacing w:after="60" w:before="60"/>
            </w:pPr>
            <w:r>
              <w:rPr>
                <w:sz w:val="18"/>
                <w:szCs w:val="18"/>
              </w:rPr>
              <w:t xml:space="preserve">Pub/Sub</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1 GB</w:t>
            </w:r>
          </w:p>
        </w:tc>
        <w:tc>
          <w:tcPr>
            <w:tcW w:type="dxa" w:w="600"/>
            <w:shd w:fill="FFFFFF" w:val="clear"/>
          </w:tcPr>
          <w:p>
            <w:pPr>
              <w:spacing w:after="60" w:before="60"/>
            </w:pPr>
            <w:r>
              <w:rPr>
                <w:sz w:val="18"/>
                <w:szCs w:val="18"/>
              </w:rPr>
              <w:t xml:space="preserve">2</w:t>
            </w:r>
          </w:p>
        </w:tc>
        <w:tc>
          <w:tcPr>
            <w:tcW w:type="dxa" w:w="2260"/>
            <w:shd w:fill="FFFFFF" w:val="clear"/>
          </w:tcPr>
          <w:p>
            <w:pPr>
              <w:spacing w:after="60" w:before="60"/>
            </w:pPr>
            <w:r>
              <w:rPr>
                <w:sz w:val="18"/>
                <w:szCs w:val="18"/>
              </w:rPr>
              <w:t xml:space="preserve">Cascading impact traversal</w:t>
            </w:r>
          </w:p>
        </w:tc>
      </w:tr>
      <w:tr>
        <w:tc>
          <w:tcPr>
            <w:tcW w:type="dxa" w:w="2500"/>
            <w:shd w:fill="E8F5EE" w:val="clear"/>
          </w:tcPr>
          <w:p>
            <w:pPr>
              <w:spacing w:after="60" w:before="60"/>
            </w:pPr>
            <w:r>
              <w:rPr>
                <w:sz w:val="18"/>
                <w:szCs w:val="18"/>
              </w:rPr>
              <w:t xml:space="preserve">engine-dependency-chain</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1 GB</w:t>
            </w:r>
          </w:p>
        </w:tc>
        <w:tc>
          <w:tcPr>
            <w:tcW w:type="dxa" w:w="600"/>
            <w:shd w:fill="E8F5EE" w:val="clear"/>
          </w:tcPr>
          <w:p>
            <w:pPr>
              <w:spacing w:after="60" w:before="60"/>
            </w:pPr>
            <w:r>
              <w:rPr>
                <w:sz w:val="18"/>
                <w:szCs w:val="18"/>
              </w:rPr>
              <w:t xml:space="preserve">2</w:t>
            </w:r>
          </w:p>
        </w:tc>
        <w:tc>
          <w:tcPr>
            <w:tcW w:type="dxa" w:w="2260"/>
            <w:shd w:fill="E8F5EE" w:val="clear"/>
          </w:tcPr>
          <w:p>
            <w:pPr>
              <w:spacing w:after="60" w:before="60"/>
            </w:pPr>
            <w:r>
              <w:rPr>
                <w:sz w:val="18"/>
                <w:szCs w:val="18"/>
              </w:rPr>
              <w:t xml:space="preserve">CPM, float, constraint analysis</w:t>
            </w:r>
          </w:p>
        </w:tc>
      </w:tr>
      <w:tr>
        <w:tc>
          <w:tcPr>
            <w:tcW w:type="dxa" w:w="2500"/>
            <w:shd w:fill="FFFFFF" w:val="clear"/>
          </w:tcPr>
          <w:p>
            <w:pPr>
              <w:spacing w:after="60" w:before="60"/>
            </w:pPr>
            <w:r>
              <w:rPr>
                <w:sz w:val="18"/>
                <w:szCs w:val="18"/>
              </w:rPr>
              <w:t xml:space="preserve">engine-org-alignment</w:t>
            </w:r>
          </w:p>
        </w:tc>
        <w:tc>
          <w:tcPr>
            <w:tcW w:type="dxa" w:w="700"/>
            <w:shd w:fill="FFFFFF" w:val="clear"/>
          </w:tcPr>
          <w:p>
            <w:pPr>
              <w:spacing w:after="60" w:before="60"/>
            </w:pPr>
            <w:r>
              <w:rPr>
                <w:sz w:val="18"/>
                <w:szCs w:val="18"/>
              </w:rPr>
              <w:t xml:space="preserve">T2</w:t>
            </w:r>
          </w:p>
        </w:tc>
        <w:tc>
          <w:tcPr>
            <w:tcW w:type="dxa" w:w="1800"/>
            <w:shd w:fill="FFFFFF" w:val="clear"/>
          </w:tcPr>
          <w:p>
            <w:pPr>
              <w:spacing w:after="60" w:before="60"/>
            </w:pPr>
            <w:r>
              <w:rPr>
                <w:sz w:val="18"/>
                <w:szCs w:val="18"/>
              </w:rPr>
              <w:t xml:space="preserve">Pub/Sub</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512 MB</w:t>
            </w:r>
          </w:p>
        </w:tc>
        <w:tc>
          <w:tcPr>
            <w:tcW w:type="dxa" w:w="600"/>
            <w:shd w:fill="FFFFFF" w:val="clear"/>
          </w:tcPr>
          <w:p>
            <w:pPr>
              <w:spacing w:after="60" w:before="60"/>
            </w:pPr>
            <w:r>
              <w:rPr>
                <w:sz w:val="18"/>
                <w:szCs w:val="18"/>
              </w:rPr>
              <w:t xml:space="preserve">1</w:t>
            </w:r>
          </w:p>
        </w:tc>
        <w:tc>
          <w:tcPr>
            <w:tcW w:type="dxa" w:w="2260"/>
            <w:shd w:fill="FFFFFF" w:val="clear"/>
          </w:tcPr>
          <w:p>
            <w:pPr>
              <w:spacing w:after="60" w:before="60"/>
            </w:pPr>
            <w:r>
              <w:rPr>
                <w:sz w:val="18"/>
                <w:szCs w:val="18"/>
              </w:rPr>
              <w:t xml:space="preserve">Stakeholder alignment tracking</w:t>
            </w:r>
          </w:p>
        </w:tc>
      </w:tr>
      <w:tr>
        <w:tc>
          <w:tcPr>
            <w:tcW w:type="dxa" w:w="2500"/>
            <w:shd w:fill="E8F5EE" w:val="clear"/>
          </w:tcPr>
          <w:p>
            <w:pPr>
              <w:spacing w:after="60" w:before="60"/>
            </w:pPr>
            <w:r>
              <w:rPr>
                <w:sz w:val="18"/>
                <w:szCs w:val="18"/>
              </w:rPr>
              <w:t xml:space="preserve">engine-sync-consistency</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512 MB</w:t>
            </w:r>
          </w:p>
        </w:tc>
        <w:tc>
          <w:tcPr>
            <w:tcW w:type="dxa" w:w="600"/>
            <w:shd w:fill="E8F5EE" w:val="clear"/>
          </w:tcPr>
          <w:p>
            <w:pPr>
              <w:spacing w:after="60" w:before="60"/>
            </w:pPr>
            <w:r>
              <w:rPr>
                <w:sz w:val="18"/>
                <w:szCs w:val="18"/>
              </w:rPr>
              <w:t xml:space="preserve">1</w:t>
            </w:r>
          </w:p>
        </w:tc>
        <w:tc>
          <w:tcPr>
            <w:tcW w:type="dxa" w:w="2260"/>
            <w:shd w:fill="E8F5EE" w:val="clear"/>
          </w:tcPr>
          <w:p>
            <w:pPr>
              <w:spacing w:after="60" w:before="60"/>
            </w:pPr>
            <w:r>
              <w:rPr>
                <w:sz w:val="18"/>
                <w:szCs w:val="18"/>
              </w:rPr>
              <w:t xml:space="preserve">Contradiction detection</w:t>
            </w:r>
          </w:p>
        </w:tc>
      </w:tr>
      <w:tr>
        <w:tc>
          <w:tcPr>
            <w:tcW w:type="dxa" w:w="2500"/>
            <w:shd w:fill="FFFFFF" w:val="clear"/>
          </w:tcPr>
          <w:p>
            <w:pPr>
              <w:spacing w:after="60" w:before="60"/>
            </w:pPr>
            <w:r>
              <w:rPr>
                <w:sz w:val="18"/>
                <w:szCs w:val="18"/>
              </w:rPr>
              <w:t xml:space="preserve">engine-vendor-intelligence</w:t>
            </w:r>
          </w:p>
        </w:tc>
        <w:tc>
          <w:tcPr>
            <w:tcW w:type="dxa" w:w="700"/>
            <w:shd w:fill="FFFFFF" w:val="clear"/>
          </w:tcPr>
          <w:p>
            <w:pPr>
              <w:spacing w:after="60" w:before="60"/>
            </w:pPr>
            <w:r>
              <w:rPr>
                <w:sz w:val="18"/>
                <w:szCs w:val="18"/>
              </w:rPr>
              <w:t xml:space="preserve">T2</w:t>
            </w:r>
          </w:p>
        </w:tc>
        <w:tc>
          <w:tcPr>
            <w:tcW w:type="dxa" w:w="1800"/>
            <w:shd w:fill="FFFFFF" w:val="clear"/>
          </w:tcPr>
          <w:p>
            <w:pPr>
              <w:spacing w:after="60" w:before="60"/>
            </w:pPr>
            <w:r>
              <w:rPr>
                <w:sz w:val="18"/>
                <w:szCs w:val="18"/>
              </w:rPr>
              <w:t xml:space="preserve">Pub/Sub</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512 MB</w:t>
            </w:r>
          </w:p>
        </w:tc>
        <w:tc>
          <w:tcPr>
            <w:tcW w:type="dxa" w:w="600"/>
            <w:shd w:fill="FFFFFF" w:val="clear"/>
          </w:tcPr>
          <w:p>
            <w:pPr>
              <w:spacing w:after="60" w:before="60"/>
            </w:pPr>
            <w:r>
              <w:rPr>
                <w:sz w:val="18"/>
                <w:szCs w:val="18"/>
              </w:rPr>
              <w:t xml:space="preserve">1</w:t>
            </w:r>
          </w:p>
        </w:tc>
        <w:tc>
          <w:tcPr>
            <w:tcW w:type="dxa" w:w="2260"/>
            <w:shd w:fill="FFFFFF" w:val="clear"/>
          </w:tcPr>
          <w:p>
            <w:pPr>
              <w:spacing w:after="60" w:before="60"/>
            </w:pPr>
            <w:r>
              <w:rPr>
                <w:sz w:val="18"/>
                <w:szCs w:val="18"/>
              </w:rPr>
              <w:t xml:space="preserve">Vendor scoring (6 dimensions)</w:t>
            </w:r>
          </w:p>
        </w:tc>
      </w:tr>
      <w:tr>
        <w:tc>
          <w:tcPr>
            <w:tcW w:type="dxa" w:w="2500"/>
            <w:shd w:fill="E8F5EE" w:val="clear"/>
          </w:tcPr>
          <w:p>
            <w:pPr>
              <w:spacing w:after="60" w:before="60"/>
            </w:pPr>
            <w:r>
              <w:rPr>
                <w:sz w:val="18"/>
                <w:szCs w:val="18"/>
              </w:rPr>
              <w:t xml:space="preserve">engine-supply-chain</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512 MB</w:t>
            </w:r>
          </w:p>
        </w:tc>
        <w:tc>
          <w:tcPr>
            <w:tcW w:type="dxa" w:w="600"/>
            <w:shd w:fill="E8F5EE" w:val="clear"/>
          </w:tcPr>
          <w:p>
            <w:pPr>
              <w:spacing w:after="60" w:before="60"/>
            </w:pPr>
            <w:r>
              <w:rPr>
                <w:sz w:val="18"/>
                <w:szCs w:val="18"/>
              </w:rPr>
              <w:t xml:space="preserve">1</w:t>
            </w:r>
          </w:p>
        </w:tc>
        <w:tc>
          <w:tcPr>
            <w:tcW w:type="dxa" w:w="2260"/>
            <w:shd w:fill="E8F5EE" w:val="clear"/>
          </w:tcPr>
          <w:p>
            <w:pPr>
              <w:spacing w:after="60" w:before="60"/>
            </w:pPr>
            <w:r>
              <w:rPr>
                <w:sz w:val="18"/>
                <w:szCs w:val="18"/>
              </w:rPr>
              <w:t xml:space="preserve">Material readiness tracking</w:t>
            </w:r>
          </w:p>
        </w:tc>
      </w:tr>
      <w:tr>
        <w:tc>
          <w:tcPr>
            <w:tcW w:type="dxa" w:w="2500"/>
            <w:shd w:fill="FFFFFF" w:val="clear"/>
          </w:tcPr>
          <w:p>
            <w:pPr>
              <w:spacing w:after="60" w:before="60"/>
            </w:pPr>
            <w:r>
              <w:rPr>
                <w:sz w:val="18"/>
                <w:szCs w:val="18"/>
              </w:rPr>
              <w:t xml:space="preserve">engine-risk</w:t>
            </w:r>
          </w:p>
        </w:tc>
        <w:tc>
          <w:tcPr>
            <w:tcW w:type="dxa" w:w="700"/>
            <w:shd w:fill="FFFFFF" w:val="clear"/>
          </w:tcPr>
          <w:p>
            <w:pPr>
              <w:spacing w:after="60" w:before="60"/>
            </w:pPr>
            <w:r>
              <w:rPr>
                <w:sz w:val="18"/>
                <w:szCs w:val="18"/>
              </w:rPr>
              <w:t xml:space="preserve">T2</w:t>
            </w:r>
          </w:p>
        </w:tc>
        <w:tc>
          <w:tcPr>
            <w:tcW w:type="dxa" w:w="1800"/>
            <w:shd w:fill="FFFFFF" w:val="clear"/>
          </w:tcPr>
          <w:p>
            <w:pPr>
              <w:spacing w:after="60" w:before="60"/>
            </w:pPr>
            <w:r>
              <w:rPr>
                <w:sz w:val="18"/>
                <w:szCs w:val="18"/>
              </w:rPr>
              <w:t xml:space="preserve">Pub/Sub</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1 GB</w:t>
            </w:r>
          </w:p>
        </w:tc>
        <w:tc>
          <w:tcPr>
            <w:tcW w:type="dxa" w:w="600"/>
            <w:shd w:fill="FFFFFF" w:val="clear"/>
          </w:tcPr>
          <w:p>
            <w:pPr>
              <w:spacing w:after="60" w:before="60"/>
            </w:pPr>
            <w:r>
              <w:rPr>
                <w:sz w:val="18"/>
                <w:szCs w:val="18"/>
              </w:rPr>
              <w:t xml:space="preserve">2</w:t>
            </w:r>
          </w:p>
        </w:tc>
        <w:tc>
          <w:tcPr>
            <w:tcW w:type="dxa" w:w="2260"/>
            <w:shd w:fill="FFFFFF" w:val="clear"/>
          </w:tcPr>
          <w:p>
            <w:pPr>
              <w:spacing w:after="60" w:before="60"/>
            </w:pPr>
            <w:r>
              <w:rPr>
                <w:sz w:val="18"/>
                <w:szCs w:val="18"/>
              </w:rPr>
              <w:t xml:space="preserve">Risk quantification &amp; monitoring</w:t>
            </w:r>
          </w:p>
        </w:tc>
      </w:tr>
      <w:tr>
        <w:tc>
          <w:tcPr>
            <w:tcW w:type="dxa" w:w="2500"/>
            <w:shd w:fill="E8F5EE" w:val="clear"/>
          </w:tcPr>
          <w:p>
            <w:pPr>
              <w:spacing w:after="60" w:before="60"/>
            </w:pPr>
            <w:r>
              <w:rPr>
                <w:sz w:val="18"/>
                <w:szCs w:val="18"/>
              </w:rPr>
              <w:t xml:space="preserve">engine-forecasting</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1 GB</w:t>
            </w:r>
          </w:p>
        </w:tc>
        <w:tc>
          <w:tcPr>
            <w:tcW w:type="dxa" w:w="600"/>
            <w:shd w:fill="E8F5EE" w:val="clear"/>
          </w:tcPr>
          <w:p>
            <w:pPr>
              <w:spacing w:after="60" w:before="60"/>
            </w:pPr>
            <w:r>
              <w:rPr>
                <w:sz w:val="18"/>
                <w:szCs w:val="18"/>
              </w:rPr>
              <w:t xml:space="preserve">2</w:t>
            </w:r>
          </w:p>
        </w:tc>
        <w:tc>
          <w:tcPr>
            <w:tcW w:type="dxa" w:w="2260"/>
            <w:shd w:fill="E8F5EE" w:val="clear"/>
          </w:tcPr>
          <w:p>
            <w:pPr>
              <w:spacing w:after="60" w:before="60"/>
            </w:pPr>
            <w:r>
              <w:rPr>
                <w:sz w:val="18"/>
                <w:szCs w:val="18"/>
              </w:rPr>
              <w:t xml:space="preserve">Multi-domain forecasting</w:t>
            </w:r>
          </w:p>
        </w:tc>
      </w:tr>
      <w:tr>
        <w:tc>
          <w:tcPr>
            <w:tcW w:type="dxa" w:w="2500"/>
            <w:shd w:fill="FFFFFF" w:val="clear"/>
          </w:tcPr>
          <w:p>
            <w:pPr>
              <w:spacing w:after="60" w:before="60"/>
            </w:pPr>
            <w:r>
              <w:rPr>
                <w:sz w:val="18"/>
                <w:szCs w:val="18"/>
              </w:rPr>
              <w:t xml:space="preserve">engine-recommendation</w:t>
            </w:r>
          </w:p>
        </w:tc>
        <w:tc>
          <w:tcPr>
            <w:tcW w:type="dxa" w:w="700"/>
            <w:shd w:fill="FFFFFF" w:val="clear"/>
          </w:tcPr>
          <w:p>
            <w:pPr>
              <w:spacing w:after="60" w:before="60"/>
            </w:pPr>
            <w:r>
              <w:rPr>
                <w:sz w:val="18"/>
                <w:szCs w:val="18"/>
              </w:rPr>
              <w:t xml:space="preserve">T2</w:t>
            </w:r>
          </w:p>
        </w:tc>
        <w:tc>
          <w:tcPr>
            <w:tcW w:type="dxa" w:w="1800"/>
            <w:shd w:fill="FFFFFF" w:val="clear"/>
          </w:tcPr>
          <w:p>
            <w:pPr>
              <w:spacing w:after="60" w:before="60"/>
            </w:pPr>
            <w:r>
              <w:rPr>
                <w:sz w:val="18"/>
                <w:szCs w:val="18"/>
              </w:rPr>
              <w:t xml:space="preserve">Pub/Sub</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512 MB</w:t>
            </w:r>
          </w:p>
        </w:tc>
        <w:tc>
          <w:tcPr>
            <w:tcW w:type="dxa" w:w="600"/>
            <w:shd w:fill="FFFFFF" w:val="clear"/>
          </w:tcPr>
          <w:p>
            <w:pPr>
              <w:spacing w:after="60" w:before="60"/>
            </w:pPr>
            <w:r>
              <w:rPr>
                <w:sz w:val="18"/>
                <w:szCs w:val="18"/>
              </w:rPr>
              <w:t xml:space="preserve">1</w:t>
            </w:r>
          </w:p>
        </w:tc>
        <w:tc>
          <w:tcPr>
            <w:tcW w:type="dxa" w:w="2260"/>
            <w:shd w:fill="FFFFFF" w:val="clear"/>
          </w:tcPr>
          <w:p>
            <w:pPr>
              <w:spacing w:after="60" w:before="60"/>
            </w:pPr>
            <w:r>
              <w:rPr>
                <w:sz w:val="18"/>
                <w:szCs w:val="18"/>
              </w:rPr>
              <w:t xml:space="preserve">Ranked action synthesis</w:t>
            </w:r>
          </w:p>
        </w:tc>
      </w:tr>
      <w:tr>
        <w:tc>
          <w:tcPr>
            <w:tcW w:type="dxa" w:w="2500"/>
            <w:shd w:fill="E8F5EE" w:val="clear"/>
          </w:tcPr>
          <w:p>
            <w:pPr>
              <w:spacing w:after="60" w:before="60"/>
            </w:pPr>
            <w:r>
              <w:rPr>
                <w:sz w:val="18"/>
                <w:szCs w:val="18"/>
              </w:rPr>
              <w:t xml:space="preserve">engine-decision</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512 MB</w:t>
            </w:r>
          </w:p>
        </w:tc>
        <w:tc>
          <w:tcPr>
            <w:tcW w:type="dxa" w:w="600"/>
            <w:shd w:fill="E8F5EE" w:val="clear"/>
          </w:tcPr>
          <w:p>
            <w:pPr>
              <w:spacing w:after="60" w:before="60"/>
            </w:pPr>
            <w:r>
              <w:rPr>
                <w:sz w:val="18"/>
                <w:szCs w:val="18"/>
              </w:rPr>
              <w:t xml:space="preserve">1</w:t>
            </w:r>
          </w:p>
        </w:tc>
        <w:tc>
          <w:tcPr>
            <w:tcW w:type="dxa" w:w="2260"/>
            <w:shd w:fill="E8F5EE" w:val="clear"/>
          </w:tcPr>
          <w:p>
            <w:pPr>
              <w:spacing w:after="60" w:before="60"/>
            </w:pPr>
            <w:r>
              <w:rPr>
                <w:sz w:val="18"/>
                <w:szCs w:val="18"/>
              </w:rPr>
              <w:t xml:space="preserve">10-state decision lifecycle</w:t>
            </w:r>
          </w:p>
        </w:tc>
      </w:tr>
      <w:tr>
        <w:tc>
          <w:tcPr>
            <w:tcW w:type="dxa" w:w="2500"/>
            <w:shd w:fill="FFFFFF" w:val="clear"/>
          </w:tcPr>
          <w:p>
            <w:pPr>
              <w:spacing w:after="60" w:before="60"/>
            </w:pPr>
            <w:r>
              <w:rPr>
                <w:sz w:val="18"/>
                <w:szCs w:val="18"/>
              </w:rPr>
              <w:t xml:space="preserve">engine-reporting</w:t>
            </w:r>
          </w:p>
        </w:tc>
        <w:tc>
          <w:tcPr>
            <w:tcW w:type="dxa" w:w="700"/>
            <w:shd w:fill="FFFFFF" w:val="clear"/>
          </w:tcPr>
          <w:p>
            <w:pPr>
              <w:spacing w:after="60" w:before="60"/>
            </w:pPr>
            <w:r>
              <w:rPr>
                <w:sz w:val="18"/>
                <w:szCs w:val="18"/>
              </w:rPr>
              <w:t xml:space="preserve">T2</w:t>
            </w:r>
          </w:p>
        </w:tc>
        <w:tc>
          <w:tcPr>
            <w:tcW w:type="dxa" w:w="1800"/>
            <w:shd w:fill="FFFFFF" w:val="clear"/>
          </w:tcPr>
          <w:p>
            <w:pPr>
              <w:spacing w:after="60" w:before="60"/>
            </w:pPr>
            <w:r>
              <w:rPr>
                <w:sz w:val="18"/>
                <w:szCs w:val="18"/>
              </w:rPr>
              <w:t xml:space="preserve">Pub/Sub</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1 GB</w:t>
            </w:r>
          </w:p>
        </w:tc>
        <w:tc>
          <w:tcPr>
            <w:tcW w:type="dxa" w:w="600"/>
            <w:shd w:fill="FFFFFF" w:val="clear"/>
          </w:tcPr>
          <w:p>
            <w:pPr>
              <w:spacing w:after="60" w:before="60"/>
            </w:pPr>
            <w:r>
              <w:rPr>
                <w:sz w:val="18"/>
                <w:szCs w:val="18"/>
              </w:rPr>
              <w:t xml:space="preserve">2</w:t>
            </w:r>
          </w:p>
        </w:tc>
        <w:tc>
          <w:tcPr>
            <w:tcW w:type="dxa" w:w="2260"/>
            <w:shd w:fill="FFFFFF" w:val="clear"/>
          </w:tcPr>
          <w:p>
            <w:pPr>
              <w:spacing w:after="60" w:before="60"/>
            </w:pPr>
            <w:r>
              <w:rPr>
                <w:sz w:val="18"/>
                <w:szCs w:val="18"/>
              </w:rPr>
              <w:t xml:space="preserve">Structured report generation</w:t>
            </w:r>
          </w:p>
        </w:tc>
      </w:tr>
      <w:tr>
        <w:tc>
          <w:tcPr>
            <w:tcW w:type="dxa" w:w="2500"/>
            <w:shd w:fill="E8F5EE" w:val="clear"/>
          </w:tcPr>
          <w:p>
            <w:pPr>
              <w:spacing w:after="60" w:before="60"/>
            </w:pPr>
            <w:r>
              <w:rPr>
                <w:sz w:val="18"/>
                <w:szCs w:val="18"/>
              </w:rPr>
              <w:t xml:space="preserve">engine-ai-orchestration</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1 GB</w:t>
            </w:r>
          </w:p>
        </w:tc>
        <w:tc>
          <w:tcPr>
            <w:tcW w:type="dxa" w:w="600"/>
            <w:shd w:fill="E8F5EE" w:val="clear"/>
          </w:tcPr>
          <w:p>
            <w:pPr>
              <w:spacing w:after="60" w:before="60"/>
            </w:pPr>
            <w:r>
              <w:rPr>
                <w:sz w:val="18"/>
                <w:szCs w:val="18"/>
              </w:rPr>
              <w:t xml:space="preserve">2</w:t>
            </w:r>
          </w:p>
        </w:tc>
        <w:tc>
          <w:tcPr>
            <w:tcW w:type="dxa" w:w="2260"/>
            <w:shd w:fill="E8F5EE" w:val="clear"/>
          </w:tcPr>
          <w:p>
            <w:pPr>
              <w:spacing w:after="60" w:before="60"/>
            </w:pPr>
            <w:r>
              <w:rPr>
                <w:sz w:val="18"/>
                <w:szCs w:val="18"/>
              </w:rPr>
              <w:t xml:space="preserve">NL query routing &amp; AI Copilot</w:t>
            </w:r>
          </w:p>
        </w:tc>
      </w:tr>
      <w:tr>
        <w:tc>
          <w:tcPr>
            <w:tcW w:type="dxa" w:w="2500"/>
            <w:shd w:fill="FFFFFF" w:val="clear"/>
          </w:tcPr>
          <w:p>
            <w:pPr>
              <w:spacing w:after="60" w:before="60"/>
            </w:pPr>
            <w:r>
              <w:rPr>
                <w:sz w:val="18"/>
                <w:szCs w:val="18"/>
              </w:rPr>
              <w:t xml:space="preserve">engine-readiness</w:t>
            </w:r>
          </w:p>
        </w:tc>
        <w:tc>
          <w:tcPr>
            <w:tcW w:type="dxa" w:w="700"/>
            <w:shd w:fill="FFFFFF" w:val="clear"/>
          </w:tcPr>
          <w:p>
            <w:pPr>
              <w:spacing w:after="60" w:before="60"/>
            </w:pPr>
            <w:r>
              <w:rPr>
                <w:sz w:val="18"/>
                <w:szCs w:val="18"/>
              </w:rPr>
              <w:t xml:space="preserve">T2</w:t>
            </w:r>
          </w:p>
        </w:tc>
        <w:tc>
          <w:tcPr>
            <w:tcW w:type="dxa" w:w="1800"/>
            <w:shd w:fill="FFFFFF" w:val="clear"/>
          </w:tcPr>
          <w:p>
            <w:pPr>
              <w:spacing w:after="60" w:before="60"/>
            </w:pPr>
            <w:r>
              <w:rPr>
                <w:sz w:val="18"/>
                <w:szCs w:val="18"/>
              </w:rPr>
              <w:t xml:space="preserve">Pub/Sub</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512 MB</w:t>
            </w:r>
          </w:p>
        </w:tc>
        <w:tc>
          <w:tcPr>
            <w:tcW w:type="dxa" w:w="600"/>
            <w:shd w:fill="FFFFFF" w:val="clear"/>
          </w:tcPr>
          <w:p>
            <w:pPr>
              <w:spacing w:after="60" w:before="60"/>
            </w:pPr>
            <w:r>
              <w:rPr>
                <w:sz w:val="18"/>
                <w:szCs w:val="18"/>
              </w:rPr>
              <w:t xml:space="preserve">1</w:t>
            </w:r>
          </w:p>
        </w:tc>
        <w:tc>
          <w:tcPr>
            <w:tcW w:type="dxa" w:w="2260"/>
            <w:shd w:fill="FFFFFF" w:val="clear"/>
          </w:tcPr>
          <w:p>
            <w:pPr>
              <w:spacing w:after="60" w:before="60"/>
            </w:pPr>
            <w:r>
              <w:rPr>
                <w:sz w:val="18"/>
                <w:szCs w:val="18"/>
              </w:rPr>
              <w:t xml:space="preserve">Readiness gate evaluation [NEW]</w:t>
            </w:r>
          </w:p>
        </w:tc>
      </w:tr>
      <w:tr>
        <w:tc>
          <w:tcPr>
            <w:tcW w:type="dxa" w:w="2500"/>
            <w:shd w:fill="E8F5EE" w:val="clear"/>
          </w:tcPr>
          <w:p>
            <w:pPr>
              <w:spacing w:after="60" w:before="60"/>
            </w:pPr>
            <w:r>
              <w:rPr>
                <w:sz w:val="18"/>
                <w:szCs w:val="18"/>
              </w:rPr>
              <w:t xml:space="preserve">engine-simulation</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2 GB</w:t>
            </w:r>
          </w:p>
        </w:tc>
        <w:tc>
          <w:tcPr>
            <w:tcW w:type="dxa" w:w="600"/>
            <w:shd w:fill="E8F5EE" w:val="clear"/>
          </w:tcPr>
          <w:p>
            <w:pPr>
              <w:spacing w:after="60" w:before="60"/>
            </w:pPr>
            <w:r>
              <w:rPr>
                <w:sz w:val="18"/>
                <w:szCs w:val="18"/>
              </w:rPr>
              <w:t xml:space="preserve">2</w:t>
            </w:r>
          </w:p>
        </w:tc>
        <w:tc>
          <w:tcPr>
            <w:tcW w:type="dxa" w:w="2260"/>
            <w:shd w:fill="E8F5EE" w:val="clear"/>
          </w:tcPr>
          <w:p>
            <w:pPr>
              <w:spacing w:after="60" w:before="60"/>
            </w:pPr>
            <w:r>
              <w:rPr>
                <w:sz w:val="18"/>
                <w:szCs w:val="18"/>
              </w:rPr>
              <w:t xml:space="preserve">What-if scenario modeling [NEW]</w:t>
            </w:r>
          </w:p>
        </w:tc>
      </w:tr>
      <w:tr>
        <w:tc>
          <w:tcPr>
            <w:tcW w:type="dxa" w:w="2500"/>
            <w:shd w:fill="FFFFFF" w:val="clear"/>
          </w:tcPr>
          <w:p>
            <w:pPr>
              <w:spacing w:after="60" w:before="60"/>
            </w:pPr>
            <w:r>
              <w:rPr>
                <w:sz w:val="18"/>
                <w:szCs w:val="18"/>
              </w:rPr>
              <w:t xml:space="preserve">engine-coordination</w:t>
            </w:r>
          </w:p>
        </w:tc>
        <w:tc>
          <w:tcPr>
            <w:tcW w:type="dxa" w:w="700"/>
            <w:shd w:fill="FFFFFF" w:val="clear"/>
          </w:tcPr>
          <w:p>
            <w:pPr>
              <w:spacing w:after="60" w:before="60"/>
            </w:pPr>
            <w:r>
              <w:rPr>
                <w:sz w:val="18"/>
                <w:szCs w:val="18"/>
              </w:rPr>
              <w:t xml:space="preserve">T2</w:t>
            </w:r>
          </w:p>
        </w:tc>
        <w:tc>
          <w:tcPr>
            <w:tcW w:type="dxa" w:w="1800"/>
            <w:shd w:fill="FFFFFF" w:val="clear"/>
          </w:tcPr>
          <w:p>
            <w:pPr>
              <w:spacing w:after="60" w:before="60"/>
            </w:pPr>
            <w:r>
              <w:rPr>
                <w:sz w:val="18"/>
                <w:szCs w:val="18"/>
              </w:rPr>
              <w:t xml:space="preserve">Pub/Sub</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512 MB</w:t>
            </w:r>
          </w:p>
        </w:tc>
        <w:tc>
          <w:tcPr>
            <w:tcW w:type="dxa" w:w="600"/>
            <w:shd w:fill="FFFFFF" w:val="clear"/>
          </w:tcPr>
          <w:p>
            <w:pPr>
              <w:spacing w:after="60" w:before="60"/>
            </w:pPr>
            <w:r>
              <w:rPr>
                <w:sz w:val="18"/>
                <w:szCs w:val="18"/>
              </w:rPr>
              <w:t xml:space="preserve">1</w:t>
            </w:r>
          </w:p>
        </w:tc>
        <w:tc>
          <w:tcPr>
            <w:tcW w:type="dxa" w:w="2260"/>
            <w:shd w:fill="FFFFFF" w:val="clear"/>
          </w:tcPr>
          <w:p>
            <w:pPr>
              <w:spacing w:after="60" w:before="60"/>
            </w:pPr>
            <w:r>
              <w:rPr>
                <w:sz w:val="18"/>
                <w:szCs w:val="18"/>
              </w:rPr>
              <w:t xml:space="preserve">Action close-loop tracking [NEW]</w:t>
            </w:r>
          </w:p>
        </w:tc>
      </w:tr>
      <w:tr>
        <w:tc>
          <w:tcPr>
            <w:tcW w:type="dxa" w:w="2500"/>
            <w:shd w:fill="E8F5EE" w:val="clear"/>
          </w:tcPr>
          <w:p>
            <w:pPr>
              <w:spacing w:after="60" w:before="60"/>
            </w:pPr>
            <w:r>
              <w:rPr>
                <w:sz w:val="18"/>
                <w:szCs w:val="18"/>
              </w:rPr>
              <w:t xml:space="preserve">engine-org-memory</w:t>
            </w:r>
          </w:p>
        </w:tc>
        <w:tc>
          <w:tcPr>
            <w:tcW w:type="dxa" w:w="700"/>
            <w:shd w:fill="E8F5EE" w:val="clear"/>
          </w:tcPr>
          <w:p>
            <w:pPr>
              <w:spacing w:after="60" w:before="60"/>
            </w:pPr>
            <w:r>
              <w:rPr>
                <w:sz w:val="18"/>
                <w:szCs w:val="18"/>
              </w:rPr>
              <w:t xml:space="preserve">T2</w:t>
            </w:r>
          </w:p>
        </w:tc>
        <w:tc>
          <w:tcPr>
            <w:tcW w:type="dxa" w:w="1800"/>
            <w:shd w:fill="E8F5EE" w:val="clear"/>
          </w:tcPr>
          <w:p>
            <w:pPr>
              <w:spacing w:after="60" w:before="60"/>
            </w:pPr>
            <w:r>
              <w:rPr>
                <w:sz w:val="18"/>
                <w:szCs w:val="18"/>
              </w:rPr>
              <w:t xml:space="preserve">Pub/Sub</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512 MB</w:t>
            </w:r>
          </w:p>
        </w:tc>
        <w:tc>
          <w:tcPr>
            <w:tcW w:type="dxa" w:w="600"/>
            <w:shd w:fill="E8F5EE" w:val="clear"/>
          </w:tcPr>
          <w:p>
            <w:pPr>
              <w:spacing w:after="60" w:before="60"/>
            </w:pPr>
            <w:r>
              <w:rPr>
                <w:sz w:val="18"/>
                <w:szCs w:val="18"/>
              </w:rPr>
              <w:t xml:space="preserve">1</w:t>
            </w:r>
          </w:p>
        </w:tc>
        <w:tc>
          <w:tcPr>
            <w:tcW w:type="dxa" w:w="2260"/>
            <w:shd w:fill="E8F5EE" w:val="clear"/>
          </w:tcPr>
          <w:p>
            <w:pPr>
              <w:spacing w:after="60" w:before="60"/>
            </w:pPr>
            <w:r>
              <w:rPr>
                <w:sz w:val="18"/>
                <w:szCs w:val="18"/>
              </w:rPr>
              <w:t xml:space="preserve">Institutional knowledge store [NEW]</w:t>
            </w:r>
          </w:p>
        </w:tc>
      </w:tr>
      <w:tr>
        <w:tc>
          <w:tcPr>
            <w:tcW w:type="dxa" w:w="2500"/>
            <w:shd w:fill="FFFFFF" w:val="clear"/>
          </w:tcPr>
          <w:p>
            <w:pPr>
              <w:spacing w:after="60" w:before="60"/>
            </w:pPr>
            <w:r>
              <w:rPr>
                <w:sz w:val="18"/>
                <w:szCs w:val="18"/>
              </w:rPr>
              <w:t xml:space="preserve">pig-query-service</w:t>
            </w:r>
          </w:p>
        </w:tc>
        <w:tc>
          <w:tcPr>
            <w:tcW w:type="dxa" w:w="700"/>
            <w:shd w:fill="FFFFFF" w:val="clear"/>
          </w:tcPr>
          <w:p>
            <w:pPr>
              <w:spacing w:after="60" w:before="60"/>
            </w:pPr>
            <w:r>
              <w:rPr>
                <w:sz w:val="18"/>
                <w:szCs w:val="18"/>
              </w:rPr>
              <w:t xml:space="preserve">T3</w:t>
            </w:r>
          </w:p>
        </w:tc>
        <w:tc>
          <w:tcPr>
            <w:tcW w:type="dxa" w:w="1800"/>
            <w:shd w:fill="FFFFFF" w:val="clear"/>
          </w:tcPr>
          <w:p>
            <w:pPr>
              <w:spacing w:after="60" w:before="60"/>
            </w:pPr>
            <w:r>
              <w:rPr>
                <w:sz w:val="18"/>
                <w:szCs w:val="18"/>
              </w:rPr>
              <w:t xml:space="preserve">HTTP/GraphQL</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1 GB</w:t>
            </w:r>
          </w:p>
        </w:tc>
        <w:tc>
          <w:tcPr>
            <w:tcW w:type="dxa" w:w="600"/>
            <w:shd w:fill="FFFFFF" w:val="clear"/>
          </w:tcPr>
          <w:p>
            <w:pPr>
              <w:spacing w:after="60" w:before="60"/>
            </w:pPr>
            <w:r>
              <w:rPr>
                <w:sz w:val="18"/>
                <w:szCs w:val="18"/>
              </w:rPr>
              <w:t xml:space="preserve">2</w:t>
            </w:r>
          </w:p>
        </w:tc>
        <w:tc>
          <w:tcPr>
            <w:tcW w:type="dxa" w:w="2260"/>
            <w:shd w:fill="FFFFFF" w:val="clear"/>
          </w:tcPr>
          <w:p>
            <w:pPr>
              <w:spacing w:after="60" w:before="60"/>
            </w:pPr>
            <w:r>
              <w:rPr>
                <w:sz w:val="18"/>
                <w:szCs w:val="18"/>
              </w:rPr>
              <w:t xml:space="preserve">GraphQL over PIG tables [NEW]</w:t>
            </w:r>
          </w:p>
        </w:tc>
      </w:tr>
      <w:tr>
        <w:tc>
          <w:tcPr>
            <w:tcW w:type="dxa" w:w="2500"/>
            <w:shd w:fill="E8F5EE" w:val="clear"/>
          </w:tcPr>
          <w:p>
            <w:pPr>
              <w:spacing w:after="60" w:before="60"/>
            </w:pPr>
            <w:r>
              <w:rPr>
                <w:sz w:val="18"/>
                <w:szCs w:val="18"/>
              </w:rPr>
              <w:t xml:space="preserve">evidence-processor</w:t>
            </w:r>
          </w:p>
        </w:tc>
        <w:tc>
          <w:tcPr>
            <w:tcW w:type="dxa" w:w="700"/>
            <w:shd w:fill="E8F5EE" w:val="clear"/>
          </w:tcPr>
          <w:p>
            <w:pPr>
              <w:spacing w:after="60" w:before="60"/>
            </w:pPr>
            <w:r>
              <w:rPr>
                <w:sz w:val="18"/>
                <w:szCs w:val="18"/>
              </w:rPr>
              <w:t xml:space="preserve">T3</w:t>
            </w:r>
          </w:p>
        </w:tc>
        <w:tc>
          <w:tcPr>
            <w:tcW w:type="dxa" w:w="1800"/>
            <w:shd w:fill="E8F5EE" w:val="clear"/>
          </w:tcPr>
          <w:p>
            <w:pPr>
              <w:spacing w:after="60" w:before="60"/>
            </w:pPr>
            <w:r>
              <w:rPr>
                <w:sz w:val="18"/>
                <w:szCs w:val="18"/>
              </w:rPr>
              <w:t xml:space="preserve">GCS Event</w:t>
            </w:r>
          </w:p>
        </w:tc>
        <w:tc>
          <w:tcPr>
            <w:tcW w:type="dxa" w:w="800"/>
            <w:shd w:fill="E8F5EE" w:val="clear"/>
          </w:tcPr>
          <w:p>
            <w:pPr>
              <w:spacing w:after="60" w:before="60"/>
            </w:pPr>
            <w:r>
              <w:rPr>
                <w:sz w:val="18"/>
                <w:szCs w:val="18"/>
              </w:rPr>
              <w:t xml:space="preserve">0</w:t>
            </w:r>
          </w:p>
        </w:tc>
        <w:tc>
          <w:tcPr>
            <w:tcW w:type="dxa" w:w="700"/>
            <w:shd w:fill="E8F5EE" w:val="clear"/>
          </w:tcPr>
          <w:p>
            <w:pPr>
              <w:spacing w:after="60" w:before="60"/>
            </w:pPr>
            <w:r>
              <w:rPr>
                <w:sz w:val="18"/>
                <w:szCs w:val="18"/>
              </w:rPr>
              <w:t xml:space="preserve">2 GB</w:t>
            </w:r>
          </w:p>
        </w:tc>
        <w:tc>
          <w:tcPr>
            <w:tcW w:type="dxa" w:w="600"/>
            <w:shd w:fill="E8F5EE" w:val="clear"/>
          </w:tcPr>
          <w:p>
            <w:pPr>
              <w:spacing w:after="60" w:before="60"/>
            </w:pPr>
            <w:r>
              <w:rPr>
                <w:sz w:val="18"/>
                <w:szCs w:val="18"/>
              </w:rPr>
              <w:t xml:space="preserve">2</w:t>
            </w:r>
          </w:p>
        </w:tc>
        <w:tc>
          <w:tcPr>
            <w:tcW w:type="dxa" w:w="2260"/>
            <w:shd w:fill="E8F5EE" w:val="clear"/>
          </w:tcPr>
          <w:p>
            <w:pPr>
              <w:spacing w:after="60" w:before="60"/>
            </w:pPr>
            <w:r>
              <w:rPr>
                <w:sz w:val="18"/>
                <w:szCs w:val="18"/>
              </w:rPr>
              <w:t xml:space="preserve">Photo / voice / document processing</w:t>
            </w:r>
          </w:p>
        </w:tc>
      </w:tr>
      <w:tr>
        <w:tc>
          <w:tcPr>
            <w:tcW w:type="dxa" w:w="2500"/>
            <w:shd w:fill="FFFFFF" w:val="clear"/>
          </w:tcPr>
          <w:p>
            <w:pPr>
              <w:spacing w:after="60" w:before="60"/>
            </w:pPr>
            <w:r>
              <w:rPr>
                <w:sz w:val="18"/>
                <w:szCs w:val="18"/>
              </w:rPr>
              <w:t xml:space="preserve">scheduler-service</w:t>
            </w:r>
          </w:p>
        </w:tc>
        <w:tc>
          <w:tcPr>
            <w:tcW w:type="dxa" w:w="700"/>
            <w:shd w:fill="FFFFFF" w:val="clear"/>
          </w:tcPr>
          <w:p>
            <w:pPr>
              <w:spacing w:after="60" w:before="60"/>
            </w:pPr>
            <w:r>
              <w:rPr>
                <w:sz w:val="18"/>
                <w:szCs w:val="18"/>
              </w:rPr>
              <w:t xml:space="preserve">T3</w:t>
            </w:r>
          </w:p>
        </w:tc>
        <w:tc>
          <w:tcPr>
            <w:tcW w:type="dxa" w:w="1800"/>
            <w:shd w:fill="FFFFFF" w:val="clear"/>
          </w:tcPr>
          <w:p>
            <w:pPr>
              <w:spacing w:after="60" w:before="60"/>
            </w:pPr>
            <w:r>
              <w:rPr>
                <w:sz w:val="18"/>
                <w:szCs w:val="18"/>
              </w:rPr>
              <w:t xml:space="preserve">Cloud Scheduler</w:t>
            </w:r>
          </w:p>
        </w:tc>
        <w:tc>
          <w:tcPr>
            <w:tcW w:type="dxa" w:w="800"/>
            <w:shd w:fill="FFFFFF" w:val="clear"/>
          </w:tcPr>
          <w:p>
            <w:pPr>
              <w:spacing w:after="60" w:before="60"/>
            </w:pPr>
            <w:r>
              <w:rPr>
                <w:sz w:val="18"/>
                <w:szCs w:val="18"/>
              </w:rPr>
              <w:t xml:space="preserve">0</w:t>
            </w:r>
          </w:p>
        </w:tc>
        <w:tc>
          <w:tcPr>
            <w:tcW w:type="dxa" w:w="700"/>
            <w:shd w:fill="FFFFFF" w:val="clear"/>
          </w:tcPr>
          <w:p>
            <w:pPr>
              <w:spacing w:after="60" w:before="60"/>
            </w:pPr>
            <w:r>
              <w:rPr>
                <w:sz w:val="18"/>
                <w:szCs w:val="18"/>
              </w:rPr>
              <w:t xml:space="preserve">256 MB</w:t>
            </w:r>
          </w:p>
        </w:tc>
        <w:tc>
          <w:tcPr>
            <w:tcW w:type="dxa" w:w="600"/>
            <w:shd w:fill="FFFFFF" w:val="clear"/>
          </w:tcPr>
          <w:p>
            <w:pPr>
              <w:spacing w:after="60" w:before="60"/>
            </w:pPr>
            <w:r>
              <w:rPr>
                <w:sz w:val="18"/>
                <w:szCs w:val="18"/>
              </w:rPr>
              <w:t xml:space="preserve">1</w:t>
            </w:r>
          </w:p>
        </w:tc>
        <w:tc>
          <w:tcPr>
            <w:tcW w:type="dxa" w:w="2260"/>
            <w:shd w:fill="FFFFFF" w:val="clear"/>
          </w:tcPr>
          <w:p>
            <w:pPr>
              <w:spacing w:after="60" w:before="60"/>
            </w:pPr>
            <w:r>
              <w:rPr>
                <w:sz w:val="18"/>
                <w:szCs w:val="18"/>
              </w:rPr>
              <w:t xml:space="preserve">Cloud Tasks orchestration</w:t>
            </w:r>
          </w:p>
        </w:tc>
      </w:tr>
      <w:tr>
        <w:tc>
          <w:tcPr>
            <w:tcW w:type="dxa" w:w="2500"/>
            <w:shd w:fill="E8F5EE" w:val="clear"/>
          </w:tcPr>
          <w:p>
            <w:pPr>
              <w:spacing w:after="60" w:before="60"/>
            </w:pPr>
            <w:r>
              <w:rPr>
                <w:sz w:val="18"/>
                <w:szCs w:val="18"/>
              </w:rPr>
              <w:t xml:space="preserve">Firestore (managed)</w:t>
            </w:r>
          </w:p>
        </w:tc>
        <w:tc>
          <w:tcPr>
            <w:tcW w:type="dxa" w:w="700"/>
            <w:shd w:fill="E8F5EE" w:val="clear"/>
          </w:tcPr>
          <w:p>
            <w:pPr>
              <w:spacing w:after="60" w:before="60"/>
            </w:pPr>
            <w:r>
              <w:rPr>
                <w:sz w:val="18"/>
                <w:szCs w:val="18"/>
              </w:rPr>
              <w:t xml:space="preserve">T4</w:t>
            </w:r>
          </w:p>
        </w:tc>
        <w:tc>
          <w:tcPr>
            <w:tcW w:type="dxa" w:w="1800"/>
            <w:shd w:fill="E8F5EE" w:val="clear"/>
          </w:tcPr>
          <w:p>
            <w:pPr>
              <w:spacing w:after="60" w:before="60"/>
            </w:pPr>
            <w:r>
              <w:rPr>
                <w:sz w:val="18"/>
                <w:szCs w:val="18"/>
              </w:rPr>
              <w:t xml:space="preserve">Native</w:t>
            </w:r>
          </w:p>
        </w:tc>
        <w:tc>
          <w:tcPr>
            <w:tcW w:type="dxa" w:w="800"/>
            <w:shd w:fill="E8F5EE" w:val="clear"/>
          </w:tcPr>
          <w:p>
            <w:pPr>
              <w:spacing w:after="60" w:before="60"/>
            </w:pPr>
            <w:r>
              <w:rPr>
                <w:sz w:val="18"/>
                <w:szCs w:val="18"/>
              </w:rPr>
              <w:t xml:space="preserve">N/A</w:t>
            </w:r>
          </w:p>
        </w:tc>
        <w:tc>
          <w:tcPr>
            <w:tcW w:type="dxa" w:w="700"/>
            <w:shd w:fill="E8F5EE" w:val="clear"/>
          </w:tcPr>
          <w:p>
            <w:pPr>
              <w:spacing w:after="60" w:before="60"/>
            </w:pPr>
            <w:r>
              <w:rPr>
                <w:sz w:val="18"/>
                <w:szCs w:val="18"/>
              </w:rPr>
              <w:t xml:space="preserve">N/A</w:t>
            </w:r>
          </w:p>
        </w:tc>
        <w:tc>
          <w:tcPr>
            <w:tcW w:type="dxa" w:w="600"/>
            <w:shd w:fill="E8F5EE" w:val="clear"/>
          </w:tcPr>
          <w:p>
            <w:pPr>
              <w:spacing w:after="60" w:before="60"/>
            </w:pPr>
            <w:r>
              <w:rPr>
                <w:sz w:val="18"/>
                <w:szCs w:val="18"/>
              </w:rPr>
              <w:t xml:space="preserve">N/A</w:t>
            </w:r>
          </w:p>
        </w:tc>
        <w:tc>
          <w:tcPr>
            <w:tcW w:type="dxa" w:w="2260"/>
            <w:shd w:fill="E8F5EE" w:val="clear"/>
          </w:tcPr>
          <w:p>
            <w:pPr>
              <w:spacing w:after="60" w:before="60"/>
            </w:pPr>
            <w:r>
              <w:rPr>
                <w:sz w:val="18"/>
                <w:szCs w:val="18"/>
              </w:rPr>
              <w:t xml:space="preserve">Real-time Command Centre panels</w:t>
            </w:r>
          </w:p>
        </w:tc>
      </w:tr>
    </w:tbl>
    <w:p>
      <w:pPr>
        <w:spacing w:after="80"/>
      </w:pPr>
    </w:p>
    <w:p>
      <w:r>
        <w:br w:type="page"/>
      </w:r>
    </w:p>
    <w:p>
      <w:pPr>
        <w:pStyle w:val="Heading1"/>
        <w:spacing w:after="240" w:before="480"/>
      </w:pPr>
      <w:r>
        <w:t xml:space="preserve">3. Project Intelligence Graph Service (NEW in v5)</w:t>
      </w:r>
    </w:p>
    <w:p>
      <w:pPr>
        <w:spacing w:after="140"/>
      </w:pPr>
      <w:r>
        <w:rPr>
          <w:sz w:val="22"/>
          <w:szCs w:val="22"/>
        </w:rPr>
        <w:t xml:space="preserve">The pig-query-service is the exclusive interface to the Project Intelligence Graph. It exposes a GraphQL API over the graph_nodes and graph_edges PostgreSQL tables, with Redis caching for frequently traversed subgraphs. Every engine that needs relationship data queries this service — no engine connects to graph tables directly.</w:t>
      </w:r>
    </w:p>
    <w:p>
      <w:pPr>
        <w:spacing w:after="80"/>
      </w:pPr>
    </w:p>
    <w:p>
      <w:pPr>
        <w:pStyle w:val="Heading2"/>
        <w:spacing w:after="160" w:before="320"/>
      </w:pPr>
      <w:r>
        <w:t xml:space="preserve">3.1 GraphQL Operations</w:t>
      </w:r>
    </w:p>
    <w:p>
      <w:pPr>
        <w:spacing w:after="120"/>
      </w:pPr>
      <w:r>
        <w:rPr>
          <w:b/>
          <w:bCs/>
          <w:sz w:val="22"/>
          <w:szCs w:val="22"/>
        </w:rPr>
        <w:t xml:space="preserve">getEntityConnections(entityType, entityId, depth): </w:t>
      </w:r>
      <w:r>
        <w:rPr>
          <w:sz w:val="22"/>
          <w:szCs w:val="22"/>
        </w:rPr>
        <w:t xml:space="preserve">Returns the connected subgraph up to the specified depth around a given entity. Used by Entity Workspaces to show all related entities without frontend-side traversal.</w:t>
      </w:r>
    </w:p>
    <w:p>
      <w:pPr>
        <w:spacing w:after="120"/>
      </w:pPr>
      <w:r>
        <w:rPr>
          <w:b/>
          <w:bCs/>
          <w:sz w:val="22"/>
          <w:szCs w:val="22"/>
        </w:rPr>
        <w:t xml:space="preserve">getImpactGraph(sourceType, sourceId): </w:t>
      </w:r>
      <w:r>
        <w:rPr>
          <w:sz w:val="22"/>
          <w:szCs w:val="22"/>
        </w:rPr>
        <w:t xml:space="preserve">Returns the full impact traversal result from a source entity. Used by the Impact Analysis Engine as its primary graph read. Recursive CTE with cycle detection.</w:t>
      </w:r>
    </w:p>
    <w:p>
      <w:pPr>
        <w:spacing w:after="120"/>
      </w:pPr>
      <w:r>
        <w:rPr>
          <w:b/>
          <w:bCs/>
          <w:sz w:val="22"/>
          <w:szCs w:val="22"/>
        </w:rPr>
        <w:t xml:space="preserve">checkConsistency(entityType, entityId): </w:t>
      </w:r>
      <w:r>
        <w:rPr>
          <w:sz w:val="22"/>
          <w:szCs w:val="22"/>
        </w:rPr>
        <w:t xml:space="preserve">Returns all conflicting entity versions linked to the given entity. Used by the Sync &amp; Consistency Engine to identify contradictions (e.g. Drawing Rev D vs Schedule Rev C vs Vendor Rev B = INCONSISTENT).</w:t>
      </w:r>
    </w:p>
    <w:p>
      <w:pPr>
        <w:spacing w:after="120"/>
      </w:pPr>
      <w:r>
        <w:rPr>
          <w:b/>
          <w:bCs/>
          <w:sz w:val="22"/>
          <w:szCs w:val="22"/>
        </w:rPr>
        <w:t xml:space="preserve">getReadinessGraph(gateType): </w:t>
      </w:r>
      <w:r>
        <w:rPr>
          <w:sz w:val="22"/>
          <w:szCs w:val="22"/>
        </w:rPr>
        <w:t xml:space="preserve">Returns all entities relevant to a specific readiness gate. Used by the Readiness Engine to evaluate gate completion percentage and identify blocking items.</w:t>
      </w:r>
    </w:p>
    <w:p>
      <w:pPr>
        <w:spacing w:after="80"/>
      </w:pPr>
    </w:p>
    <w:p>
      <w:pPr>
        <w:pStyle w:val="Heading2"/>
        <w:spacing w:after="160" w:before="320"/>
      </w:pPr>
      <w:r>
        <w:t xml:space="preserve">3.2 PostgreSQL Graph Tables</w:t>
      </w:r>
    </w:p>
    <w:p>
      <w:pPr>
        <w:pStyle w:val="ListParagraph"/>
        <w:numPr>
          <w:ilvl w:val="0"/>
          <w:numId w:val="1"/>
        </w:numPr>
        <w:spacing w:after="80"/>
      </w:pPr>
      <w:r>
        <w:rPr>
          <w:sz w:val="22"/>
          <w:szCs w:val="22"/>
        </w:rPr>
        <w:t xml:space="preserve">graph_nodes: (id, entity_type, entity_id, attributes jsonb, tenant_id, created_at, updated_at)</w:t>
      </w:r>
    </w:p>
    <w:p>
      <w:pPr>
        <w:pStyle w:val="ListParagraph"/>
        <w:numPr>
          <w:ilvl w:val="0"/>
          <w:numId w:val="1"/>
        </w:numPr>
        <w:spacing w:after="80"/>
      </w:pPr>
      <w:r>
        <w:rPr>
          <w:sz w:val="22"/>
          <w:szCs w:val="22"/>
        </w:rPr>
        <w:t xml:space="preserve">graph_edges: (id, source_node_id, target_node_id, edge_type, weight numeric, metadata jsonb, tenant_id, created_at, expires_at)</w:t>
      </w:r>
    </w:p>
    <w:p>
      <w:pPr>
        <w:spacing w:after="80"/>
      </w:pPr>
    </w:p>
    <w:p>
      <w:pPr>
        <w:spacing w:after="140"/>
      </w:pPr>
      <w:r>
        <w:rPr>
          <w:sz w:val="22"/>
          <w:szCs w:val="22"/>
        </w:rPr>
        <w:t xml:space="preserve">Node types (20+): Activity, Milestone, Drawing, Document, Equipment, Vendor, Dispatch, Evidence, Change, Decision, Risk, Issue, Gate, WBS, Package, Shipment, Claim, Payment, Inspection, Commissioning Item, Organizational Unit, Person.</w:t>
      </w:r>
    </w:p>
    <w:p>
      <w:pPr>
        <w:spacing w:after="80"/>
      </w:pPr>
    </w:p>
    <w:p>
      <w:pPr>
        <w:spacing w:after="140"/>
      </w:pPr>
      <w:r>
        <w:rPr>
          <w:sz w:val="22"/>
          <w:szCs w:val="22"/>
        </w:rPr>
        <w:t xml:space="preserve">Edge types (30+): BLOCKS, SUPPLIES_TO, APPROVED_BY, IMPACTS, DEPENDS_ON, SUPERSEDES, CONFLICTS_WITH, DELIVERS_FOR, REVIEWS, ASSIGNED_TO, COORDINATES_WITH, ESCALATES_TO, PRECEDED_BY, PARALLEL_WITH, REQUIRES, SATISFIES, VERIFIES, CLOSES, MONITORS, TRIGGERS, OWNS, RAISED_BY, RESOLVED_BY, REFERENCES, SUPERSEDED_BY, MITIGATES, RAISES_RISK_TO, CLEARS, GATES, REPORTS_TO.</w:t>
      </w:r>
    </w:p>
    <w:p>
      <w:pPr>
        <w:spacing w:after="80"/>
      </w:pPr>
    </w:p>
    <w:p>
      <w:pPr>
        <w:spacing w:after="140"/>
      </w:pPr>
      <w:r>
        <w:rPr>
          <w:sz w:val="22"/>
          <w:szCs w:val="22"/>
        </w:rPr>
        <w:t xml:space="preserve">Performance: depth-5 traversal of 500 nodes completes in under 1 second at v5 scale. Re-evaluation trigger: greater than 5,000 nodes per project (v6 migration consideration to dedicated graph database).</w:t>
      </w:r>
    </w:p>
    <w:p>
      <w:pPr>
        <w:spacing w:after="80"/>
      </w:pPr>
    </w:p>
    <w:p>
      <w:pPr>
        <w:pStyle w:val="Heading2"/>
        <w:spacing w:after="160" w:before="320"/>
      </w:pPr>
      <w:r>
        <w:t xml:space="preserve">3.3 Redis Caching</w:t>
      </w:r>
    </w:p>
    <w:p>
      <w:pPr>
        <w:pStyle w:val="ListParagraph"/>
        <w:numPr>
          <w:ilvl w:val="0"/>
          <w:numId w:val="1"/>
        </w:numPr>
        <w:spacing w:after="80"/>
      </w:pPr>
      <w:r>
        <w:rPr>
          <w:sz w:val="22"/>
          <w:szCs w:val="22"/>
        </w:rPr>
        <w:t xml:space="preserve">Frequently requested subgraphs cached with 30-second TTL</w:t>
      </w:r>
    </w:p>
    <w:p>
      <w:pPr>
        <w:pStyle w:val="ListParagraph"/>
        <w:numPr>
          <w:ilvl w:val="0"/>
          <w:numId w:val="1"/>
        </w:numPr>
        <w:spacing w:after="80"/>
      </w:pPr>
      <w:r>
        <w:rPr>
          <w:sz w:val="22"/>
          <w:szCs w:val="22"/>
        </w:rPr>
        <w:t xml:space="preserve">Cache key: tenant_id + entity_type + entity_id + depth</w:t>
      </w:r>
    </w:p>
    <w:p>
      <w:pPr>
        <w:pStyle w:val="ListParagraph"/>
        <w:numPr>
          <w:ilvl w:val="0"/>
          <w:numId w:val="1"/>
        </w:numPr>
        <w:spacing w:after="80"/>
      </w:pPr>
      <w:r>
        <w:rPr>
          <w:sz w:val="22"/>
          <w:szCs w:val="22"/>
        </w:rPr>
        <w:t xml:space="preserve">Cache invalidated on PIG_UPDATED event for the affected subgraph region</w:t>
      </w:r>
    </w:p>
    <w:p>
      <w:pPr>
        <w:pStyle w:val="ListParagraph"/>
        <w:numPr>
          <w:ilvl w:val="0"/>
          <w:numId w:val="1"/>
        </w:numPr>
        <w:spacing w:after="80"/>
      </w:pPr>
      <w:r>
        <w:rPr>
          <w:sz w:val="22"/>
          <w:szCs w:val="22"/>
        </w:rPr>
        <w:t xml:space="preserve">Target: cache miss rate under 20% for Entity Workspace loads</w:t>
      </w:r>
    </w:p>
    <w:p>
      <w:pPr>
        <w:spacing w:after="80"/>
      </w:pPr>
    </w:p>
    <w:p>
      <w:pPr>
        <w:pStyle w:val="Heading2"/>
        <w:spacing w:after="160" w:before="320"/>
      </w:pPr>
      <w:r>
        <w:t xml:space="preserve">3.4 Tenant Isolation &amp; Auth</w:t>
      </w:r>
    </w:p>
    <w:p>
      <w:pPr>
        <w:pStyle w:val="ListParagraph"/>
        <w:numPr>
          <w:ilvl w:val="0"/>
          <w:numId w:val="1"/>
        </w:numPr>
        <w:spacing w:after="80"/>
      </w:pPr>
      <w:r>
        <w:rPr>
          <w:sz w:val="22"/>
          <w:szCs w:val="22"/>
        </w:rPr>
        <w:t xml:space="preserve">All queries filtered by tenant_id at application layer (belt) AND RLS policy (suspenders)</w:t>
      </w:r>
    </w:p>
    <w:p>
      <w:pPr>
        <w:pStyle w:val="ListParagraph"/>
        <w:numPr>
          <w:ilvl w:val="0"/>
          <w:numId w:val="1"/>
        </w:numPr>
        <w:spacing w:after="80"/>
      </w:pPr>
      <w:r>
        <w:rPr>
          <w:sz w:val="22"/>
          <w:szCs w:val="22"/>
        </w:rPr>
        <w:t xml:space="preserve">Same JWT token as API gateway; tenant claim used to set PostgreSQL app.current_tenant_id</w:t>
      </w:r>
    </w:p>
    <w:p>
      <w:pPr>
        <w:pStyle w:val="ListParagraph"/>
        <w:numPr>
          <w:ilvl w:val="0"/>
          <w:numId w:val="1"/>
        </w:numPr>
        <w:spacing w:after="80"/>
      </w:pPr>
      <w:r>
        <w:rPr>
          <w:sz w:val="22"/>
          <w:szCs w:val="22"/>
        </w:rPr>
        <w:t xml:space="preserve">PIG_UPDATED events published to pig.updated Pub/Sub topic when edges change</w:t>
      </w:r>
    </w:p>
    <w:p>
      <w:pPr>
        <w:pStyle w:val="ListParagraph"/>
        <w:numPr>
          <w:ilvl w:val="0"/>
          <w:numId w:val="1"/>
        </w:numPr>
        <w:spacing w:after="80"/>
      </w:pPr>
      <w:r>
        <w:rPr>
          <w:sz w:val="22"/>
          <w:szCs w:val="22"/>
        </w:rPr>
        <w:t xml:space="preserve">Wrong tenant resolves to empty result set — never 403 or 404 (prevents tenant enumeration)</w:t>
      </w:r>
    </w:p>
    <w:p>
      <w:r>
        <w:br w:type="page"/>
      </w:r>
    </w:p>
    <w:p>
      <w:pPr>
        <w:pStyle w:val="Heading1"/>
        <w:spacing w:after="240" w:before="480"/>
      </w:pPr>
      <w:r>
        <w:t xml:space="preserve">4. Data Layer</w:t>
      </w:r>
    </w:p>
    <w:p>
      <w:pPr>
        <w:spacing w:after="80"/>
      </w:pPr>
    </w:p>
    <w:p>
      <w:pPr>
        <w:pStyle w:val="Heading2"/>
        <w:spacing w:after="160" w:before="320"/>
      </w:pPr>
      <w:r>
        <w:t xml:space="preserve">4.1 PostgreSQL (Cloud SQL)</w:t>
      </w:r>
    </w:p>
    <w:p>
      <w:pPr>
        <w:pStyle w:val="ListParagraph"/>
        <w:numPr>
          <w:ilvl w:val="0"/>
          <w:numId w:val="1"/>
        </w:numPr>
        <w:spacing w:after="80"/>
      </w:pPr>
      <w:r>
        <w:rPr>
          <w:sz w:val="22"/>
          <w:szCs w:val="22"/>
        </w:rPr>
        <w:t xml:space="preserve">50+ tables, 60+ ENUMs, 130+ indexes</w:t>
      </w:r>
    </w:p>
    <w:p>
      <w:pPr>
        <w:pStyle w:val="ListParagraph"/>
        <w:numPr>
          <w:ilvl w:val="0"/>
          <w:numId w:val="1"/>
        </w:numPr>
        <w:spacing w:after="80"/>
      </w:pPr>
      <w:r>
        <w:rPr>
          <w:sz w:val="22"/>
          <w:szCs w:val="22"/>
        </w:rPr>
        <w:t xml:space="preserve">RLS on ALL tables: SET app.current_tenant_id enables row-level tenant isolation</w:t>
      </w:r>
    </w:p>
    <w:p>
      <w:pPr>
        <w:pStyle w:val="ListParagraph"/>
        <w:numPr>
          <w:ilvl w:val="0"/>
          <w:numId w:val="1"/>
        </w:numPr>
        <w:spacing w:after="80"/>
      </w:pPr>
      <w:r>
        <w:rPr>
          <w:sz w:val="22"/>
          <w:szCs w:val="22"/>
        </w:rPr>
        <w:t xml:space="preserve">PgBouncer: session mode (not transaction mode) — required because SET is session-scoped</w:t>
      </w:r>
    </w:p>
    <w:p>
      <w:pPr>
        <w:pStyle w:val="ListParagraph"/>
        <w:numPr>
          <w:ilvl w:val="0"/>
          <w:numId w:val="1"/>
        </w:numPr>
        <w:spacing w:after="80"/>
      </w:pPr>
      <w:r>
        <w:rPr>
          <w:sz w:val="22"/>
          <w:szCs w:val="22"/>
        </w:rPr>
        <w:t xml:space="preserve">PgBouncer deployed as sidecar to api-gateway</w:t>
      </w:r>
    </w:p>
    <w:p>
      <w:pPr>
        <w:pStyle w:val="ListParagraph"/>
        <w:numPr>
          <w:ilvl w:val="0"/>
          <w:numId w:val="1"/>
        </w:numPr>
        <w:spacing w:after="80"/>
      </w:pPr>
      <w:r>
        <w:rPr>
          <w:sz w:val="22"/>
          <w:szCs w:val="22"/>
        </w:rPr>
        <w:t xml:space="preserve">Backup: 7-day PITR enabled, daily exports to Cloud Storage</w:t>
      </w:r>
    </w:p>
    <w:p>
      <w:pPr>
        <w:pStyle w:val="ListParagraph"/>
        <w:numPr>
          <w:ilvl w:val="0"/>
          <w:numId w:val="1"/>
        </w:numPr>
        <w:spacing w:after="80"/>
      </w:pPr>
      <w:r>
        <w:rPr>
          <w:sz w:val="22"/>
          <w:szCs w:val="22"/>
        </w:rPr>
        <w:t xml:space="preserve">Failover: read replica available; promoted manually (HA auto-failover not in base cost)</w:t>
      </w:r>
    </w:p>
    <w:p>
      <w:pPr>
        <w:pStyle w:val="ListParagraph"/>
        <w:numPr>
          <w:ilvl w:val="0"/>
          <w:numId w:val="1"/>
        </w:numPr>
        <w:spacing w:after="80"/>
      </w:pPr>
      <w:r>
        <w:rPr>
          <w:sz w:val="22"/>
          <w:szCs w:val="22"/>
        </w:rPr>
        <w:t xml:space="preserve">New in v5: graph_nodes, graph_edges; readiness_gates, readiness_scores; simulation_scenarios, simulation_inputs, simulation_results; coordination_items, coordination_closures; memory_records, memory_patterns</w:t>
      </w:r>
    </w:p>
    <w:p>
      <w:pPr>
        <w:spacing w:after="80"/>
      </w:pPr>
    </w:p>
    <w:p>
      <w:pPr>
        <w:pStyle w:val="Heading2"/>
        <w:spacing w:after="160" w:before="320"/>
      </w:pPr>
      <w:r>
        <w:t xml:space="preserve">4.2 Redis (Memorystore)</w:t>
      </w:r>
    </w:p>
    <w:p>
      <w:pPr>
        <w:pStyle w:val="ListParagraph"/>
        <w:numPr>
          <w:ilvl w:val="0"/>
          <w:numId w:val="1"/>
        </w:numPr>
        <w:spacing w:after="80"/>
      </w:pPr>
      <w:r>
        <w:rPr>
          <w:sz w:val="22"/>
          <w:szCs w:val="22"/>
        </w:rPr>
        <w:t xml:space="preserve">PIG subgraph cache — 30-second TTL, invalidated on PIG_UPDATED event</w:t>
      </w:r>
    </w:p>
    <w:p>
      <w:pPr>
        <w:pStyle w:val="ListParagraph"/>
        <w:numPr>
          <w:ilvl w:val="0"/>
          <w:numId w:val="1"/>
        </w:numPr>
        <w:spacing w:after="80"/>
      </w:pPr>
      <w:r>
        <w:rPr>
          <w:sz w:val="22"/>
          <w:szCs w:val="22"/>
        </w:rPr>
        <w:t xml:space="preserve">API session tokens — JWT cache to avoid repeated JWT verification overhead</w:t>
      </w:r>
    </w:p>
    <w:p>
      <w:pPr>
        <w:pStyle w:val="ListParagraph"/>
        <w:numPr>
          <w:ilvl w:val="0"/>
          <w:numId w:val="1"/>
        </w:numPr>
        <w:spacing w:after="80"/>
      </w:pPr>
      <w:r>
        <w:rPr>
          <w:sz w:val="22"/>
          <w:szCs w:val="22"/>
        </w:rPr>
        <w:t xml:space="preserve">Idempotency keys — engine deduplication (event ID checked before processing)</w:t>
      </w:r>
    </w:p>
    <w:p>
      <w:pPr>
        <w:pStyle w:val="ListParagraph"/>
        <w:numPr>
          <w:ilvl w:val="0"/>
          <w:numId w:val="1"/>
        </w:numPr>
        <w:spacing w:after="80"/>
      </w:pPr>
      <w:r>
        <w:rPr>
          <w:sz w:val="22"/>
          <w:szCs w:val="22"/>
        </w:rPr>
        <w:t xml:space="preserve">Evidence score cache — invalidated when new evidence is ingested for the same entity</w:t>
      </w:r>
    </w:p>
    <w:p>
      <w:pPr>
        <w:spacing w:after="80"/>
      </w:pPr>
    </w:p>
    <w:p>
      <w:pPr>
        <w:pStyle w:val="Heading2"/>
        <w:spacing w:after="160" w:before="320"/>
      </w:pPr>
      <w:r>
        <w:t xml:space="preserve">4.3 Firestore</w:t>
      </w:r>
    </w:p>
    <w:p>
      <w:pPr>
        <w:pStyle w:val="ListParagraph"/>
        <w:numPr>
          <w:ilvl w:val="0"/>
          <w:numId w:val="1"/>
        </w:numPr>
        <w:spacing w:after="80"/>
      </w:pPr>
      <w:r>
        <w:rPr>
          <w:sz w:val="22"/>
          <w:szCs w:val="22"/>
        </w:rPr>
        <w:t xml:space="preserve">Real-time Command Centre panel data (8 panels per project)</w:t>
      </w:r>
    </w:p>
    <w:p>
      <w:pPr>
        <w:pStyle w:val="ListParagraph"/>
        <w:numPr>
          <w:ilvl w:val="0"/>
          <w:numId w:val="1"/>
        </w:numPr>
        <w:spacing w:after="80"/>
      </w:pPr>
      <w:r>
        <w:rPr>
          <w:sz w:val="22"/>
          <w:szCs w:val="22"/>
        </w:rPr>
        <w:t xml:space="preserve">Written by: engine services after computation completion</w:t>
      </w:r>
    </w:p>
    <w:p>
      <w:pPr>
        <w:pStyle w:val="ListParagraph"/>
        <w:numPr>
          <w:ilvl w:val="0"/>
          <w:numId w:val="1"/>
        </w:numPr>
        <w:spacing w:after="80"/>
      </w:pPr>
      <w:r>
        <w:rPr>
          <w:sz w:val="22"/>
          <w:szCs w:val="22"/>
        </w:rPr>
        <w:t xml:space="preserve">Read by: Next.js frontend via Firestore SDK (built-in WebSocket real-time, reconnection managed by SDK)</w:t>
      </w:r>
    </w:p>
    <w:p>
      <w:pPr>
        <w:pStyle w:val="ListParagraph"/>
        <w:numPr>
          <w:ilvl w:val="0"/>
          <w:numId w:val="1"/>
        </w:numPr>
        <w:spacing w:after="80"/>
      </w:pPr>
      <w:r>
        <w:rPr>
          <w:sz w:val="22"/>
          <w:szCs w:val="22"/>
        </w:rPr>
        <w:t xml:space="preserve">Document structure: one Firestore document per panel per project (pcc-{projectId}-panel-{1..8})</w:t>
      </w:r>
    </w:p>
    <w:p>
      <w:pPr>
        <w:pStyle w:val="ListParagraph"/>
        <w:numPr>
          <w:ilvl w:val="0"/>
          <w:numId w:val="1"/>
        </w:numPr>
        <w:spacing w:after="80"/>
      </w:pPr>
      <w:r>
        <w:rPr>
          <w:sz w:val="22"/>
          <w:szCs w:val="22"/>
        </w:rPr>
        <w:t xml:space="preserve">Staleness: eventual consistency, 1-5 second acceptable latency for all Command Centre panels</w:t>
      </w:r>
    </w:p>
    <w:p>
      <w:pPr>
        <w:spacing w:after="80"/>
      </w:pPr>
    </w:p>
    <w:p>
      <w:pPr>
        <w:pStyle w:val="Heading2"/>
        <w:spacing w:after="160" w:before="320"/>
      </w:pPr>
      <w:r>
        <w:t xml:space="preserve">4.4 Vertex AI Matching Engine</w:t>
      </w:r>
    </w:p>
    <w:p>
      <w:pPr>
        <w:pStyle w:val="ListParagraph"/>
        <w:numPr>
          <w:ilvl w:val="0"/>
          <w:numId w:val="1"/>
        </w:numPr>
        <w:spacing w:after="80"/>
      </w:pPr>
      <w:r>
        <w:rPr>
          <w:sz w:val="22"/>
          <w:szCs w:val="22"/>
        </w:rPr>
        <w:t xml:space="preserve">Semantic evidence search — similar evidence lookup for corroboration</w:t>
      </w:r>
    </w:p>
    <w:p>
      <w:pPr>
        <w:pStyle w:val="ListParagraph"/>
        <w:numPr>
          <w:ilvl w:val="0"/>
          <w:numId w:val="1"/>
        </w:numPr>
        <w:spacing w:after="80"/>
      </w:pPr>
      <w:r>
        <w:rPr>
          <w:sz w:val="22"/>
          <w:szCs w:val="22"/>
        </w:rPr>
        <w:t xml:space="preserve">Vector embeddings: evidence item content encoded to 768-dimensional vectors</w:t>
      </w:r>
    </w:p>
    <w:p>
      <w:pPr>
        <w:pStyle w:val="ListParagraph"/>
        <w:numPr>
          <w:ilvl w:val="0"/>
          <w:numId w:val="1"/>
        </w:numPr>
        <w:spacing w:after="80"/>
      </w:pPr>
      <w:r>
        <w:rPr>
          <w:sz w:val="22"/>
          <w:szCs w:val="22"/>
        </w:rPr>
        <w:t xml:space="preserve">Used by: Evidence Engine (corroboration scoring) and AI Orchestration Engine (context retrieval for AI Copilot)</w:t>
      </w:r>
    </w:p>
    <w:p>
      <w:pPr>
        <w:pStyle w:val="ListParagraph"/>
        <w:numPr>
          <w:ilvl w:val="0"/>
          <w:numId w:val="1"/>
        </w:numPr>
        <w:spacing w:after="80"/>
      </w:pPr>
      <w:r>
        <w:rPr>
          <w:sz w:val="22"/>
          <w:szCs w:val="22"/>
        </w:rPr>
        <w:t xml:space="preserve">Index updated on every new evidence item ingestion</w:t>
      </w:r>
    </w:p>
    <w:p>
      <w:pPr>
        <w:spacing w:after="80"/>
      </w:pPr>
    </w:p>
    <w:p>
      <w:pPr>
        <w:pStyle w:val="Heading2"/>
        <w:spacing w:after="160" w:before="320"/>
      </w:pPr>
      <w:r>
        <w:t xml:space="preserve">4.5 Elasticsearch</w:t>
      </w:r>
    </w:p>
    <w:p>
      <w:pPr>
        <w:pStyle w:val="ListParagraph"/>
        <w:numPr>
          <w:ilvl w:val="0"/>
          <w:numId w:val="1"/>
        </w:numPr>
        <w:spacing w:after="80"/>
      </w:pPr>
      <w:r>
        <w:rPr>
          <w:sz w:val="22"/>
          <w:szCs w:val="22"/>
        </w:rPr>
        <w:t xml:space="preserve">Full-text entity search across activities, drawings, vendors, changes, risks, and decisions</w:t>
      </w:r>
    </w:p>
    <w:p>
      <w:pPr>
        <w:pStyle w:val="ListParagraph"/>
        <w:numPr>
          <w:ilvl w:val="0"/>
          <w:numId w:val="1"/>
        </w:numPr>
        <w:spacing w:after="80"/>
      </w:pPr>
      <w:r>
        <w:rPr>
          <w:sz w:val="22"/>
          <w:szCs w:val="22"/>
        </w:rPr>
        <w:t xml:space="preserve">Powers: command palette (Cmd+K) for entity lookup and AI Copilot context retrieval</w:t>
      </w:r>
    </w:p>
    <w:p>
      <w:pPr>
        <w:pStyle w:val="ListParagraph"/>
        <w:numPr>
          <w:ilvl w:val="0"/>
          <w:numId w:val="1"/>
        </w:numPr>
        <w:spacing w:after="80"/>
      </w:pPr>
      <w:r>
        <w:rPr>
          <w:sz w:val="22"/>
          <w:szCs w:val="22"/>
        </w:rPr>
        <w:t xml:space="preserve">Index refresh: near-real-time (1-second refresh interval)</w:t>
      </w:r>
    </w:p>
    <w:p>
      <w:pPr>
        <w:spacing w:after="80"/>
      </w:pPr>
    </w:p>
    <w:p>
      <w:pPr>
        <w:pStyle w:val="Heading2"/>
        <w:spacing w:after="160" w:before="320"/>
      </w:pPr>
      <w:r>
        <w:t xml:space="preserve">4.6 Cloud Storage</w:t>
      </w:r>
    </w:p>
    <w:p>
      <w:pPr>
        <w:pStyle w:val="ListParagraph"/>
        <w:numPr>
          <w:ilvl w:val="0"/>
          <w:numId w:val="1"/>
        </w:numPr>
        <w:spacing w:after="80"/>
      </w:pPr>
      <w:r>
        <w:rPr>
          <w:sz w:val="22"/>
          <w:szCs w:val="22"/>
        </w:rPr>
        <w:t xml:space="preserve">Evidence files: photos, voice memos, documents uploaded by field teams</w:t>
      </w:r>
    </w:p>
    <w:p>
      <w:pPr>
        <w:pStyle w:val="ListParagraph"/>
        <w:numPr>
          <w:ilvl w:val="0"/>
          <w:numId w:val="1"/>
        </w:numPr>
        <w:spacing w:after="80"/>
      </w:pPr>
      <w:r>
        <w:rPr>
          <w:sz w:val="22"/>
          <w:szCs w:val="22"/>
        </w:rPr>
        <w:t xml:space="preserve">Generated reports: PDF and XLSX exports from the Reporting Engine</w:t>
      </w:r>
    </w:p>
    <w:p>
      <w:pPr>
        <w:pStyle w:val="ListParagraph"/>
        <w:numPr>
          <w:ilvl w:val="0"/>
          <w:numId w:val="1"/>
        </w:numPr>
        <w:spacing w:after="80"/>
      </w:pPr>
      <w:r>
        <w:rPr>
          <w:sz w:val="22"/>
          <w:szCs w:val="22"/>
        </w:rPr>
        <w:t xml:space="preserve">Schedule exports: XER files for Primavera P6 integration</w:t>
      </w:r>
    </w:p>
    <w:p>
      <w:pPr>
        <w:pStyle w:val="ListParagraph"/>
        <w:numPr>
          <w:ilvl w:val="0"/>
          <w:numId w:val="1"/>
        </w:numPr>
        <w:spacing w:after="80"/>
      </w:pPr>
      <w:r>
        <w:rPr>
          <w:sz w:val="22"/>
          <w:szCs w:val="22"/>
        </w:rPr>
        <w:t xml:space="preserve">Lifecycle policy: evidence files moved to Nearline storage after 30 days</w:t>
      </w:r>
    </w:p>
    <w:p>
      <w:pPr>
        <w:pStyle w:val="ListParagraph"/>
        <w:numPr>
          <w:ilvl w:val="0"/>
          <w:numId w:val="1"/>
        </w:numPr>
        <w:spacing w:after="80"/>
      </w:pPr>
      <w:r>
        <w:rPr>
          <w:sz w:val="22"/>
          <w:szCs w:val="22"/>
        </w:rPr>
        <w:t xml:space="preserve">Lifecycle policy: generated reports moved to Archive storage after 90 days</w:t>
      </w:r>
    </w:p>
    <w:p>
      <w:pPr>
        <w:pStyle w:val="ListParagraph"/>
        <w:numPr>
          <w:ilvl w:val="0"/>
          <w:numId w:val="1"/>
        </w:numPr>
        <w:spacing w:after="80"/>
      </w:pPr>
      <w:r>
        <w:rPr>
          <w:sz w:val="22"/>
          <w:szCs w:val="22"/>
        </w:rPr>
        <w:t xml:space="preserve">Access: signed URLs with 1-hour expiry — files are never publicly accessible</w:t>
      </w:r>
    </w:p>
    <w:p>
      <w:r>
        <w:br w:type="page"/>
      </w:r>
    </w:p>
    <w:p>
      <w:pPr>
        <w:pStyle w:val="Heading1"/>
        <w:spacing w:after="240" w:before="480"/>
      </w:pPr>
      <w:r>
        <w:t xml:space="preserve">5. Event Architecture</w:t>
      </w:r>
    </w:p>
    <w:p>
      <w:pPr>
        <w:spacing w:after="140"/>
      </w:pPr>
      <w:r>
        <w:rPr>
          <w:sz w:val="22"/>
          <w:szCs w:val="22"/>
        </w:rPr>
        <w:t xml:space="preserve">Green PM v5 has 27 Pub/Sub topics (23 carried from v4, 4 new for the new v5 engines). All inter-service communication is asynchronous via Pub/Sub. Synchronous calls exist only for: frontend-to-api-gateway, api-gateway-to-pig-query-service, and api-gateway-to-studio-api.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1260"/>
        <w:gridCol w:w="1100"/>
      </w:tblGrid>
      <w:tr>
        <w:trPr>
          <w:tblHeader/>
        </w:trPr>
        <w:tc>
          <w:tcPr>
            <w:tcW w:type="dxa" w:w="2500"/>
            <w:shd w:fill="1A4731" w:val="clear"/>
          </w:tcPr>
          <w:p>
            <w:pPr>
              <w:spacing w:after="80" w:before="80"/>
            </w:pPr>
            <w:r>
              <w:rPr>
                <w:b/>
                <w:bCs/>
                <w:color w:val="FFFFFF"/>
                <w:sz w:val="18"/>
                <w:szCs w:val="18"/>
              </w:rPr>
              <w:t xml:space="preserve">Topic</w:t>
            </w:r>
          </w:p>
        </w:tc>
        <w:tc>
          <w:tcPr>
            <w:tcW w:type="dxa" w:w="2000"/>
            <w:shd w:fill="1A4731" w:val="clear"/>
          </w:tcPr>
          <w:p>
            <w:pPr>
              <w:spacing w:after="80" w:before="80"/>
            </w:pPr>
            <w:r>
              <w:rPr>
                <w:b/>
                <w:bCs/>
                <w:color w:val="FFFFFF"/>
                <w:sz w:val="18"/>
                <w:szCs w:val="18"/>
              </w:rPr>
              <w:t xml:space="preserve">Publisher</w:t>
            </w:r>
          </w:p>
        </w:tc>
        <w:tc>
          <w:tcPr>
            <w:tcW w:type="dxa" w:w="2500"/>
            <w:shd w:fill="1A4731" w:val="clear"/>
          </w:tcPr>
          <w:p>
            <w:pPr>
              <w:spacing w:after="80" w:before="80"/>
            </w:pPr>
            <w:r>
              <w:rPr>
                <w:b/>
                <w:bCs/>
                <w:color w:val="FFFFFF"/>
                <w:sz w:val="18"/>
                <w:szCs w:val="18"/>
              </w:rPr>
              <w:t xml:space="preserve">Subscribers</w:t>
            </w:r>
          </w:p>
        </w:tc>
        <w:tc>
          <w:tcPr>
            <w:tcW w:type="dxa" w:w="1260"/>
            <w:shd w:fill="1A4731" w:val="clear"/>
          </w:tcPr>
          <w:p>
            <w:pPr>
              <w:spacing w:after="80" w:before="80"/>
            </w:pPr>
            <w:r>
              <w:rPr>
                <w:b/>
                <w:bCs/>
                <w:color w:val="FFFFFF"/>
                <w:sz w:val="18"/>
                <w:szCs w:val="18"/>
              </w:rPr>
              <w:t xml:space="preserve">Message Type</w:t>
            </w:r>
          </w:p>
        </w:tc>
        <w:tc>
          <w:tcPr>
            <w:tcW w:type="dxa" w:w="1100"/>
            <w:shd w:fill="1A4731" w:val="clear"/>
          </w:tcPr>
          <w:p>
            <w:pPr>
              <w:spacing w:after="80" w:before="80"/>
            </w:pPr>
            <w:r>
              <w:rPr>
                <w:b/>
                <w:bCs/>
                <w:color w:val="FFFFFF"/>
                <w:sz w:val="18"/>
                <w:szCs w:val="18"/>
              </w:rPr>
              <w:t xml:space="preserve">SLO</w:t>
            </w:r>
          </w:p>
        </w:tc>
      </w:tr>
      <w:tr>
        <w:tc>
          <w:tcPr>
            <w:tcW w:type="dxa" w:w="2500"/>
            <w:shd w:fill="FFFFFF" w:val="clear"/>
          </w:tcPr>
          <w:p>
            <w:pPr>
              <w:spacing w:after="60" w:before="60"/>
            </w:pPr>
            <w:r>
              <w:rPr>
                <w:sz w:val="18"/>
                <w:szCs w:val="18"/>
              </w:rPr>
              <w:t xml:space="preserve">evidence.ingested</w:t>
            </w:r>
          </w:p>
        </w:tc>
        <w:tc>
          <w:tcPr>
            <w:tcW w:type="dxa" w:w="2000"/>
            <w:shd w:fill="FFFFFF" w:val="clear"/>
          </w:tcPr>
          <w:p>
            <w:pPr>
              <w:spacing w:after="60" w:before="60"/>
            </w:pPr>
            <w:r>
              <w:rPr>
                <w:sz w:val="18"/>
                <w:szCs w:val="18"/>
              </w:rPr>
              <w:t xml:space="preserve">Evidence Engine</w:t>
            </w:r>
          </w:p>
        </w:tc>
        <w:tc>
          <w:tcPr>
            <w:tcW w:type="dxa" w:w="2500"/>
            <w:shd w:fill="FFFFFF" w:val="clear"/>
          </w:tcPr>
          <w:p>
            <w:pPr>
              <w:spacing w:after="60" w:before="60"/>
            </w:pPr>
            <w:r>
              <w:rPr>
                <w:sz w:val="18"/>
                <w:szCs w:val="18"/>
              </w:rPr>
              <w:t xml:space="preserve">Impact Analysis, PIG Query Service</w:t>
            </w:r>
          </w:p>
        </w:tc>
        <w:tc>
          <w:tcPr>
            <w:tcW w:type="dxa" w:w="1260"/>
            <w:shd w:fill="FFFFFF" w:val="clear"/>
          </w:tcPr>
          <w:p>
            <w:pPr>
              <w:spacing w:after="60" w:before="60"/>
            </w:pPr>
            <w:r>
              <w:rPr>
                <w:sz w:val="18"/>
                <w:szCs w:val="18"/>
              </w:rPr>
              <w:t xml:space="preserve">EvidenceIngestedEvent</w:t>
            </w:r>
          </w:p>
        </w:tc>
        <w:tc>
          <w:tcPr>
            <w:tcW w:type="dxa" w:w="1100"/>
            <w:shd w:fill="FFFFFF" w:val="clear"/>
          </w:tcPr>
          <w:p>
            <w:pPr>
              <w:spacing w:after="60" w:before="60"/>
            </w:pPr>
            <w:r>
              <w:rPr>
                <w:sz w:val="18"/>
                <w:szCs w:val="18"/>
              </w:rPr>
              <w:t xml:space="preserve">&lt; 30 s</w:t>
            </w:r>
          </w:p>
        </w:tc>
      </w:tr>
      <w:tr>
        <w:tc>
          <w:tcPr>
            <w:tcW w:type="dxa" w:w="2500"/>
            <w:shd w:fill="E8F5EE" w:val="clear"/>
          </w:tcPr>
          <w:p>
            <w:pPr>
              <w:spacing w:after="60" w:before="60"/>
            </w:pPr>
            <w:r>
              <w:rPr>
                <w:sz w:val="18"/>
                <w:szCs w:val="18"/>
              </w:rPr>
              <w:t xml:space="preserve">pig.updated</w:t>
            </w:r>
          </w:p>
        </w:tc>
        <w:tc>
          <w:tcPr>
            <w:tcW w:type="dxa" w:w="2000"/>
            <w:shd w:fill="E8F5EE" w:val="clear"/>
          </w:tcPr>
          <w:p>
            <w:pPr>
              <w:spacing w:after="60" w:before="60"/>
            </w:pPr>
            <w:r>
              <w:rPr>
                <w:sz w:val="18"/>
                <w:szCs w:val="18"/>
              </w:rPr>
              <w:t xml:space="preserve">PIG Query Service</w:t>
            </w:r>
          </w:p>
        </w:tc>
        <w:tc>
          <w:tcPr>
            <w:tcW w:type="dxa" w:w="2500"/>
            <w:shd w:fill="E8F5EE" w:val="clear"/>
          </w:tcPr>
          <w:p>
            <w:pPr>
              <w:spacing w:after="60" w:before="60"/>
            </w:pPr>
            <w:r>
              <w:rPr>
                <w:sz w:val="18"/>
                <w:szCs w:val="18"/>
              </w:rPr>
              <w:t xml:space="preserve">All 17 engine services (fan-out)</w:t>
            </w:r>
          </w:p>
        </w:tc>
        <w:tc>
          <w:tcPr>
            <w:tcW w:type="dxa" w:w="1260"/>
            <w:shd w:fill="E8F5EE" w:val="clear"/>
          </w:tcPr>
          <w:p>
            <w:pPr>
              <w:spacing w:after="60" w:before="60"/>
            </w:pPr>
            <w:r>
              <w:rPr>
                <w:sz w:val="18"/>
                <w:szCs w:val="18"/>
              </w:rPr>
              <w:t xml:space="preserve">PigUpdatedEvent</w:t>
            </w:r>
          </w:p>
        </w:tc>
        <w:tc>
          <w:tcPr>
            <w:tcW w:type="dxa" w:w="1100"/>
            <w:shd w:fill="E8F5EE" w:val="clear"/>
          </w:tcPr>
          <w:p>
            <w:pPr>
              <w:spacing w:after="60" w:before="60"/>
            </w:pPr>
            <w:r>
              <w:rPr>
                <w:sz w:val="18"/>
                <w:szCs w:val="18"/>
              </w:rPr>
              <w:t xml:space="preserve">&lt; 5 s</w:t>
            </w:r>
          </w:p>
        </w:tc>
      </w:tr>
      <w:tr>
        <w:tc>
          <w:tcPr>
            <w:tcW w:type="dxa" w:w="2500"/>
            <w:shd w:fill="FFFFFF" w:val="clear"/>
          </w:tcPr>
          <w:p>
            <w:pPr>
              <w:spacing w:after="60" w:before="60"/>
            </w:pPr>
            <w:r>
              <w:rPr>
                <w:sz w:val="18"/>
                <w:szCs w:val="18"/>
              </w:rPr>
              <w:t xml:space="preserve">activity.updated</w:t>
            </w:r>
          </w:p>
        </w:tc>
        <w:tc>
          <w:tcPr>
            <w:tcW w:type="dxa" w:w="2000"/>
            <w:shd w:fill="FFFFFF" w:val="clear"/>
          </w:tcPr>
          <w:p>
            <w:pPr>
              <w:spacing w:after="60" w:before="60"/>
            </w:pPr>
            <w:r>
              <w:rPr>
                <w:sz w:val="18"/>
                <w:szCs w:val="18"/>
              </w:rPr>
              <w:t xml:space="preserve">API Gateway</w:t>
            </w:r>
          </w:p>
        </w:tc>
        <w:tc>
          <w:tcPr>
            <w:tcW w:type="dxa" w:w="2500"/>
            <w:shd w:fill="FFFFFF" w:val="clear"/>
          </w:tcPr>
          <w:p>
            <w:pPr>
              <w:spacing w:after="60" w:before="60"/>
            </w:pPr>
            <w:r>
              <w:rPr>
                <w:sz w:val="18"/>
                <w:szCs w:val="18"/>
              </w:rPr>
              <w:t xml:space="preserve">Evidence, Impact Analysis, Dependency Chain, Coordination</w:t>
            </w:r>
          </w:p>
        </w:tc>
        <w:tc>
          <w:tcPr>
            <w:tcW w:type="dxa" w:w="1260"/>
            <w:shd w:fill="FFFFFF" w:val="clear"/>
          </w:tcPr>
          <w:p>
            <w:pPr>
              <w:spacing w:after="60" w:before="60"/>
            </w:pPr>
            <w:r>
              <w:rPr>
                <w:sz w:val="18"/>
                <w:szCs w:val="18"/>
              </w:rPr>
              <w:t xml:space="preserve">ActivityUpdatedEvent</w:t>
            </w:r>
          </w:p>
        </w:tc>
        <w:tc>
          <w:tcPr>
            <w:tcW w:type="dxa" w:w="1100"/>
            <w:shd w:fill="FFFFFF" w:val="clear"/>
          </w:tcPr>
          <w:p>
            <w:pPr>
              <w:spacing w:after="60" w:before="60"/>
            </w:pPr>
            <w:r>
              <w:rPr>
                <w:sz w:val="18"/>
                <w:szCs w:val="18"/>
              </w:rPr>
              <w:t xml:space="preserve">&lt; 30 s</w:t>
            </w:r>
          </w:p>
        </w:tc>
      </w:tr>
      <w:tr>
        <w:tc>
          <w:tcPr>
            <w:tcW w:type="dxa" w:w="2500"/>
            <w:shd w:fill="E8F5EE" w:val="clear"/>
          </w:tcPr>
          <w:p>
            <w:pPr>
              <w:spacing w:after="60" w:before="60"/>
            </w:pPr>
            <w:r>
              <w:rPr>
                <w:sz w:val="18"/>
                <w:szCs w:val="18"/>
              </w:rPr>
              <w:t xml:space="preserve">activity.progress.updated</w:t>
            </w:r>
          </w:p>
        </w:tc>
        <w:tc>
          <w:tcPr>
            <w:tcW w:type="dxa" w:w="2000"/>
            <w:shd w:fill="E8F5EE" w:val="clear"/>
          </w:tcPr>
          <w:p>
            <w:pPr>
              <w:spacing w:after="60" w:before="60"/>
            </w:pPr>
            <w:r>
              <w:rPr>
                <w:sz w:val="18"/>
                <w:szCs w:val="18"/>
              </w:rPr>
              <w:t xml:space="preserve">API Gateway</w:t>
            </w:r>
          </w:p>
        </w:tc>
        <w:tc>
          <w:tcPr>
            <w:tcW w:type="dxa" w:w="2500"/>
            <w:shd w:fill="E8F5EE" w:val="clear"/>
          </w:tcPr>
          <w:p>
            <w:pPr>
              <w:spacing w:after="60" w:before="60"/>
            </w:pPr>
            <w:r>
              <w:rPr>
                <w:sz w:val="18"/>
                <w:szCs w:val="18"/>
              </w:rPr>
              <w:t xml:space="preserve">Evidence Engine, Forecasting, Reporting</w:t>
            </w:r>
          </w:p>
        </w:tc>
        <w:tc>
          <w:tcPr>
            <w:tcW w:type="dxa" w:w="1260"/>
            <w:shd w:fill="E8F5EE" w:val="clear"/>
          </w:tcPr>
          <w:p>
            <w:pPr>
              <w:spacing w:after="60" w:before="60"/>
            </w:pPr>
            <w:r>
              <w:rPr>
                <w:sz w:val="18"/>
                <w:szCs w:val="18"/>
              </w:rPr>
              <w:t xml:space="preserve">ProgressUpdatedEvent</w:t>
            </w:r>
          </w:p>
        </w:tc>
        <w:tc>
          <w:tcPr>
            <w:tcW w:type="dxa" w:w="1100"/>
            <w:shd w:fill="E8F5EE" w:val="clear"/>
          </w:tcPr>
          <w:p>
            <w:pPr>
              <w:spacing w:after="60" w:before="60"/>
            </w:pPr>
            <w:r>
              <w:rPr>
                <w:sz w:val="18"/>
                <w:szCs w:val="18"/>
              </w:rPr>
              <w:t xml:space="preserve">&lt; 30 s</w:t>
            </w:r>
          </w:p>
        </w:tc>
      </w:tr>
      <w:tr>
        <w:tc>
          <w:tcPr>
            <w:tcW w:type="dxa" w:w="2500"/>
            <w:shd w:fill="FFFFFF" w:val="clear"/>
          </w:tcPr>
          <w:p>
            <w:pPr>
              <w:spacing w:after="60" w:before="60"/>
            </w:pPr>
            <w:r>
              <w:rPr>
                <w:sz w:val="18"/>
                <w:szCs w:val="18"/>
              </w:rPr>
              <w:t xml:space="preserve">change.created</w:t>
            </w:r>
          </w:p>
        </w:tc>
        <w:tc>
          <w:tcPr>
            <w:tcW w:type="dxa" w:w="2000"/>
            <w:shd w:fill="FFFFFF" w:val="clear"/>
          </w:tcPr>
          <w:p>
            <w:pPr>
              <w:spacing w:after="60" w:before="60"/>
            </w:pPr>
            <w:r>
              <w:rPr>
                <w:sz w:val="18"/>
                <w:szCs w:val="18"/>
              </w:rPr>
              <w:t xml:space="preserve">API Gateway</w:t>
            </w:r>
          </w:p>
        </w:tc>
        <w:tc>
          <w:tcPr>
            <w:tcW w:type="dxa" w:w="2500"/>
            <w:shd w:fill="FFFFFF" w:val="clear"/>
          </w:tcPr>
          <w:p>
            <w:pPr>
              <w:spacing w:after="60" w:before="60"/>
            </w:pPr>
            <w:r>
              <w:rPr>
                <w:sz w:val="18"/>
                <w:szCs w:val="18"/>
              </w:rPr>
              <w:t xml:space="preserve">Impact Analysis, Risk, Coordination, Org Alignment, Decision</w:t>
            </w:r>
          </w:p>
        </w:tc>
        <w:tc>
          <w:tcPr>
            <w:tcW w:type="dxa" w:w="1260"/>
            <w:shd w:fill="FFFFFF" w:val="clear"/>
          </w:tcPr>
          <w:p>
            <w:pPr>
              <w:spacing w:after="60" w:before="60"/>
            </w:pPr>
            <w:r>
              <w:rPr>
                <w:sz w:val="18"/>
                <w:szCs w:val="18"/>
              </w:rPr>
              <w:t xml:space="preserve">ChangeCreatedEvent</w:t>
            </w:r>
          </w:p>
        </w:tc>
        <w:tc>
          <w:tcPr>
            <w:tcW w:type="dxa" w:w="1100"/>
            <w:shd w:fill="FFFFFF" w:val="clear"/>
          </w:tcPr>
          <w:p>
            <w:pPr>
              <w:spacing w:after="60" w:before="60"/>
            </w:pPr>
            <w:r>
              <w:rPr>
                <w:sz w:val="18"/>
                <w:szCs w:val="18"/>
              </w:rPr>
              <w:t xml:space="preserve">&lt; 30 s</w:t>
            </w:r>
          </w:p>
        </w:tc>
      </w:tr>
      <w:tr>
        <w:tc>
          <w:tcPr>
            <w:tcW w:type="dxa" w:w="2500"/>
            <w:shd w:fill="E8F5EE" w:val="clear"/>
          </w:tcPr>
          <w:p>
            <w:pPr>
              <w:spacing w:after="60" w:before="60"/>
            </w:pPr>
            <w:r>
              <w:rPr>
                <w:sz w:val="18"/>
                <w:szCs w:val="18"/>
              </w:rPr>
              <w:t xml:space="preserve">change.approved</w:t>
            </w:r>
          </w:p>
        </w:tc>
        <w:tc>
          <w:tcPr>
            <w:tcW w:type="dxa" w:w="2000"/>
            <w:shd w:fill="E8F5EE" w:val="clear"/>
          </w:tcPr>
          <w:p>
            <w:pPr>
              <w:spacing w:after="60" w:before="60"/>
            </w:pPr>
            <w:r>
              <w:rPr>
                <w:sz w:val="18"/>
                <w:szCs w:val="18"/>
              </w:rPr>
              <w:t xml:space="preserve">Decision Engine</w:t>
            </w:r>
          </w:p>
        </w:tc>
        <w:tc>
          <w:tcPr>
            <w:tcW w:type="dxa" w:w="2500"/>
            <w:shd w:fill="E8F5EE" w:val="clear"/>
          </w:tcPr>
          <w:p>
            <w:pPr>
              <w:spacing w:after="60" w:before="60"/>
            </w:pPr>
            <w:r>
              <w:rPr>
                <w:sz w:val="18"/>
                <w:szCs w:val="18"/>
              </w:rPr>
              <w:t xml:space="preserve">Coordination, Reporting, Org Memory</w:t>
            </w:r>
          </w:p>
        </w:tc>
        <w:tc>
          <w:tcPr>
            <w:tcW w:type="dxa" w:w="1260"/>
            <w:shd w:fill="E8F5EE" w:val="clear"/>
          </w:tcPr>
          <w:p>
            <w:pPr>
              <w:spacing w:after="60" w:before="60"/>
            </w:pPr>
            <w:r>
              <w:rPr>
                <w:sz w:val="18"/>
                <w:szCs w:val="18"/>
              </w:rPr>
              <w:t xml:space="preserve">ChangeApprovedEvent</w:t>
            </w:r>
          </w:p>
        </w:tc>
        <w:tc>
          <w:tcPr>
            <w:tcW w:type="dxa" w:w="1100"/>
            <w:shd w:fill="E8F5EE" w:val="clear"/>
          </w:tcPr>
          <w:p>
            <w:pPr>
              <w:spacing w:after="60" w:before="60"/>
            </w:pPr>
            <w:r>
              <w:rPr>
                <w:sz w:val="18"/>
                <w:szCs w:val="18"/>
              </w:rPr>
              <w:t xml:space="preserve">&lt; 60 s</w:t>
            </w:r>
          </w:p>
        </w:tc>
      </w:tr>
      <w:tr>
        <w:tc>
          <w:tcPr>
            <w:tcW w:type="dxa" w:w="2500"/>
            <w:shd w:fill="FFFFFF" w:val="clear"/>
          </w:tcPr>
          <w:p>
            <w:pPr>
              <w:spacing w:after="60" w:before="60"/>
            </w:pPr>
            <w:r>
              <w:rPr>
                <w:sz w:val="18"/>
                <w:szCs w:val="18"/>
              </w:rPr>
              <w:t xml:space="preserve">risk.identified</w:t>
            </w:r>
          </w:p>
        </w:tc>
        <w:tc>
          <w:tcPr>
            <w:tcW w:type="dxa" w:w="2000"/>
            <w:shd w:fill="FFFFFF" w:val="clear"/>
          </w:tcPr>
          <w:p>
            <w:pPr>
              <w:spacing w:after="60" w:before="60"/>
            </w:pPr>
            <w:r>
              <w:rPr>
                <w:sz w:val="18"/>
                <w:szCs w:val="18"/>
              </w:rPr>
              <w:t xml:space="preserve">Risk Engine</w:t>
            </w:r>
          </w:p>
        </w:tc>
        <w:tc>
          <w:tcPr>
            <w:tcW w:type="dxa" w:w="2500"/>
            <w:shd w:fill="FFFFFF" w:val="clear"/>
          </w:tcPr>
          <w:p>
            <w:pPr>
              <w:spacing w:after="60" w:before="60"/>
            </w:pPr>
            <w:r>
              <w:rPr>
                <w:sz w:val="18"/>
                <w:szCs w:val="18"/>
              </w:rPr>
              <w:t xml:space="preserve">Recommendation, Forecasting</w:t>
            </w:r>
          </w:p>
        </w:tc>
        <w:tc>
          <w:tcPr>
            <w:tcW w:type="dxa" w:w="1260"/>
            <w:shd w:fill="FFFFFF" w:val="clear"/>
          </w:tcPr>
          <w:p>
            <w:pPr>
              <w:spacing w:after="60" w:before="60"/>
            </w:pPr>
            <w:r>
              <w:rPr>
                <w:sz w:val="18"/>
                <w:szCs w:val="18"/>
              </w:rPr>
              <w:t xml:space="preserve">RiskIdentifiedEvent</w:t>
            </w:r>
          </w:p>
        </w:tc>
        <w:tc>
          <w:tcPr>
            <w:tcW w:type="dxa" w:w="1100"/>
            <w:shd w:fill="FFFFFF" w:val="clear"/>
          </w:tcPr>
          <w:p>
            <w:pPr>
              <w:spacing w:after="60" w:before="60"/>
            </w:pPr>
            <w:r>
              <w:rPr>
                <w:sz w:val="18"/>
                <w:szCs w:val="18"/>
              </w:rPr>
              <w:t xml:space="preserve">&lt; 30 s</w:t>
            </w:r>
          </w:p>
        </w:tc>
      </w:tr>
      <w:tr>
        <w:tc>
          <w:tcPr>
            <w:tcW w:type="dxa" w:w="2500"/>
            <w:shd w:fill="E8F5EE" w:val="clear"/>
          </w:tcPr>
          <w:p>
            <w:pPr>
              <w:spacing w:after="60" w:before="60"/>
            </w:pPr>
            <w:r>
              <w:rPr>
                <w:sz w:val="18"/>
                <w:szCs w:val="18"/>
              </w:rPr>
              <w:t xml:space="preserve">risk.escalated</w:t>
            </w:r>
          </w:p>
        </w:tc>
        <w:tc>
          <w:tcPr>
            <w:tcW w:type="dxa" w:w="2000"/>
            <w:shd w:fill="E8F5EE" w:val="clear"/>
          </w:tcPr>
          <w:p>
            <w:pPr>
              <w:spacing w:after="60" w:before="60"/>
            </w:pPr>
            <w:r>
              <w:rPr>
                <w:sz w:val="18"/>
                <w:szCs w:val="18"/>
              </w:rPr>
              <w:t xml:space="preserve">Risk Engine</w:t>
            </w:r>
          </w:p>
        </w:tc>
        <w:tc>
          <w:tcPr>
            <w:tcW w:type="dxa" w:w="2500"/>
            <w:shd w:fill="E8F5EE" w:val="clear"/>
          </w:tcPr>
          <w:p>
            <w:pPr>
              <w:spacing w:after="60" w:before="60"/>
            </w:pPr>
            <w:r>
              <w:rPr>
                <w:sz w:val="18"/>
                <w:szCs w:val="18"/>
              </w:rPr>
              <w:t xml:space="preserve">Recommendation, Coordination, Forecasting</w:t>
            </w:r>
          </w:p>
        </w:tc>
        <w:tc>
          <w:tcPr>
            <w:tcW w:type="dxa" w:w="1260"/>
            <w:shd w:fill="E8F5EE" w:val="clear"/>
          </w:tcPr>
          <w:p>
            <w:pPr>
              <w:spacing w:after="60" w:before="60"/>
            </w:pPr>
            <w:r>
              <w:rPr>
                <w:sz w:val="18"/>
                <w:szCs w:val="18"/>
              </w:rPr>
              <w:t xml:space="preserve">RiskEscalatedEvent</w:t>
            </w:r>
          </w:p>
        </w:tc>
        <w:tc>
          <w:tcPr>
            <w:tcW w:type="dxa" w:w="1100"/>
            <w:shd w:fill="E8F5EE" w:val="clear"/>
          </w:tcPr>
          <w:p>
            <w:pPr>
              <w:spacing w:after="60" w:before="60"/>
            </w:pPr>
            <w:r>
              <w:rPr>
                <w:sz w:val="18"/>
                <w:szCs w:val="18"/>
              </w:rPr>
              <w:t xml:space="preserve">&lt; 30 s</w:t>
            </w:r>
          </w:p>
        </w:tc>
      </w:tr>
      <w:tr>
        <w:tc>
          <w:tcPr>
            <w:tcW w:type="dxa" w:w="2500"/>
            <w:shd w:fill="FFFFFF" w:val="clear"/>
          </w:tcPr>
          <w:p>
            <w:pPr>
              <w:spacing w:after="60" w:before="60"/>
            </w:pPr>
            <w:r>
              <w:rPr>
                <w:sz w:val="18"/>
                <w:szCs w:val="18"/>
              </w:rPr>
              <w:t xml:space="preserve">vendor.score.updated</w:t>
            </w:r>
          </w:p>
        </w:tc>
        <w:tc>
          <w:tcPr>
            <w:tcW w:type="dxa" w:w="2000"/>
            <w:shd w:fill="FFFFFF" w:val="clear"/>
          </w:tcPr>
          <w:p>
            <w:pPr>
              <w:spacing w:after="60" w:before="60"/>
            </w:pPr>
            <w:r>
              <w:rPr>
                <w:sz w:val="18"/>
                <w:szCs w:val="18"/>
              </w:rPr>
              <w:t xml:space="preserve">Vendor Intelligence</w:t>
            </w:r>
          </w:p>
        </w:tc>
        <w:tc>
          <w:tcPr>
            <w:tcW w:type="dxa" w:w="2500"/>
            <w:shd w:fill="FFFFFF" w:val="clear"/>
          </w:tcPr>
          <w:p>
            <w:pPr>
              <w:spacing w:after="60" w:before="60"/>
            </w:pPr>
            <w:r>
              <w:rPr>
                <w:sz w:val="18"/>
                <w:szCs w:val="18"/>
              </w:rPr>
              <w:t xml:space="preserve">Recommendation, Forecasting</w:t>
            </w:r>
          </w:p>
        </w:tc>
        <w:tc>
          <w:tcPr>
            <w:tcW w:type="dxa" w:w="1260"/>
            <w:shd w:fill="FFFFFF" w:val="clear"/>
          </w:tcPr>
          <w:p>
            <w:pPr>
              <w:spacing w:after="60" w:before="60"/>
            </w:pPr>
            <w:r>
              <w:rPr>
                <w:sz w:val="18"/>
                <w:szCs w:val="18"/>
              </w:rPr>
              <w:t xml:space="preserve">VendorScoreUpdatedEvent</w:t>
            </w:r>
          </w:p>
        </w:tc>
        <w:tc>
          <w:tcPr>
            <w:tcW w:type="dxa" w:w="1100"/>
            <w:shd w:fill="FFFFFF" w:val="clear"/>
          </w:tcPr>
          <w:p>
            <w:pPr>
              <w:spacing w:after="60" w:before="60"/>
            </w:pPr>
            <w:r>
              <w:rPr>
                <w:sz w:val="18"/>
                <w:szCs w:val="18"/>
              </w:rPr>
              <w:t xml:space="preserve">&lt; 60 s</w:t>
            </w:r>
          </w:p>
        </w:tc>
      </w:tr>
      <w:tr>
        <w:tc>
          <w:tcPr>
            <w:tcW w:type="dxa" w:w="2500"/>
            <w:shd w:fill="E8F5EE" w:val="clear"/>
          </w:tcPr>
          <w:p>
            <w:pPr>
              <w:spacing w:after="60" w:before="60"/>
            </w:pPr>
            <w:r>
              <w:rPr>
                <w:sz w:val="18"/>
                <w:szCs w:val="18"/>
              </w:rPr>
              <w:t xml:space="preserve">dispatch.status.updated</w:t>
            </w:r>
          </w:p>
        </w:tc>
        <w:tc>
          <w:tcPr>
            <w:tcW w:type="dxa" w:w="2000"/>
            <w:shd w:fill="E8F5EE" w:val="clear"/>
          </w:tcPr>
          <w:p>
            <w:pPr>
              <w:spacing w:after="60" w:before="60"/>
            </w:pPr>
            <w:r>
              <w:rPr>
                <w:sz w:val="18"/>
                <w:szCs w:val="18"/>
              </w:rPr>
              <w:t xml:space="preserve">API Gateway</w:t>
            </w:r>
          </w:p>
        </w:tc>
        <w:tc>
          <w:tcPr>
            <w:tcW w:type="dxa" w:w="2500"/>
            <w:shd w:fill="E8F5EE" w:val="clear"/>
          </w:tcPr>
          <w:p>
            <w:pPr>
              <w:spacing w:after="60" w:before="60"/>
            </w:pPr>
            <w:r>
              <w:rPr>
                <w:sz w:val="18"/>
                <w:szCs w:val="18"/>
              </w:rPr>
              <w:t xml:space="preserve">Supply Chain, Evidence Engine</w:t>
            </w:r>
          </w:p>
        </w:tc>
        <w:tc>
          <w:tcPr>
            <w:tcW w:type="dxa" w:w="1260"/>
            <w:shd w:fill="E8F5EE" w:val="clear"/>
          </w:tcPr>
          <w:p>
            <w:pPr>
              <w:spacing w:after="60" w:before="60"/>
            </w:pPr>
            <w:r>
              <w:rPr>
                <w:sz w:val="18"/>
                <w:szCs w:val="18"/>
              </w:rPr>
              <w:t xml:space="preserve">DispatchStatusEvent</w:t>
            </w:r>
          </w:p>
        </w:tc>
        <w:tc>
          <w:tcPr>
            <w:tcW w:type="dxa" w:w="1100"/>
            <w:shd w:fill="E8F5EE" w:val="clear"/>
          </w:tcPr>
          <w:p>
            <w:pPr>
              <w:spacing w:after="60" w:before="60"/>
            </w:pPr>
            <w:r>
              <w:rPr>
                <w:sz w:val="18"/>
                <w:szCs w:val="18"/>
              </w:rPr>
              <w:t xml:space="preserve">&lt; 30 s</w:t>
            </w:r>
          </w:p>
        </w:tc>
      </w:tr>
      <w:tr>
        <w:tc>
          <w:tcPr>
            <w:tcW w:type="dxa" w:w="2500"/>
            <w:shd w:fill="FFFFFF" w:val="clear"/>
          </w:tcPr>
          <w:p>
            <w:pPr>
              <w:spacing w:after="60" w:before="60"/>
            </w:pPr>
            <w:r>
              <w:rPr>
                <w:sz w:val="18"/>
                <w:szCs w:val="18"/>
              </w:rPr>
              <w:t xml:space="preserve">drawing.issued</w:t>
            </w:r>
          </w:p>
        </w:tc>
        <w:tc>
          <w:tcPr>
            <w:tcW w:type="dxa" w:w="2000"/>
            <w:shd w:fill="FFFFFF" w:val="clear"/>
          </w:tcPr>
          <w:p>
            <w:pPr>
              <w:spacing w:after="60" w:before="60"/>
            </w:pPr>
            <w:r>
              <w:rPr>
                <w:sz w:val="18"/>
                <w:szCs w:val="18"/>
              </w:rPr>
              <w:t xml:space="preserve">API Gateway</w:t>
            </w:r>
          </w:p>
        </w:tc>
        <w:tc>
          <w:tcPr>
            <w:tcW w:type="dxa" w:w="2500"/>
            <w:shd w:fill="FFFFFF" w:val="clear"/>
          </w:tcPr>
          <w:p>
            <w:pPr>
              <w:spacing w:after="60" w:before="60"/>
            </w:pPr>
            <w:r>
              <w:rPr>
                <w:sz w:val="18"/>
                <w:szCs w:val="18"/>
              </w:rPr>
              <w:t xml:space="preserve">Dependency Chain, Sync Consistency, Org Alignment</w:t>
            </w:r>
          </w:p>
        </w:tc>
        <w:tc>
          <w:tcPr>
            <w:tcW w:type="dxa" w:w="1260"/>
            <w:shd w:fill="FFFFFF" w:val="clear"/>
          </w:tcPr>
          <w:p>
            <w:pPr>
              <w:spacing w:after="60" w:before="60"/>
            </w:pPr>
            <w:r>
              <w:rPr>
                <w:sz w:val="18"/>
                <w:szCs w:val="18"/>
              </w:rPr>
              <w:t xml:space="preserve">DrawingIssuedEvent</w:t>
            </w:r>
          </w:p>
        </w:tc>
        <w:tc>
          <w:tcPr>
            <w:tcW w:type="dxa" w:w="1100"/>
            <w:shd w:fill="FFFFFF" w:val="clear"/>
          </w:tcPr>
          <w:p>
            <w:pPr>
              <w:spacing w:after="60" w:before="60"/>
            </w:pPr>
            <w:r>
              <w:rPr>
                <w:sz w:val="18"/>
                <w:szCs w:val="18"/>
              </w:rPr>
              <w:t xml:space="preserve">&lt; 30 s</w:t>
            </w:r>
          </w:p>
        </w:tc>
      </w:tr>
      <w:tr>
        <w:tc>
          <w:tcPr>
            <w:tcW w:type="dxa" w:w="2500"/>
            <w:shd w:fill="E8F5EE" w:val="clear"/>
          </w:tcPr>
          <w:p>
            <w:pPr>
              <w:spacing w:after="60" w:before="60"/>
            </w:pPr>
            <w:r>
              <w:rPr>
                <w:sz w:val="18"/>
                <w:szCs w:val="18"/>
              </w:rPr>
              <w:t xml:space="preserve">decision.created</w:t>
            </w:r>
          </w:p>
        </w:tc>
        <w:tc>
          <w:tcPr>
            <w:tcW w:type="dxa" w:w="2000"/>
            <w:shd w:fill="E8F5EE" w:val="clear"/>
          </w:tcPr>
          <w:p>
            <w:pPr>
              <w:spacing w:after="60" w:before="60"/>
            </w:pPr>
            <w:r>
              <w:rPr>
                <w:sz w:val="18"/>
                <w:szCs w:val="18"/>
              </w:rPr>
              <w:t xml:space="preserve">API Gateway</w:t>
            </w:r>
          </w:p>
        </w:tc>
        <w:tc>
          <w:tcPr>
            <w:tcW w:type="dxa" w:w="2500"/>
            <w:shd w:fill="E8F5EE" w:val="clear"/>
          </w:tcPr>
          <w:p>
            <w:pPr>
              <w:spacing w:after="60" w:before="60"/>
            </w:pPr>
            <w:r>
              <w:rPr>
                <w:sz w:val="18"/>
                <w:szCs w:val="18"/>
              </w:rPr>
              <w:t xml:space="preserve">Decision Engine</w:t>
            </w:r>
          </w:p>
        </w:tc>
        <w:tc>
          <w:tcPr>
            <w:tcW w:type="dxa" w:w="1260"/>
            <w:shd w:fill="E8F5EE" w:val="clear"/>
          </w:tcPr>
          <w:p>
            <w:pPr>
              <w:spacing w:after="60" w:before="60"/>
            </w:pPr>
            <w:r>
              <w:rPr>
                <w:sz w:val="18"/>
                <w:szCs w:val="18"/>
              </w:rPr>
              <w:t xml:space="preserve">DecisionCreatedEvent</w:t>
            </w:r>
          </w:p>
        </w:tc>
        <w:tc>
          <w:tcPr>
            <w:tcW w:type="dxa" w:w="1100"/>
            <w:shd w:fill="E8F5EE" w:val="clear"/>
          </w:tcPr>
          <w:p>
            <w:pPr>
              <w:spacing w:after="60" w:before="60"/>
            </w:pPr>
            <w:r>
              <w:rPr>
                <w:sz w:val="18"/>
                <w:szCs w:val="18"/>
              </w:rPr>
              <w:t xml:space="preserve">&lt; 30 s</w:t>
            </w:r>
          </w:p>
        </w:tc>
      </w:tr>
      <w:tr>
        <w:tc>
          <w:tcPr>
            <w:tcW w:type="dxa" w:w="2500"/>
            <w:shd w:fill="FFFFFF" w:val="clear"/>
          </w:tcPr>
          <w:p>
            <w:pPr>
              <w:spacing w:after="60" w:before="60"/>
            </w:pPr>
            <w:r>
              <w:rPr>
                <w:sz w:val="18"/>
                <w:szCs w:val="18"/>
              </w:rPr>
              <w:t xml:space="preserve">decision.approved</w:t>
            </w:r>
          </w:p>
        </w:tc>
        <w:tc>
          <w:tcPr>
            <w:tcW w:type="dxa" w:w="2000"/>
            <w:shd w:fill="FFFFFF" w:val="clear"/>
          </w:tcPr>
          <w:p>
            <w:pPr>
              <w:spacing w:after="60" w:before="60"/>
            </w:pPr>
            <w:r>
              <w:rPr>
                <w:sz w:val="18"/>
                <w:szCs w:val="18"/>
              </w:rPr>
              <w:t xml:space="preserve">Decision Engine</w:t>
            </w:r>
          </w:p>
        </w:tc>
        <w:tc>
          <w:tcPr>
            <w:tcW w:type="dxa" w:w="2500"/>
            <w:shd w:fill="FFFFFF" w:val="clear"/>
          </w:tcPr>
          <w:p>
            <w:pPr>
              <w:spacing w:after="60" w:before="60"/>
            </w:pPr>
            <w:r>
              <w:rPr>
                <w:sz w:val="18"/>
                <w:szCs w:val="18"/>
              </w:rPr>
              <w:t xml:space="preserve">Coordination, Reporting, Org Memory</w:t>
            </w:r>
          </w:p>
        </w:tc>
        <w:tc>
          <w:tcPr>
            <w:tcW w:type="dxa" w:w="1260"/>
            <w:shd w:fill="FFFFFF" w:val="clear"/>
          </w:tcPr>
          <w:p>
            <w:pPr>
              <w:spacing w:after="60" w:before="60"/>
            </w:pPr>
            <w:r>
              <w:rPr>
                <w:sz w:val="18"/>
                <w:szCs w:val="18"/>
              </w:rPr>
              <w:t xml:space="preserve">DecisionApprovedEvent</w:t>
            </w:r>
          </w:p>
        </w:tc>
        <w:tc>
          <w:tcPr>
            <w:tcW w:type="dxa" w:w="1100"/>
            <w:shd w:fill="FFFFFF" w:val="clear"/>
          </w:tcPr>
          <w:p>
            <w:pPr>
              <w:spacing w:after="60" w:before="60"/>
            </w:pPr>
            <w:r>
              <w:rPr>
                <w:sz w:val="18"/>
                <w:szCs w:val="18"/>
              </w:rPr>
              <w:t xml:space="preserve">&lt; 60 s</w:t>
            </w:r>
          </w:p>
        </w:tc>
      </w:tr>
      <w:tr>
        <w:tc>
          <w:tcPr>
            <w:tcW w:type="dxa" w:w="2500"/>
            <w:shd w:fill="E8F5EE" w:val="clear"/>
          </w:tcPr>
          <w:p>
            <w:pPr>
              <w:spacing w:after="60" w:before="60"/>
            </w:pPr>
            <w:r>
              <w:rPr>
                <w:sz w:val="18"/>
                <w:szCs w:val="18"/>
              </w:rPr>
              <w:t xml:space="preserve">forecast.updated</w:t>
            </w:r>
          </w:p>
        </w:tc>
        <w:tc>
          <w:tcPr>
            <w:tcW w:type="dxa" w:w="2000"/>
            <w:shd w:fill="E8F5EE" w:val="clear"/>
          </w:tcPr>
          <w:p>
            <w:pPr>
              <w:spacing w:after="60" w:before="60"/>
            </w:pPr>
            <w:r>
              <w:rPr>
                <w:sz w:val="18"/>
                <w:szCs w:val="18"/>
              </w:rPr>
              <w:t xml:space="preserve">Forecasting Engine</w:t>
            </w:r>
          </w:p>
        </w:tc>
        <w:tc>
          <w:tcPr>
            <w:tcW w:type="dxa" w:w="2500"/>
            <w:shd w:fill="E8F5EE" w:val="clear"/>
          </w:tcPr>
          <w:p>
            <w:pPr>
              <w:spacing w:after="60" w:before="60"/>
            </w:pPr>
            <w:r>
              <w:rPr>
                <w:sz w:val="18"/>
                <w:szCs w:val="18"/>
              </w:rPr>
              <w:t xml:space="preserve">Recommendation, Reporting</w:t>
            </w:r>
          </w:p>
        </w:tc>
        <w:tc>
          <w:tcPr>
            <w:tcW w:type="dxa" w:w="1260"/>
            <w:shd w:fill="E8F5EE" w:val="clear"/>
          </w:tcPr>
          <w:p>
            <w:pPr>
              <w:spacing w:after="60" w:before="60"/>
            </w:pPr>
            <w:r>
              <w:rPr>
                <w:sz w:val="18"/>
                <w:szCs w:val="18"/>
              </w:rPr>
              <w:t xml:space="preserve">ForecastUpdatedEvent</w:t>
            </w:r>
          </w:p>
        </w:tc>
        <w:tc>
          <w:tcPr>
            <w:tcW w:type="dxa" w:w="1100"/>
            <w:shd w:fill="E8F5EE" w:val="clear"/>
          </w:tcPr>
          <w:p>
            <w:pPr>
              <w:spacing w:after="60" w:before="60"/>
            </w:pPr>
            <w:r>
              <w:rPr>
                <w:sz w:val="18"/>
                <w:szCs w:val="18"/>
              </w:rPr>
              <w:t xml:space="preserve">&lt; 60 s</w:t>
            </w:r>
          </w:p>
        </w:tc>
      </w:tr>
      <w:tr>
        <w:tc>
          <w:tcPr>
            <w:tcW w:type="dxa" w:w="2500"/>
            <w:shd w:fill="FFFFFF" w:val="clear"/>
          </w:tcPr>
          <w:p>
            <w:pPr>
              <w:spacing w:after="60" w:before="60"/>
            </w:pPr>
            <w:r>
              <w:rPr>
                <w:sz w:val="18"/>
                <w:szCs w:val="18"/>
              </w:rPr>
              <w:t xml:space="preserve">report.requested</w:t>
            </w:r>
          </w:p>
        </w:tc>
        <w:tc>
          <w:tcPr>
            <w:tcW w:type="dxa" w:w="2000"/>
            <w:shd w:fill="FFFFFF" w:val="clear"/>
          </w:tcPr>
          <w:p>
            <w:pPr>
              <w:spacing w:after="60" w:before="60"/>
            </w:pPr>
            <w:r>
              <w:rPr>
                <w:sz w:val="18"/>
                <w:szCs w:val="18"/>
              </w:rPr>
              <w:t xml:space="preserve">API Gateway</w:t>
            </w:r>
          </w:p>
        </w:tc>
        <w:tc>
          <w:tcPr>
            <w:tcW w:type="dxa" w:w="2500"/>
            <w:shd w:fill="FFFFFF" w:val="clear"/>
          </w:tcPr>
          <w:p>
            <w:pPr>
              <w:spacing w:after="60" w:before="60"/>
            </w:pPr>
            <w:r>
              <w:rPr>
                <w:sz w:val="18"/>
                <w:szCs w:val="18"/>
              </w:rPr>
              <w:t xml:space="preserve">Reporting Engine</w:t>
            </w:r>
          </w:p>
        </w:tc>
        <w:tc>
          <w:tcPr>
            <w:tcW w:type="dxa" w:w="1260"/>
            <w:shd w:fill="FFFFFF" w:val="clear"/>
          </w:tcPr>
          <w:p>
            <w:pPr>
              <w:spacing w:after="60" w:before="60"/>
            </w:pPr>
            <w:r>
              <w:rPr>
                <w:sz w:val="18"/>
                <w:szCs w:val="18"/>
              </w:rPr>
              <w:t xml:space="preserve">ReportRequestedEvent</w:t>
            </w:r>
          </w:p>
        </w:tc>
        <w:tc>
          <w:tcPr>
            <w:tcW w:type="dxa" w:w="1100"/>
            <w:shd w:fill="FFFFFF" w:val="clear"/>
          </w:tcPr>
          <w:p>
            <w:pPr>
              <w:spacing w:after="60" w:before="60"/>
            </w:pPr>
            <w:r>
              <w:rPr>
                <w:sz w:val="18"/>
                <w:szCs w:val="18"/>
              </w:rPr>
              <w:t xml:space="preserve">&lt; 120 s</w:t>
            </w:r>
          </w:p>
        </w:tc>
      </w:tr>
      <w:tr>
        <w:tc>
          <w:tcPr>
            <w:tcW w:type="dxa" w:w="2500"/>
            <w:shd w:fill="E8F5EE" w:val="clear"/>
          </w:tcPr>
          <w:p>
            <w:pPr>
              <w:spacing w:after="60" w:before="60"/>
            </w:pPr>
            <w:r>
              <w:rPr>
                <w:sz w:val="18"/>
                <w:szCs w:val="18"/>
              </w:rPr>
              <w:t xml:space="preserve">alignment.gap.detected</w:t>
            </w:r>
          </w:p>
        </w:tc>
        <w:tc>
          <w:tcPr>
            <w:tcW w:type="dxa" w:w="2000"/>
            <w:shd w:fill="E8F5EE" w:val="clear"/>
          </w:tcPr>
          <w:p>
            <w:pPr>
              <w:spacing w:after="60" w:before="60"/>
            </w:pPr>
            <w:r>
              <w:rPr>
                <w:sz w:val="18"/>
                <w:szCs w:val="18"/>
              </w:rPr>
              <w:t xml:space="preserve">Org Alignment Engine</w:t>
            </w:r>
          </w:p>
        </w:tc>
        <w:tc>
          <w:tcPr>
            <w:tcW w:type="dxa" w:w="2500"/>
            <w:shd w:fill="E8F5EE" w:val="clear"/>
          </w:tcPr>
          <w:p>
            <w:pPr>
              <w:spacing w:after="60" w:before="60"/>
            </w:pPr>
            <w:r>
              <w:rPr>
                <w:sz w:val="18"/>
                <w:szCs w:val="18"/>
              </w:rPr>
              <w:t xml:space="preserve">Recommendation, Coordination</w:t>
            </w:r>
          </w:p>
        </w:tc>
        <w:tc>
          <w:tcPr>
            <w:tcW w:type="dxa" w:w="1260"/>
            <w:shd w:fill="E8F5EE" w:val="clear"/>
          </w:tcPr>
          <w:p>
            <w:pPr>
              <w:spacing w:after="60" w:before="60"/>
            </w:pPr>
            <w:r>
              <w:rPr>
                <w:sz w:val="18"/>
                <w:szCs w:val="18"/>
              </w:rPr>
              <w:t xml:space="preserve">AlignmentGapEvent</w:t>
            </w:r>
          </w:p>
        </w:tc>
        <w:tc>
          <w:tcPr>
            <w:tcW w:type="dxa" w:w="1100"/>
            <w:shd w:fill="E8F5EE" w:val="clear"/>
          </w:tcPr>
          <w:p>
            <w:pPr>
              <w:spacing w:after="60" w:before="60"/>
            </w:pPr>
            <w:r>
              <w:rPr>
                <w:sz w:val="18"/>
                <w:szCs w:val="18"/>
              </w:rPr>
              <w:t xml:space="preserve">&lt; 60 s</w:t>
            </w:r>
          </w:p>
        </w:tc>
      </w:tr>
      <w:tr>
        <w:tc>
          <w:tcPr>
            <w:tcW w:type="dxa" w:w="2500"/>
            <w:shd w:fill="FFFFFF" w:val="clear"/>
          </w:tcPr>
          <w:p>
            <w:pPr>
              <w:spacing w:after="60" w:before="60"/>
            </w:pPr>
            <w:r>
              <w:rPr>
                <w:sz w:val="18"/>
                <w:szCs w:val="18"/>
              </w:rPr>
              <w:t xml:space="preserve">consistency.conflict.detected</w:t>
            </w:r>
          </w:p>
        </w:tc>
        <w:tc>
          <w:tcPr>
            <w:tcW w:type="dxa" w:w="2000"/>
            <w:shd w:fill="FFFFFF" w:val="clear"/>
          </w:tcPr>
          <w:p>
            <w:pPr>
              <w:spacing w:after="60" w:before="60"/>
            </w:pPr>
            <w:r>
              <w:rPr>
                <w:sz w:val="18"/>
                <w:szCs w:val="18"/>
              </w:rPr>
              <w:t xml:space="preserve">Sync Consistency</w:t>
            </w:r>
          </w:p>
        </w:tc>
        <w:tc>
          <w:tcPr>
            <w:tcW w:type="dxa" w:w="2500"/>
            <w:shd w:fill="FFFFFF" w:val="clear"/>
          </w:tcPr>
          <w:p>
            <w:pPr>
              <w:spacing w:after="60" w:before="60"/>
            </w:pPr>
            <w:r>
              <w:rPr>
                <w:sz w:val="18"/>
                <w:szCs w:val="18"/>
              </w:rPr>
              <w:t xml:space="preserve">Recommendation, Org Alignment</w:t>
            </w:r>
          </w:p>
        </w:tc>
        <w:tc>
          <w:tcPr>
            <w:tcW w:type="dxa" w:w="1260"/>
            <w:shd w:fill="FFFFFF" w:val="clear"/>
          </w:tcPr>
          <w:p>
            <w:pPr>
              <w:spacing w:after="60" w:before="60"/>
            </w:pPr>
            <w:r>
              <w:rPr>
                <w:sz w:val="18"/>
                <w:szCs w:val="18"/>
              </w:rPr>
              <w:t xml:space="preserve">ConsistencyConflictEvent</w:t>
            </w:r>
          </w:p>
        </w:tc>
        <w:tc>
          <w:tcPr>
            <w:tcW w:type="dxa" w:w="1100"/>
            <w:shd w:fill="FFFFFF" w:val="clear"/>
          </w:tcPr>
          <w:p>
            <w:pPr>
              <w:spacing w:after="60" w:before="60"/>
            </w:pPr>
            <w:r>
              <w:rPr>
                <w:sz w:val="18"/>
                <w:szCs w:val="18"/>
              </w:rPr>
              <w:t xml:space="preserve">&lt; 30 s</w:t>
            </w:r>
          </w:p>
        </w:tc>
      </w:tr>
      <w:tr>
        <w:tc>
          <w:tcPr>
            <w:tcW w:type="dxa" w:w="2500"/>
            <w:shd w:fill="E8F5EE" w:val="clear"/>
          </w:tcPr>
          <w:p>
            <w:pPr>
              <w:spacing w:after="60" w:before="60"/>
            </w:pPr>
            <w:r>
              <w:rPr>
                <w:sz w:val="18"/>
                <w:szCs w:val="18"/>
              </w:rPr>
              <w:t xml:space="preserve">recommendation.generated</w:t>
            </w:r>
          </w:p>
        </w:tc>
        <w:tc>
          <w:tcPr>
            <w:tcW w:type="dxa" w:w="2000"/>
            <w:shd w:fill="E8F5EE" w:val="clear"/>
          </w:tcPr>
          <w:p>
            <w:pPr>
              <w:spacing w:after="60" w:before="60"/>
            </w:pPr>
            <w:r>
              <w:rPr>
                <w:sz w:val="18"/>
                <w:szCs w:val="18"/>
              </w:rPr>
              <w:t xml:space="preserve">Recommendation Engine</w:t>
            </w:r>
          </w:p>
        </w:tc>
        <w:tc>
          <w:tcPr>
            <w:tcW w:type="dxa" w:w="2500"/>
            <w:shd w:fill="E8F5EE" w:val="clear"/>
          </w:tcPr>
          <w:p>
            <w:pPr>
              <w:spacing w:after="60" w:before="60"/>
            </w:pPr>
            <w:r>
              <w:rPr>
                <w:sz w:val="18"/>
                <w:szCs w:val="18"/>
              </w:rPr>
              <w:t xml:space="preserve">API Gateway (cache update)</w:t>
            </w:r>
          </w:p>
        </w:tc>
        <w:tc>
          <w:tcPr>
            <w:tcW w:type="dxa" w:w="1260"/>
            <w:shd w:fill="E8F5EE" w:val="clear"/>
          </w:tcPr>
          <w:p>
            <w:pPr>
              <w:spacing w:after="60" w:before="60"/>
            </w:pPr>
            <w:r>
              <w:rPr>
                <w:sz w:val="18"/>
                <w:szCs w:val="18"/>
              </w:rPr>
              <w:t xml:space="preserve">RecommendationEvent</w:t>
            </w:r>
          </w:p>
        </w:tc>
        <w:tc>
          <w:tcPr>
            <w:tcW w:type="dxa" w:w="1100"/>
            <w:shd w:fill="E8F5EE" w:val="clear"/>
          </w:tcPr>
          <w:p>
            <w:pPr>
              <w:spacing w:after="60" w:before="60"/>
            </w:pPr>
            <w:r>
              <w:rPr>
                <w:sz w:val="18"/>
                <w:szCs w:val="18"/>
              </w:rPr>
              <w:t xml:space="preserve">&lt; 30 s</w:t>
            </w:r>
          </w:p>
        </w:tc>
      </w:tr>
      <w:tr>
        <w:tc>
          <w:tcPr>
            <w:tcW w:type="dxa" w:w="2500"/>
            <w:shd w:fill="FFFFFF" w:val="clear"/>
          </w:tcPr>
          <w:p>
            <w:pPr>
              <w:spacing w:after="60" w:before="60"/>
            </w:pPr>
            <w:r>
              <w:rPr>
                <w:sz w:val="18"/>
                <w:szCs w:val="18"/>
              </w:rPr>
              <w:t xml:space="preserve">copilot.query.submitted</w:t>
            </w:r>
          </w:p>
        </w:tc>
        <w:tc>
          <w:tcPr>
            <w:tcW w:type="dxa" w:w="2000"/>
            <w:shd w:fill="FFFFFF" w:val="clear"/>
          </w:tcPr>
          <w:p>
            <w:pPr>
              <w:spacing w:after="60" w:before="60"/>
            </w:pPr>
            <w:r>
              <w:rPr>
                <w:sz w:val="18"/>
                <w:szCs w:val="18"/>
              </w:rPr>
              <w:t xml:space="preserve">AI Orchestration</w:t>
            </w:r>
          </w:p>
        </w:tc>
        <w:tc>
          <w:tcPr>
            <w:tcW w:type="dxa" w:w="2500"/>
            <w:shd w:fill="FFFFFF" w:val="clear"/>
          </w:tcPr>
          <w:p>
            <w:pPr>
              <w:spacing w:after="60" w:before="60"/>
            </w:pPr>
            <w:r>
              <w:rPr>
                <w:sz w:val="18"/>
                <w:szCs w:val="18"/>
              </w:rPr>
              <w:t xml:space="preserve">AI Orchestration (internal fan-out)</w:t>
            </w:r>
          </w:p>
        </w:tc>
        <w:tc>
          <w:tcPr>
            <w:tcW w:type="dxa" w:w="1260"/>
            <w:shd w:fill="FFFFFF" w:val="clear"/>
          </w:tcPr>
          <w:p>
            <w:pPr>
              <w:spacing w:after="60" w:before="60"/>
            </w:pPr>
            <w:r>
              <w:rPr>
                <w:sz w:val="18"/>
                <w:szCs w:val="18"/>
              </w:rPr>
              <w:t xml:space="preserve">CopilotQueryEvent</w:t>
            </w:r>
          </w:p>
        </w:tc>
        <w:tc>
          <w:tcPr>
            <w:tcW w:type="dxa" w:w="1100"/>
            <w:shd w:fill="FFFFFF" w:val="clear"/>
          </w:tcPr>
          <w:p>
            <w:pPr>
              <w:spacing w:after="60" w:before="60"/>
            </w:pPr>
            <w:r>
              <w:rPr>
                <w:sz w:val="18"/>
                <w:szCs w:val="18"/>
              </w:rPr>
              <w:t xml:space="preserve">&lt; 5 s</w:t>
            </w:r>
          </w:p>
        </w:tc>
      </w:tr>
      <w:tr>
        <w:tc>
          <w:tcPr>
            <w:tcW w:type="dxa" w:w="2500"/>
            <w:shd w:fill="E8F5EE" w:val="clear"/>
          </w:tcPr>
          <w:p>
            <w:pPr>
              <w:spacing w:after="60" w:before="60"/>
            </w:pPr>
            <w:r>
              <w:rPr>
                <w:sz w:val="18"/>
                <w:szCs w:val="18"/>
              </w:rPr>
              <w:t xml:space="preserve">readiness.evaluated</w:t>
            </w:r>
          </w:p>
        </w:tc>
        <w:tc>
          <w:tcPr>
            <w:tcW w:type="dxa" w:w="2000"/>
            <w:shd w:fill="E8F5EE" w:val="clear"/>
          </w:tcPr>
          <w:p>
            <w:pPr>
              <w:spacing w:after="60" w:before="60"/>
            </w:pPr>
            <w:r>
              <w:rPr>
                <w:sz w:val="18"/>
                <w:szCs w:val="18"/>
              </w:rPr>
              <w:t xml:space="preserve">Readiness Engine</w:t>
            </w:r>
          </w:p>
        </w:tc>
        <w:tc>
          <w:tcPr>
            <w:tcW w:type="dxa" w:w="2500"/>
            <w:shd w:fill="E8F5EE" w:val="clear"/>
          </w:tcPr>
          <w:p>
            <w:pPr>
              <w:spacing w:after="60" w:before="60"/>
            </w:pPr>
            <w:r>
              <w:rPr>
                <w:sz w:val="18"/>
                <w:szCs w:val="18"/>
              </w:rPr>
              <w:t xml:space="preserve">Firestore PCC Panel 4, Forecasting [NEW]</w:t>
            </w:r>
          </w:p>
        </w:tc>
        <w:tc>
          <w:tcPr>
            <w:tcW w:type="dxa" w:w="1260"/>
            <w:shd w:fill="E8F5EE" w:val="clear"/>
          </w:tcPr>
          <w:p>
            <w:pPr>
              <w:spacing w:after="60" w:before="60"/>
            </w:pPr>
            <w:r>
              <w:rPr>
                <w:sz w:val="18"/>
                <w:szCs w:val="18"/>
              </w:rPr>
              <w:t xml:space="preserve">ReadinessEvaluatedEvent</w:t>
            </w:r>
          </w:p>
        </w:tc>
        <w:tc>
          <w:tcPr>
            <w:tcW w:type="dxa" w:w="1100"/>
            <w:shd w:fill="E8F5EE" w:val="clear"/>
          </w:tcPr>
          <w:p>
            <w:pPr>
              <w:spacing w:after="60" w:before="60"/>
            </w:pPr>
            <w:r>
              <w:rPr>
                <w:sz w:val="18"/>
                <w:szCs w:val="18"/>
              </w:rPr>
              <w:t xml:space="preserve">&lt; 60 s</w:t>
            </w:r>
          </w:p>
        </w:tc>
      </w:tr>
      <w:tr>
        <w:tc>
          <w:tcPr>
            <w:tcW w:type="dxa" w:w="2500"/>
            <w:shd w:fill="FFFFFF" w:val="clear"/>
          </w:tcPr>
          <w:p>
            <w:pPr>
              <w:spacing w:after="60" w:before="60"/>
            </w:pPr>
            <w:r>
              <w:rPr>
                <w:sz w:val="18"/>
                <w:szCs w:val="18"/>
              </w:rPr>
              <w:t xml:space="preserve">simulation.completed</w:t>
            </w:r>
          </w:p>
        </w:tc>
        <w:tc>
          <w:tcPr>
            <w:tcW w:type="dxa" w:w="2000"/>
            <w:shd w:fill="FFFFFF" w:val="clear"/>
          </w:tcPr>
          <w:p>
            <w:pPr>
              <w:spacing w:after="60" w:before="60"/>
            </w:pPr>
            <w:r>
              <w:rPr>
                <w:sz w:val="18"/>
                <w:szCs w:val="18"/>
              </w:rPr>
              <w:t xml:space="preserve">Simulation Engine</w:t>
            </w:r>
          </w:p>
        </w:tc>
        <w:tc>
          <w:tcPr>
            <w:tcW w:type="dxa" w:w="2500"/>
            <w:shd w:fill="FFFFFF" w:val="clear"/>
          </w:tcPr>
          <w:p>
            <w:pPr>
              <w:spacing w:after="60" w:before="60"/>
            </w:pPr>
            <w:r>
              <w:rPr>
                <w:sz w:val="18"/>
                <w:szCs w:val="18"/>
              </w:rPr>
              <w:t xml:space="preserve">Firestore PCC Panel 1 [NEW]</w:t>
            </w:r>
          </w:p>
        </w:tc>
        <w:tc>
          <w:tcPr>
            <w:tcW w:type="dxa" w:w="1260"/>
            <w:shd w:fill="FFFFFF" w:val="clear"/>
          </w:tcPr>
          <w:p>
            <w:pPr>
              <w:spacing w:after="60" w:before="60"/>
            </w:pPr>
            <w:r>
              <w:rPr>
                <w:sz w:val="18"/>
                <w:szCs w:val="18"/>
              </w:rPr>
              <w:t xml:space="preserve">SimulationCompletedEvent</w:t>
            </w:r>
          </w:p>
        </w:tc>
        <w:tc>
          <w:tcPr>
            <w:tcW w:type="dxa" w:w="1100"/>
            <w:shd w:fill="FFFFFF" w:val="clear"/>
          </w:tcPr>
          <w:p>
            <w:pPr>
              <w:spacing w:after="60" w:before="60"/>
            </w:pPr>
            <w:r>
              <w:rPr>
                <w:sz w:val="18"/>
                <w:szCs w:val="18"/>
              </w:rPr>
              <w:t xml:space="preserve">&lt; 120 s</w:t>
            </w:r>
          </w:p>
        </w:tc>
      </w:tr>
      <w:tr>
        <w:tc>
          <w:tcPr>
            <w:tcW w:type="dxa" w:w="2500"/>
            <w:shd w:fill="E8F5EE" w:val="clear"/>
          </w:tcPr>
          <w:p>
            <w:pPr>
              <w:spacing w:after="60" w:before="60"/>
            </w:pPr>
            <w:r>
              <w:rPr>
                <w:sz w:val="18"/>
                <w:szCs w:val="18"/>
              </w:rPr>
              <w:t xml:space="preserve">coordination.item.created</w:t>
            </w:r>
          </w:p>
        </w:tc>
        <w:tc>
          <w:tcPr>
            <w:tcW w:type="dxa" w:w="2000"/>
            <w:shd w:fill="E8F5EE" w:val="clear"/>
          </w:tcPr>
          <w:p>
            <w:pPr>
              <w:spacing w:after="60" w:before="60"/>
            </w:pPr>
            <w:r>
              <w:rPr>
                <w:sz w:val="18"/>
                <w:szCs w:val="18"/>
              </w:rPr>
              <w:t xml:space="preserve">Coordination Engine</w:t>
            </w:r>
          </w:p>
        </w:tc>
        <w:tc>
          <w:tcPr>
            <w:tcW w:type="dxa" w:w="2500"/>
            <w:shd w:fill="E8F5EE" w:val="clear"/>
          </w:tcPr>
          <w:p>
            <w:pPr>
              <w:spacing w:after="60" w:before="60"/>
            </w:pPr>
            <w:r>
              <w:rPr>
                <w:sz w:val="18"/>
                <w:szCs w:val="18"/>
              </w:rPr>
              <w:t xml:space="preserve">Org Alignment, Notification [NEW]</w:t>
            </w:r>
          </w:p>
        </w:tc>
        <w:tc>
          <w:tcPr>
            <w:tcW w:type="dxa" w:w="1260"/>
            <w:shd w:fill="E8F5EE" w:val="clear"/>
          </w:tcPr>
          <w:p>
            <w:pPr>
              <w:spacing w:after="60" w:before="60"/>
            </w:pPr>
            <w:r>
              <w:rPr>
                <w:sz w:val="18"/>
                <w:szCs w:val="18"/>
              </w:rPr>
              <w:t xml:space="preserve">CoordinationItemEvent</w:t>
            </w:r>
          </w:p>
        </w:tc>
        <w:tc>
          <w:tcPr>
            <w:tcW w:type="dxa" w:w="1100"/>
            <w:shd w:fill="E8F5EE" w:val="clear"/>
          </w:tcPr>
          <w:p>
            <w:pPr>
              <w:spacing w:after="60" w:before="60"/>
            </w:pPr>
            <w:r>
              <w:rPr>
                <w:sz w:val="18"/>
                <w:szCs w:val="18"/>
              </w:rPr>
              <w:t xml:space="preserve">&lt; 30 s</w:t>
            </w:r>
          </w:p>
        </w:tc>
      </w:tr>
      <w:tr>
        <w:tc>
          <w:tcPr>
            <w:tcW w:type="dxa" w:w="2500"/>
            <w:shd w:fill="FFFFFF" w:val="clear"/>
          </w:tcPr>
          <w:p>
            <w:pPr>
              <w:spacing w:after="60" w:before="60"/>
            </w:pPr>
            <w:r>
              <w:rPr>
                <w:sz w:val="18"/>
                <w:szCs w:val="18"/>
              </w:rPr>
              <w:t xml:space="preserve">memory.pattern.identified</w:t>
            </w:r>
          </w:p>
        </w:tc>
        <w:tc>
          <w:tcPr>
            <w:tcW w:type="dxa" w:w="2000"/>
            <w:shd w:fill="FFFFFF" w:val="clear"/>
          </w:tcPr>
          <w:p>
            <w:pPr>
              <w:spacing w:after="60" w:before="60"/>
            </w:pPr>
            <w:r>
              <w:rPr>
                <w:sz w:val="18"/>
                <w:szCs w:val="18"/>
              </w:rPr>
              <w:t xml:space="preserve">Org Memory Engine</w:t>
            </w:r>
          </w:p>
        </w:tc>
        <w:tc>
          <w:tcPr>
            <w:tcW w:type="dxa" w:w="2500"/>
            <w:shd w:fill="FFFFFF" w:val="clear"/>
          </w:tcPr>
          <w:p>
            <w:pPr>
              <w:spacing w:after="60" w:before="60"/>
            </w:pPr>
            <w:r>
              <w:rPr>
                <w:sz w:val="18"/>
                <w:szCs w:val="18"/>
              </w:rPr>
              <w:t xml:space="preserve">Decision Engine (notify) [NEW]</w:t>
            </w:r>
          </w:p>
        </w:tc>
        <w:tc>
          <w:tcPr>
            <w:tcW w:type="dxa" w:w="1260"/>
            <w:shd w:fill="FFFFFF" w:val="clear"/>
          </w:tcPr>
          <w:p>
            <w:pPr>
              <w:spacing w:after="60" w:before="60"/>
            </w:pPr>
            <w:r>
              <w:rPr>
                <w:sz w:val="18"/>
                <w:szCs w:val="18"/>
              </w:rPr>
              <w:t xml:space="preserve">MemoryPatternEvent</w:t>
            </w:r>
          </w:p>
        </w:tc>
        <w:tc>
          <w:tcPr>
            <w:tcW w:type="dxa" w:w="1100"/>
            <w:shd w:fill="FFFFFF" w:val="clear"/>
          </w:tcPr>
          <w:p>
            <w:pPr>
              <w:spacing w:after="60" w:before="60"/>
            </w:pPr>
            <w:r>
              <w:rPr>
                <w:sz w:val="18"/>
                <w:szCs w:val="18"/>
              </w:rPr>
              <w:t xml:space="preserve">&lt; 300 s</w:t>
            </w:r>
          </w:p>
        </w:tc>
      </w:tr>
      <w:tr>
        <w:tc>
          <w:tcPr>
            <w:tcW w:type="dxa" w:w="2500"/>
            <w:shd w:fill="E8F5EE" w:val="clear"/>
          </w:tcPr>
          <w:p>
            <w:pPr>
              <w:spacing w:after="60" w:before="60"/>
            </w:pPr>
            <w:r>
              <w:rPr>
                <w:sz w:val="18"/>
                <w:szCs w:val="18"/>
              </w:rPr>
              <w:t xml:space="preserve">outbox.process</w:t>
            </w:r>
          </w:p>
        </w:tc>
        <w:tc>
          <w:tcPr>
            <w:tcW w:type="dxa" w:w="2000"/>
            <w:shd w:fill="E8F5EE" w:val="clear"/>
          </w:tcPr>
          <w:p>
            <w:pPr>
              <w:spacing w:after="60" w:before="60"/>
            </w:pPr>
            <w:r>
              <w:rPr>
                <w:sz w:val="18"/>
                <w:szCs w:val="18"/>
              </w:rPr>
              <w:t xml:space="preserve">Scheduler Service</w:t>
            </w:r>
          </w:p>
        </w:tc>
        <w:tc>
          <w:tcPr>
            <w:tcW w:type="dxa" w:w="2500"/>
            <w:shd w:fill="E8F5EE" w:val="clear"/>
          </w:tcPr>
          <w:p>
            <w:pPr>
              <w:spacing w:after="60" w:before="60"/>
            </w:pPr>
            <w:r>
              <w:rPr>
                <w:sz w:val="18"/>
                <w:szCs w:val="18"/>
              </w:rPr>
              <w:t xml:space="preserve">Outbox Processor (internal)</w:t>
            </w:r>
          </w:p>
        </w:tc>
        <w:tc>
          <w:tcPr>
            <w:tcW w:type="dxa" w:w="1260"/>
            <w:shd w:fill="E8F5EE" w:val="clear"/>
          </w:tcPr>
          <w:p>
            <w:pPr>
              <w:spacing w:after="60" w:before="60"/>
            </w:pPr>
            <w:r>
              <w:rPr>
                <w:sz w:val="18"/>
                <w:szCs w:val="18"/>
              </w:rPr>
              <w:t xml:space="preserve">OutboxProcessEvent</w:t>
            </w:r>
          </w:p>
        </w:tc>
        <w:tc>
          <w:tcPr>
            <w:tcW w:type="dxa" w:w="1100"/>
            <w:shd w:fill="E8F5EE" w:val="clear"/>
          </w:tcPr>
          <w:p>
            <w:pPr>
              <w:spacing w:after="60" w:before="60"/>
            </w:pPr>
            <w:r>
              <w:rPr>
                <w:sz w:val="18"/>
                <w:szCs w:val="18"/>
              </w:rPr>
              <w:t xml:space="preserve">60 s cron</w:t>
            </w:r>
          </w:p>
        </w:tc>
      </w:tr>
      <w:tr>
        <w:tc>
          <w:tcPr>
            <w:tcW w:type="dxa" w:w="2500"/>
            <w:shd w:fill="FFFFFF" w:val="clear"/>
          </w:tcPr>
          <w:p>
            <w:pPr>
              <w:spacing w:after="60" w:before="60"/>
            </w:pPr>
            <w:r>
              <w:rPr>
                <w:sz w:val="18"/>
                <w:szCs w:val="18"/>
              </w:rPr>
              <w:t xml:space="preserve">scheduled.report.trigger</w:t>
            </w:r>
          </w:p>
        </w:tc>
        <w:tc>
          <w:tcPr>
            <w:tcW w:type="dxa" w:w="2000"/>
            <w:shd w:fill="FFFFFF" w:val="clear"/>
          </w:tcPr>
          <w:p>
            <w:pPr>
              <w:spacing w:after="60" w:before="60"/>
            </w:pPr>
            <w:r>
              <w:rPr>
                <w:sz w:val="18"/>
                <w:szCs w:val="18"/>
              </w:rPr>
              <w:t xml:space="preserve">Scheduler Service</w:t>
            </w:r>
          </w:p>
        </w:tc>
        <w:tc>
          <w:tcPr>
            <w:tcW w:type="dxa" w:w="2500"/>
            <w:shd w:fill="FFFFFF" w:val="clear"/>
          </w:tcPr>
          <w:p>
            <w:pPr>
              <w:spacing w:after="60" w:before="60"/>
            </w:pPr>
            <w:r>
              <w:rPr>
                <w:sz w:val="18"/>
                <w:szCs w:val="18"/>
              </w:rPr>
              <w:t xml:space="preserve">Reporting Engine</w:t>
            </w:r>
          </w:p>
        </w:tc>
        <w:tc>
          <w:tcPr>
            <w:tcW w:type="dxa" w:w="1260"/>
            <w:shd w:fill="FFFFFF" w:val="clear"/>
          </w:tcPr>
          <w:p>
            <w:pPr>
              <w:spacing w:after="60" w:before="60"/>
            </w:pPr>
            <w:r>
              <w:rPr>
                <w:sz w:val="18"/>
                <w:szCs w:val="18"/>
              </w:rPr>
              <w:t xml:space="preserve">ScheduledReportEvent</w:t>
            </w:r>
          </w:p>
        </w:tc>
        <w:tc>
          <w:tcPr>
            <w:tcW w:type="dxa" w:w="1100"/>
            <w:shd w:fill="FFFFFF" w:val="clear"/>
          </w:tcPr>
          <w:p>
            <w:pPr>
              <w:spacing w:after="60" w:before="60"/>
            </w:pPr>
            <w:r>
              <w:rPr>
                <w:sz w:val="18"/>
                <w:szCs w:val="18"/>
              </w:rPr>
              <w:t xml:space="preserve">per schedule</w:t>
            </w:r>
          </w:p>
        </w:tc>
      </w:tr>
      <w:tr>
        <w:tc>
          <w:tcPr>
            <w:tcW w:type="dxa" w:w="2500"/>
            <w:shd w:fill="E8F5EE" w:val="clear"/>
          </w:tcPr>
          <w:p>
            <w:pPr>
              <w:spacing w:after="60" w:before="60"/>
            </w:pPr>
            <w:r>
              <w:rPr>
                <w:sz w:val="18"/>
                <w:szCs w:val="18"/>
              </w:rPr>
              <w:t xml:space="preserve">scheduled.edt.trigger</w:t>
            </w:r>
          </w:p>
        </w:tc>
        <w:tc>
          <w:tcPr>
            <w:tcW w:type="dxa" w:w="2000"/>
            <w:shd w:fill="E8F5EE" w:val="clear"/>
          </w:tcPr>
          <w:p>
            <w:pPr>
              <w:spacing w:after="60" w:before="60"/>
            </w:pPr>
            <w:r>
              <w:rPr>
                <w:sz w:val="18"/>
                <w:szCs w:val="18"/>
              </w:rPr>
              <w:t xml:space="preserve">Scheduler Service</w:t>
            </w:r>
          </w:p>
        </w:tc>
        <w:tc>
          <w:tcPr>
            <w:tcW w:type="dxa" w:w="2500"/>
            <w:shd w:fill="E8F5EE" w:val="clear"/>
          </w:tcPr>
          <w:p>
            <w:pPr>
              <w:spacing w:after="60" w:before="60"/>
            </w:pPr>
            <w:r>
              <w:rPr>
                <w:sz w:val="18"/>
                <w:szCs w:val="18"/>
              </w:rPr>
              <w:t xml:space="preserve">Forecasting, Recommendation, Decision</w:t>
            </w:r>
          </w:p>
        </w:tc>
        <w:tc>
          <w:tcPr>
            <w:tcW w:type="dxa" w:w="1260"/>
            <w:shd w:fill="E8F5EE" w:val="clear"/>
          </w:tcPr>
          <w:p>
            <w:pPr>
              <w:spacing w:after="60" w:before="60"/>
            </w:pPr>
            <w:r>
              <w:rPr>
                <w:sz w:val="18"/>
                <w:szCs w:val="18"/>
              </w:rPr>
              <w:t xml:space="preserve">EdtTriggerEvent</w:t>
            </w:r>
          </w:p>
        </w:tc>
        <w:tc>
          <w:tcPr>
            <w:tcW w:type="dxa" w:w="1100"/>
            <w:shd w:fill="E8F5EE" w:val="clear"/>
          </w:tcPr>
          <w:p>
            <w:pPr>
              <w:spacing w:after="60" w:before="60"/>
            </w:pPr>
            <w:r>
              <w:rPr>
                <w:sz w:val="18"/>
                <w:szCs w:val="18"/>
              </w:rPr>
              <w:t xml:space="preserve">Monday 06:00</w:t>
            </w:r>
          </w:p>
        </w:tc>
      </w:tr>
      <w:tr>
        <w:tc>
          <w:tcPr>
            <w:tcW w:type="dxa" w:w="2500"/>
            <w:shd w:fill="FFFFFF" w:val="clear"/>
          </w:tcPr>
          <w:p>
            <w:pPr>
              <w:spacing w:after="60" w:before="60"/>
            </w:pPr>
            <w:r>
              <w:rPr>
                <w:sz w:val="18"/>
                <w:szCs w:val="18"/>
              </w:rPr>
              <w:t xml:space="preserve">evidence.score.recompute</w:t>
            </w:r>
          </w:p>
        </w:tc>
        <w:tc>
          <w:tcPr>
            <w:tcW w:type="dxa" w:w="2000"/>
            <w:shd w:fill="FFFFFF" w:val="clear"/>
          </w:tcPr>
          <w:p>
            <w:pPr>
              <w:spacing w:after="60" w:before="60"/>
            </w:pPr>
            <w:r>
              <w:rPr>
                <w:sz w:val="18"/>
                <w:szCs w:val="18"/>
              </w:rPr>
              <w:t xml:space="preserve">Scheduler Service</w:t>
            </w:r>
          </w:p>
        </w:tc>
        <w:tc>
          <w:tcPr>
            <w:tcW w:type="dxa" w:w="2500"/>
            <w:shd w:fill="FFFFFF" w:val="clear"/>
          </w:tcPr>
          <w:p>
            <w:pPr>
              <w:spacing w:after="60" w:before="60"/>
            </w:pPr>
            <w:r>
              <w:rPr>
                <w:sz w:val="18"/>
                <w:szCs w:val="18"/>
              </w:rPr>
              <w:t xml:space="preserve">Evidence Engine</w:t>
            </w:r>
          </w:p>
        </w:tc>
        <w:tc>
          <w:tcPr>
            <w:tcW w:type="dxa" w:w="1260"/>
            <w:shd w:fill="FFFFFF" w:val="clear"/>
          </w:tcPr>
          <w:p>
            <w:pPr>
              <w:spacing w:after="60" w:before="60"/>
            </w:pPr>
            <w:r>
              <w:rPr>
                <w:sz w:val="18"/>
                <w:szCs w:val="18"/>
              </w:rPr>
              <w:t xml:space="preserve">ScoreRecomputeEvent</w:t>
            </w:r>
          </w:p>
        </w:tc>
        <w:tc>
          <w:tcPr>
            <w:tcW w:type="dxa" w:w="1100"/>
            <w:shd w:fill="FFFFFF" w:val="clear"/>
          </w:tcPr>
          <w:p>
            <w:pPr>
              <w:spacing w:after="60" w:before="60"/>
            </w:pPr>
            <w:r>
              <w:rPr>
                <w:sz w:val="18"/>
                <w:szCs w:val="18"/>
              </w:rPr>
              <w:t xml:space="preserve">daily cron</w:t>
            </w:r>
          </w:p>
        </w:tc>
      </w:tr>
    </w:tbl>
    <w:p>
      <w:pPr>
        <w:spacing w:after="80"/>
      </w:pPr>
    </w:p>
    <w:p>
      <w:pPr>
        <w:spacing w:after="80"/>
      </w:pPr>
    </w:p>
    <w:p>
      <w:pPr>
        <w:pStyle w:val="Heading2"/>
        <w:spacing w:after="160" w:before="320"/>
      </w:pPr>
      <w:r>
        <w:t xml:space="preserve">5.1 Transactional Outbox Pattern</w:t>
      </w:r>
    </w:p>
    <w:p>
      <w:pPr>
        <w:spacing w:after="140"/>
      </w:pPr>
      <w:r>
        <w:rPr>
          <w:sz w:val="22"/>
          <w:szCs w:val="22"/>
        </w:rPr>
        <w:t xml:space="preserve">All events are written to the outbox table within the same PostgreSQL transaction as the entity write. This guarantees that if the entity write succeeds, the event will eventually be published — even if the Pub/Sub publish call fails immediately after.</w:t>
      </w:r>
    </w:p>
    <w:p>
      <w:pPr>
        <w:spacing w:after="80"/>
      </w:pPr>
    </w:p>
    <w:p>
      <w:pPr>
        <w:pStyle w:val="ListParagraph"/>
        <w:numPr>
          <w:ilvl w:val="0"/>
          <w:numId w:val="1"/>
        </w:numPr>
        <w:spacing w:after="80"/>
      </w:pPr>
      <w:r>
        <w:rPr>
          <w:sz w:val="22"/>
          <w:szCs w:val="22"/>
        </w:rPr>
        <w:t xml:space="preserve">Step 1: Entity write + outbox entry in one atomic PostgreSQL transaction</w:t>
      </w:r>
    </w:p>
    <w:p>
      <w:pPr>
        <w:pStyle w:val="ListParagraph"/>
        <w:numPr>
          <w:ilvl w:val="0"/>
          <w:numId w:val="1"/>
        </w:numPr>
        <w:spacing w:after="80"/>
      </w:pPr>
      <w:r>
        <w:rPr>
          <w:sz w:val="22"/>
          <w:szCs w:val="22"/>
        </w:rPr>
        <w:t xml:space="preserve">Step 2: Outbox processor (Cloud Scheduler, 60-second cron) queries all unpublished outbox entries</w:t>
      </w:r>
    </w:p>
    <w:p>
      <w:pPr>
        <w:pStyle w:val="ListParagraph"/>
        <w:numPr>
          <w:ilvl w:val="0"/>
          <w:numId w:val="1"/>
        </w:numPr>
        <w:spacing w:after="80"/>
      </w:pPr>
      <w:r>
        <w:rPr>
          <w:sz w:val="22"/>
          <w:szCs w:val="22"/>
        </w:rPr>
        <w:t xml:space="preserve">Step 3: Outbox processor publishes each entry to Pub/Sub and records the message ID</w:t>
      </w:r>
    </w:p>
    <w:p>
      <w:pPr>
        <w:pStyle w:val="ListParagraph"/>
        <w:numPr>
          <w:ilvl w:val="0"/>
          <w:numId w:val="1"/>
        </w:numPr>
        <w:spacing w:after="80"/>
      </w:pPr>
      <w:r>
        <w:rPr>
          <w:sz w:val="22"/>
          <w:szCs w:val="22"/>
        </w:rPr>
        <w:t xml:space="preserve">Step 4: On successful publish, outbox entry marked as published (never deleted — audit trail)</w:t>
      </w:r>
    </w:p>
    <w:p>
      <w:pPr>
        <w:pStyle w:val="ListParagraph"/>
        <w:numPr>
          <w:ilvl w:val="0"/>
          <w:numId w:val="1"/>
        </w:numPr>
        <w:spacing w:after="80"/>
      </w:pPr>
      <w:r>
        <w:rPr>
          <w:sz w:val="22"/>
          <w:szCs w:val="22"/>
        </w:rPr>
        <w:t xml:space="preserve">Step 5: Engine receives event via Pub/Sub push; checks idempotency key in Redis before processing</w:t>
      </w:r>
    </w:p>
    <w:p>
      <w:pPr>
        <w:spacing w:after="80"/>
      </w:pPr>
    </w:p>
    <w:p>
      <w:pPr>
        <w:spacing w:after="140"/>
      </w:pPr>
      <w:r>
        <w:rPr>
          <w:sz w:val="22"/>
          <w:szCs w:val="22"/>
        </w:rPr>
        <w:t xml:space="preserve">Guarantees: at-least-once event delivery. Deduplication: Pub/Sub 10-minute deduplication window plus engine-side idempotency key check in Redis prevents double processing.</w:t>
      </w:r>
    </w:p>
    <w:p>
      <w:pPr>
        <w:spacing w:after="140"/>
      </w:pPr>
      <w:r>
        <w:rPr>
          <w:sz w:val="22"/>
          <w:szCs w:val="22"/>
        </w:rPr>
        <w:t xml:space="preserve">Trade-off: 60-second outbox polling adds latency to event propagation. This is acceptable for all engines — none require sub-second event processing. Real-time Command Centre updates flow via Firestore, not via events.</w:t>
      </w:r>
    </w:p>
    <w:p>
      <w:r>
        <w:br w:type="page"/>
      </w:r>
    </w:p>
    <w:p>
      <w:pPr>
        <w:pStyle w:val="Heading1"/>
        <w:spacing w:after="240" w:before="480"/>
      </w:pPr>
      <w:r>
        <w:t xml:space="preserve">6. Security Architecture</w:t>
      </w:r>
    </w:p>
    <w:p>
      <w:pPr>
        <w:spacing w:after="80"/>
      </w:pPr>
    </w:p>
    <w:p>
      <w:pPr>
        <w:pStyle w:val="Heading2"/>
        <w:spacing w:after="160" w:before="320"/>
      </w:pPr>
      <w:r>
        <w:t xml:space="preserve">6.1 Authentication</w:t>
      </w:r>
    </w:p>
    <w:p>
      <w:pPr>
        <w:pStyle w:val="ListParagraph"/>
        <w:numPr>
          <w:ilvl w:val="0"/>
          <w:numId w:val="1"/>
        </w:numPr>
        <w:spacing w:after="80"/>
      </w:pPr>
      <w:r>
        <w:rPr>
          <w:sz w:val="22"/>
          <w:szCs w:val="22"/>
        </w:rPr>
        <w:t xml:space="preserve">JWT tokens issued by Firebase Auth</w:t>
      </w:r>
    </w:p>
    <w:p>
      <w:pPr>
        <w:pStyle w:val="ListParagraph"/>
        <w:numPr>
          <w:ilvl w:val="0"/>
          <w:numId w:val="1"/>
        </w:numPr>
        <w:spacing w:after="80"/>
      </w:pPr>
      <w:r>
        <w:rPr>
          <w:sz w:val="22"/>
          <w:szCs w:val="22"/>
        </w:rPr>
        <w:t xml:space="preserve">Every request to api-gateway and pig-query-service carries JWT in Authorization header</w:t>
      </w:r>
    </w:p>
    <w:p>
      <w:pPr>
        <w:pStyle w:val="ListParagraph"/>
        <w:numPr>
          <w:ilvl w:val="0"/>
          <w:numId w:val="1"/>
        </w:numPr>
        <w:spacing w:after="80"/>
      </w:pPr>
      <w:r>
        <w:rPr>
          <w:sz w:val="22"/>
          <w:szCs w:val="22"/>
        </w:rPr>
        <w:t xml:space="preserve">Gateway verifies JWT signature and expiry before any processing</w:t>
      </w:r>
    </w:p>
    <w:p>
      <w:pPr>
        <w:pStyle w:val="ListParagraph"/>
        <w:numPr>
          <w:ilvl w:val="0"/>
          <w:numId w:val="1"/>
        </w:numPr>
        <w:spacing w:after="80"/>
      </w:pPr>
      <w:r>
        <w:rPr>
          <w:sz w:val="22"/>
          <w:szCs w:val="22"/>
        </w:rPr>
        <w:t xml:space="preserve">JWT payload includes: user_id, tenant_id, role, permissions list</w:t>
      </w:r>
    </w:p>
    <w:p>
      <w:pPr>
        <w:spacing w:after="80"/>
      </w:pPr>
    </w:p>
    <w:p>
      <w:pPr>
        <w:pStyle w:val="Heading2"/>
        <w:spacing w:after="160" w:before="320"/>
      </w:pPr>
      <w:r>
        <w:t xml:space="preserve">6.2 Tenant Isolation</w:t>
      </w:r>
    </w:p>
    <w:p>
      <w:pPr>
        <w:pStyle w:val="ListParagraph"/>
        <w:numPr>
          <w:ilvl w:val="0"/>
          <w:numId w:val="1"/>
        </w:numPr>
        <w:spacing w:after="80"/>
      </w:pPr>
      <w:r>
        <w:rPr>
          <w:sz w:val="22"/>
          <w:szCs w:val="22"/>
        </w:rPr>
        <w:t xml:space="preserve">PostgreSQL RLS policies on ALL tables — zero exceptions permitted</w:t>
      </w:r>
    </w:p>
    <w:p>
      <w:pPr>
        <w:pStyle w:val="ListParagraph"/>
        <w:numPr>
          <w:ilvl w:val="0"/>
          <w:numId w:val="1"/>
        </w:numPr>
        <w:spacing w:after="80"/>
      </w:pPr>
      <w:r>
        <w:rPr>
          <w:sz w:val="22"/>
          <w:szCs w:val="22"/>
        </w:rPr>
        <w:t xml:space="preserve">SET app.current_tenant_id called at connection start using JWT tenant claim</w:t>
      </w:r>
    </w:p>
    <w:p>
      <w:pPr>
        <w:pStyle w:val="ListParagraph"/>
        <w:numPr>
          <w:ilvl w:val="0"/>
          <w:numId w:val="1"/>
        </w:numPr>
        <w:spacing w:after="80"/>
      </w:pPr>
      <w:r>
        <w:rPr>
          <w:sz w:val="22"/>
          <w:szCs w:val="22"/>
        </w:rPr>
        <w:t xml:space="preserve">Application layer also filters every query by tenant_id (belt and suspenders)</w:t>
      </w:r>
    </w:p>
    <w:p>
      <w:pPr>
        <w:pStyle w:val="ListParagraph"/>
        <w:numPr>
          <w:ilvl w:val="0"/>
          <w:numId w:val="1"/>
        </w:numPr>
        <w:spacing w:after="80"/>
      </w:pPr>
      <w:r>
        <w:rPr>
          <w:sz w:val="22"/>
          <w:szCs w:val="22"/>
        </w:rPr>
        <w:t xml:space="preserve">Wrong tenant ID resolves to empty result set — never 403 or 404 (prevents tenant enumeration)</w:t>
      </w:r>
    </w:p>
    <w:p>
      <w:pPr>
        <w:pStyle w:val="ListParagraph"/>
        <w:numPr>
          <w:ilvl w:val="0"/>
          <w:numId w:val="1"/>
        </w:numPr>
        <w:spacing w:after="80"/>
      </w:pPr>
      <w:r>
        <w:rPr>
          <w:sz w:val="22"/>
          <w:szCs w:val="22"/>
        </w:rPr>
        <w:t xml:space="preserve">PgBouncer session mode required: SET is session-scoped and cannot survive connection recycling</w:t>
      </w:r>
    </w:p>
    <w:p>
      <w:pPr>
        <w:spacing w:after="80"/>
      </w:pPr>
    </w:p>
    <w:p>
      <w:pPr>
        <w:pStyle w:val="Heading2"/>
        <w:spacing w:after="160" w:before="320"/>
      </w:pPr>
      <w:r>
        <w:t xml:space="preserve">6.3 Secrets Management</w:t>
      </w:r>
    </w:p>
    <w:p>
      <w:pPr>
        <w:pStyle w:val="ListParagraph"/>
        <w:numPr>
          <w:ilvl w:val="0"/>
          <w:numId w:val="1"/>
        </w:numPr>
        <w:spacing w:after="80"/>
      </w:pPr>
      <w:r>
        <w:rPr>
          <w:sz w:val="22"/>
          <w:szCs w:val="22"/>
        </w:rPr>
        <w:t xml:space="preserve">All secrets stored in Google Secret Manager — never in environment variables or YAML</w:t>
      </w:r>
    </w:p>
    <w:p>
      <w:pPr>
        <w:pStyle w:val="ListParagraph"/>
        <w:numPr>
          <w:ilvl w:val="0"/>
          <w:numId w:val="1"/>
        </w:numPr>
        <w:spacing w:after="80"/>
      </w:pPr>
      <w:r>
        <w:rPr>
          <w:sz w:val="22"/>
          <w:szCs w:val="22"/>
        </w:rPr>
        <w:t xml:space="preserve">Cloud Run services access secrets via Secret Manager API at startup</w:t>
      </w:r>
    </w:p>
    <w:p>
      <w:pPr>
        <w:pStyle w:val="ListParagraph"/>
        <w:numPr>
          <w:ilvl w:val="0"/>
          <w:numId w:val="1"/>
        </w:numPr>
        <w:spacing w:after="80"/>
      </w:pPr>
      <w:r>
        <w:rPr>
          <w:sz w:val="22"/>
          <w:szCs w:val="22"/>
        </w:rPr>
        <w:t xml:space="preserve">No secrets in source code, deployment configuration, or container images</w:t>
      </w:r>
    </w:p>
    <w:p>
      <w:pPr>
        <w:pStyle w:val="ListParagraph"/>
        <w:numPr>
          <w:ilvl w:val="0"/>
          <w:numId w:val="1"/>
        </w:numPr>
        <w:spacing w:after="80"/>
      </w:pPr>
      <w:r>
        <w:rPr>
          <w:sz w:val="22"/>
          <w:szCs w:val="22"/>
        </w:rPr>
        <w:t xml:space="preserve">Secret rotation: API keys and database passwords rotated quarterly</w:t>
      </w:r>
    </w:p>
    <w:p>
      <w:pPr>
        <w:spacing w:after="80"/>
      </w:pPr>
    </w:p>
    <w:p>
      <w:pPr>
        <w:pStyle w:val="Heading2"/>
        <w:spacing w:after="160" w:before="320"/>
      </w:pPr>
      <w:r>
        <w:t xml:space="preserve">6.4 Network Security</w:t>
      </w:r>
    </w:p>
    <w:p>
      <w:pPr>
        <w:pStyle w:val="ListParagraph"/>
        <w:numPr>
          <w:ilvl w:val="0"/>
          <w:numId w:val="1"/>
        </w:numPr>
        <w:spacing w:after="80"/>
      </w:pPr>
      <w:r>
        <w:rPr>
          <w:sz w:val="22"/>
          <w:szCs w:val="22"/>
        </w:rPr>
        <w:t xml:space="preserve">VPC with Private Google Access — Cloud SQL and Redis have no public IP addresses</w:t>
      </w:r>
    </w:p>
    <w:p>
      <w:pPr>
        <w:pStyle w:val="ListParagraph"/>
        <w:numPr>
          <w:ilvl w:val="0"/>
          <w:numId w:val="1"/>
        </w:numPr>
        <w:spacing w:after="80"/>
      </w:pPr>
      <w:r>
        <w:rPr>
          <w:sz w:val="22"/>
          <w:szCs w:val="22"/>
        </w:rPr>
        <w:t xml:space="preserve">Cloud SQL accessible only via VPC internal IP</w:t>
      </w:r>
    </w:p>
    <w:p>
      <w:pPr>
        <w:pStyle w:val="ListParagraph"/>
        <w:numPr>
          <w:ilvl w:val="0"/>
          <w:numId w:val="1"/>
        </w:numPr>
        <w:spacing w:after="80"/>
      </w:pPr>
      <w:r>
        <w:rPr>
          <w:sz w:val="22"/>
          <w:szCs w:val="22"/>
        </w:rPr>
        <w:t xml:space="preserve">Redis accessible only via VPC internal IP</w:t>
      </w:r>
    </w:p>
    <w:p>
      <w:pPr>
        <w:pStyle w:val="ListParagraph"/>
        <w:numPr>
          <w:ilvl w:val="0"/>
          <w:numId w:val="1"/>
        </w:numPr>
        <w:spacing w:after="80"/>
      </w:pPr>
      <w:r>
        <w:rPr>
          <w:sz w:val="22"/>
          <w:szCs w:val="22"/>
        </w:rPr>
        <w:t xml:space="preserve">Cloud Run services communicate via HTTPS with service-to-service auth tokens</w:t>
      </w:r>
    </w:p>
    <w:p>
      <w:pPr>
        <w:pStyle w:val="ListParagraph"/>
        <w:numPr>
          <w:ilvl w:val="0"/>
          <w:numId w:val="1"/>
        </w:numPr>
        <w:spacing w:after="80"/>
      </w:pPr>
      <w:r>
        <w:rPr>
          <w:sz w:val="22"/>
          <w:szCs w:val="22"/>
        </w:rPr>
        <w:t xml:space="preserve">No direct database or Redis access from outside the VPC</w:t>
      </w:r>
    </w:p>
    <w:p>
      <w:pPr>
        <w:spacing w:after="80"/>
      </w:pPr>
    </w:p>
    <w:p>
      <w:pPr>
        <w:pStyle w:val="Heading2"/>
        <w:spacing w:after="160" w:before="320"/>
      </w:pPr>
      <w:r>
        <w:t xml:space="preserve">6.5 API Security</w:t>
      </w:r>
    </w:p>
    <w:p>
      <w:pPr>
        <w:pStyle w:val="ListParagraph"/>
        <w:numPr>
          <w:ilvl w:val="0"/>
          <w:numId w:val="1"/>
        </w:numPr>
        <w:spacing w:after="80"/>
      </w:pPr>
      <w:r>
        <w:rPr>
          <w:sz w:val="22"/>
          <w:szCs w:val="22"/>
        </w:rPr>
        <w:t xml:space="preserve">Cloud Armor WAF deployed in front of api-gateway Cloud Run service</w:t>
      </w:r>
    </w:p>
    <w:p>
      <w:pPr>
        <w:pStyle w:val="ListParagraph"/>
        <w:numPr>
          <w:ilvl w:val="0"/>
          <w:numId w:val="1"/>
        </w:numPr>
        <w:spacing w:after="80"/>
      </w:pPr>
      <w:r>
        <w:rPr>
          <w:sz w:val="22"/>
          <w:szCs w:val="22"/>
        </w:rPr>
        <w:t xml:space="preserve">Rate limiting: 100 requests/minute per authenticated user at API gateway</w:t>
      </w:r>
    </w:p>
    <w:p>
      <w:pPr>
        <w:pStyle w:val="ListParagraph"/>
        <w:numPr>
          <w:ilvl w:val="0"/>
          <w:numId w:val="1"/>
        </w:numPr>
        <w:spacing w:after="80"/>
      </w:pPr>
      <w:r>
        <w:rPr>
          <w:sz w:val="22"/>
          <w:szCs w:val="22"/>
        </w:rPr>
        <w:t xml:space="preserve">Input validation: Pydantic models on all API request bodies</w:t>
      </w:r>
    </w:p>
    <w:p>
      <w:pPr>
        <w:pStyle w:val="ListParagraph"/>
        <w:numPr>
          <w:ilvl w:val="0"/>
          <w:numId w:val="1"/>
        </w:numPr>
        <w:spacing w:after="80"/>
      </w:pPr>
      <w:r>
        <w:rPr>
          <w:sz w:val="22"/>
          <w:szCs w:val="22"/>
        </w:rPr>
        <w:t xml:space="preserve">Evidence file access: signed URLs with 1-hour expiry — no permanent public URLs</w:t>
      </w:r>
    </w:p>
    <w:p>
      <w:pPr>
        <w:pStyle w:val="ListParagraph"/>
        <w:numPr>
          <w:ilvl w:val="0"/>
          <w:numId w:val="1"/>
        </w:numPr>
        <w:spacing w:after="80"/>
      </w:pPr>
      <w:r>
        <w:rPr>
          <w:sz w:val="22"/>
          <w:szCs w:val="22"/>
        </w:rPr>
        <w:t xml:space="preserve">CORS: restricted to registered frontend origins only (no wildcard)</w:t>
      </w:r>
    </w:p>
    <w:p>
      <w:r>
        <w:br w:type="page"/>
      </w:r>
    </w:p>
    <w:p>
      <w:pPr>
        <w:pStyle w:val="Heading1"/>
        <w:spacing w:after="240" w:before="480"/>
      </w:pPr>
      <w:r>
        <w:t xml:space="preserve">7. Architecture Decision Records (ADRs)</w:t>
      </w:r>
    </w:p>
    <w:p>
      <w:pPr>
        <w:spacing w:after="140"/>
      </w:pPr>
      <w:r>
        <w:rPr>
          <w:sz w:val="22"/>
          <w:szCs w:val="22"/>
        </w:rPr>
        <w:t xml:space="preserve">Eight formal ADRs document the most significant architectural choices made for Green PM v5. Each ADR records the context that forced a decision, the decision taken, the rationale, and the consequences.</w:t>
      </w:r>
    </w:p>
    <w:p>
      <w:pPr>
        <w:spacing w:after="80"/>
      </w:pPr>
    </w:p>
    <w:p>
      <w:pPr>
        <w:pStyle w:val="Heading2"/>
        <w:spacing w:after="160" w:before="320"/>
      </w:pPr>
      <w:r>
        <w:t xml:space="preserve">ADR-001: PostgreSQL as Primary Datastore (Not NoSQL)</w:t>
      </w:r>
    </w:p>
    <w:p>
      <w:pPr>
        <w:spacing w:after="120"/>
      </w:pPr>
      <w:r>
        <w:rPr>
          <w:b/>
          <w:bCs/>
          <w:sz w:val="22"/>
          <w:szCs w:val="22"/>
        </w:rPr>
        <w:t xml:space="preserve">Context: </w:t>
      </w:r>
      <w:r>
        <w:rPr>
          <w:sz w:val="22"/>
          <w:szCs w:val="22"/>
        </w:rPr>
        <w:t xml:space="preserve">Needed ACID transactions for atomic writes of entity data, evidence records, and outbox entries within a single transaction. Evaluated MongoDB and Firestore as alternatives.</w:t>
      </w:r>
    </w:p>
    <w:p>
      <w:pPr>
        <w:spacing w:after="120"/>
      </w:pPr>
      <w:r>
        <w:rPr>
          <w:b/>
          <w:bCs/>
          <w:sz w:val="22"/>
          <w:szCs w:val="22"/>
        </w:rPr>
        <w:t xml:space="preserve">Decision: </w:t>
      </w:r>
      <w:r>
        <w:rPr>
          <w:sz w:val="22"/>
          <w:szCs w:val="22"/>
        </w:rPr>
        <w:t xml:space="preserve">Cloud SQL PostgreSQL.</w:t>
      </w:r>
    </w:p>
    <w:p>
      <w:pPr>
        <w:spacing w:after="120"/>
      </w:pPr>
      <w:r>
        <w:rPr>
          <w:b/>
          <w:bCs/>
          <w:sz w:val="22"/>
          <w:szCs w:val="22"/>
        </w:rPr>
        <w:t xml:space="preserve">Rationale: </w:t>
      </w:r>
      <w:r>
        <w:rPr>
          <w:sz w:val="22"/>
          <w:szCs w:val="22"/>
        </w:rPr>
        <w:t xml:space="preserve">ACID transactions guarantee outbox atomicity — the entity write and the event record commit together or not at all. RLS provides tenant isolation without application complexity. Recursive CTEs enable PIG traversal without a separate graph database. Strong schema enforcement (60+ ENUMs) prevents data quality issues at scale.</w:t>
      </w:r>
    </w:p>
    <w:p>
      <w:pPr>
        <w:spacing w:after="120"/>
      </w:pPr>
      <w:r>
        <w:rPr>
          <w:b/>
          <w:bCs/>
          <w:sz w:val="22"/>
          <w:szCs w:val="22"/>
        </w:rPr>
        <w:t xml:space="preserve">Consequences: </w:t>
      </w:r>
      <w:r>
        <w:rPr>
          <w:sz w:val="22"/>
          <w:szCs w:val="22"/>
        </w:rPr>
        <w:t xml:space="preserve">Connection pooling required (PgBouncer). Write path is not horizontally scalable beyond a single primary node. Read replicas used for reporting queries. Re-evaluate architecture at greater than 50,000 projects.</w:t>
      </w:r>
    </w:p>
    <w:p>
      <w:pPr>
        <w:spacing w:after="80"/>
      </w:pPr>
    </w:p>
    <w:p>
      <w:pPr>
        <w:pStyle w:val="Heading2"/>
        <w:spacing w:after="160" w:before="320"/>
      </w:pPr>
      <w:r>
        <w:t xml:space="preserve">ADR-002: Project Intelligence Graph via PostgreSQL (Not a Dedicated Graph Database)</w:t>
      </w:r>
    </w:p>
    <w:p>
      <w:pPr>
        <w:spacing w:after="120"/>
      </w:pPr>
      <w:r>
        <w:rPr>
          <w:b/>
          <w:bCs/>
          <w:sz w:val="22"/>
          <w:szCs w:val="22"/>
        </w:rPr>
        <w:t xml:space="preserve">Context: </w:t>
      </w:r>
      <w:r>
        <w:rPr>
          <w:sz w:val="22"/>
          <w:szCs w:val="22"/>
        </w:rPr>
        <w:t xml:space="preserve">PIG requires graph traversal. Evaluated Neo4j and Amazon Neptune as dedicated graph databases alongside the PostgreSQL-native approach.</w:t>
      </w:r>
    </w:p>
    <w:p>
      <w:pPr>
        <w:spacing w:after="120"/>
      </w:pPr>
      <w:r>
        <w:rPr>
          <w:b/>
          <w:bCs/>
          <w:sz w:val="22"/>
          <w:szCs w:val="22"/>
        </w:rPr>
        <w:t xml:space="preserve">Decision: </w:t>
      </w:r>
      <w:r>
        <w:rPr>
          <w:sz w:val="22"/>
          <w:szCs w:val="22"/>
        </w:rPr>
        <w:t xml:space="preserve">graph_nodes + graph_edges tables in PostgreSQL with recursive CTE queries via pig-query-service.</w:t>
      </w:r>
    </w:p>
    <w:p>
      <w:pPr>
        <w:spacing w:after="120"/>
      </w:pPr>
      <w:r>
        <w:rPr>
          <w:b/>
          <w:bCs/>
          <w:sz w:val="22"/>
          <w:szCs w:val="22"/>
        </w:rPr>
        <w:t xml:space="preserve">Rationale: </w:t>
      </w:r>
      <w:r>
        <w:rPr>
          <w:sz w:val="22"/>
          <w:szCs w:val="22"/>
        </w:rPr>
        <w:t xml:space="preserve">At v5 scale (depth-5 traversal of 500 nodes), recursive CTEs complete in under 1 second. Avoids operational overhead of a separate graph database and its associated connection management, backup strategy, and replication. RLS tenant isolation is inherited automatically. Migration path to a dedicated graph DB (v6) is well-defined if scale demands it.</w:t>
      </w:r>
    </w:p>
    <w:p>
      <w:pPr>
        <w:spacing w:after="120"/>
      </w:pPr>
      <w:r>
        <w:rPr>
          <w:b/>
          <w:bCs/>
          <w:sz w:val="22"/>
          <w:szCs w:val="22"/>
        </w:rPr>
        <w:t xml:space="preserve">Consequences: </w:t>
      </w:r>
      <w:r>
        <w:rPr>
          <w:sz w:val="22"/>
          <w:szCs w:val="22"/>
        </w:rPr>
        <w:t xml:space="preserve">pig-query-service must optimize CTE depth and apply Redis caching. CTE depth limit set at 10 to prevent runaway queries. Re-evaluate when any single project exceeds 5,000 graph nodes.</w:t>
      </w:r>
    </w:p>
    <w:p>
      <w:pPr>
        <w:spacing w:after="80"/>
      </w:pPr>
    </w:p>
    <w:p>
      <w:pPr>
        <w:pStyle w:val="Heading2"/>
        <w:spacing w:after="160" w:before="320"/>
      </w:pPr>
      <w:r>
        <w:t xml:space="preserve">ADR-003: One Cloud Run Service Per Engine</w:t>
      </w:r>
    </w:p>
    <w:p>
      <w:pPr>
        <w:spacing w:after="120"/>
      </w:pPr>
      <w:r>
        <w:rPr>
          <w:b/>
          <w:bCs/>
          <w:sz w:val="22"/>
          <w:szCs w:val="22"/>
        </w:rPr>
        <w:t xml:space="preserve">Context: </w:t>
      </w:r>
      <w:r>
        <w:rPr>
          <w:sz w:val="22"/>
          <w:szCs w:val="22"/>
        </w:rPr>
        <w:t xml:space="preserve">Considered a shared FastAPI monolith with internal engine routing, or a smaller number of shared compute services grouped by domain.</w:t>
      </w:r>
    </w:p>
    <w:p>
      <w:pPr>
        <w:spacing w:after="120"/>
      </w:pPr>
      <w:r>
        <w:rPr>
          <w:b/>
          <w:bCs/>
          <w:sz w:val="22"/>
          <w:szCs w:val="22"/>
        </w:rPr>
        <w:t xml:space="preserve">Decision: </w:t>
      </w:r>
      <w:r>
        <w:rPr>
          <w:sz w:val="22"/>
          <w:szCs w:val="22"/>
        </w:rPr>
        <w:t xml:space="preserve">One dedicated Cloud Run service per engine (17 engine services).</w:t>
      </w:r>
    </w:p>
    <w:p>
      <w:pPr>
        <w:spacing w:after="120"/>
      </w:pPr>
      <w:r>
        <w:rPr>
          <w:b/>
          <w:bCs/>
          <w:sz w:val="22"/>
          <w:szCs w:val="22"/>
        </w:rPr>
        <w:t xml:space="preserve">Rationale: </w:t>
      </w:r>
      <w:r>
        <w:rPr>
          <w:sz w:val="22"/>
          <w:szCs w:val="22"/>
        </w:rPr>
        <w:t xml:space="preserve">Independent scaling — Evidence Engine can scale to 50 instances during photo upload bursts without allocating resources to Risk Engine. Independent deployment — a Risk Engine bug fix deploys without touching Evidence Engine. Independent failure isolation — one engine crashing does not affect others.</w:t>
      </w:r>
    </w:p>
    <w:p>
      <w:pPr>
        <w:spacing w:after="120"/>
      </w:pPr>
      <w:r>
        <w:rPr>
          <w:b/>
          <w:bCs/>
          <w:sz w:val="22"/>
          <w:szCs w:val="22"/>
        </w:rPr>
        <w:t xml:space="preserve">Consequences: </w:t>
      </w:r>
      <w:r>
        <w:rPr>
          <w:sz w:val="22"/>
          <w:szCs w:val="22"/>
        </w:rPr>
        <w:t xml:space="preserve">17 Cloud Run services to maintain and monitor. Cold start latency per engine (acceptable for event-driven pattern where sub-second response is not required). Each engine requires its own Pub/Sub push subscription configuration.</w:t>
      </w:r>
    </w:p>
    <w:p>
      <w:pPr>
        <w:spacing w:after="80"/>
      </w:pPr>
    </w:p>
    <w:p>
      <w:pPr>
        <w:pStyle w:val="Heading2"/>
        <w:spacing w:after="160" w:before="320"/>
      </w:pPr>
      <w:r>
        <w:t xml:space="preserve">ADR-004: Firestore for Real-Time (Not WebSocket Cloud Run)</w:t>
      </w:r>
    </w:p>
    <w:p>
      <w:pPr>
        <w:spacing w:after="120"/>
      </w:pPr>
      <w:r>
        <w:rPr>
          <w:b/>
          <w:bCs/>
          <w:sz w:val="22"/>
          <w:szCs w:val="22"/>
        </w:rPr>
        <w:t xml:space="preserve">Context: </w:t>
      </w:r>
      <w:r>
        <w:rPr>
          <w:sz w:val="22"/>
          <w:szCs w:val="22"/>
        </w:rPr>
        <w:t xml:space="preserve">Command Centre panels require real-time updates as engine computations complete. v4 used an always-on WebSocket Cloud Run service that incurred a constant cost regardless of activity.</w:t>
      </w:r>
    </w:p>
    <w:p>
      <w:pPr>
        <w:spacing w:after="120"/>
      </w:pPr>
      <w:r>
        <w:rPr>
          <w:b/>
          <w:bCs/>
          <w:sz w:val="22"/>
          <w:szCs w:val="22"/>
        </w:rPr>
        <w:t xml:space="preserve">Decision: </w:t>
      </w:r>
      <w:r>
        <w:rPr>
          <w:sz w:val="22"/>
          <w:szCs w:val="22"/>
        </w:rPr>
        <w:t xml:space="preserve">Engine services write Firestore documents after computation. Frontend reads via Firestore SDK real-time listeners.</w:t>
      </w:r>
    </w:p>
    <w:p>
      <w:pPr>
        <w:spacing w:after="120"/>
      </w:pPr>
      <w:r>
        <w:rPr>
          <w:b/>
          <w:bCs/>
          <w:sz w:val="22"/>
          <w:szCs w:val="22"/>
        </w:rPr>
        <w:t xml:space="preserve">Rationale: </w:t>
      </w:r>
      <w:r>
        <w:rPr>
          <w:sz w:val="22"/>
          <w:szCs w:val="22"/>
        </w:rPr>
        <w:t xml:space="preserve">Eliminates always-on WebSocket Cloud Run service, saving approximately Rs 5,000/month. Firestore handles client reconnection, offline support, and at-most-once delivery natively. WebSocket management complexity removed from codebase entirely. SDK available for Next.js.</w:t>
      </w:r>
    </w:p>
    <w:p>
      <w:pPr>
        <w:spacing w:after="120"/>
      </w:pPr>
      <w:r>
        <w:rPr>
          <w:b/>
          <w:bCs/>
          <w:sz w:val="22"/>
          <w:szCs w:val="22"/>
        </w:rPr>
        <w:t xml:space="preserve">Consequences: </w:t>
      </w:r>
      <w:r>
        <w:rPr>
          <w:sz w:val="22"/>
          <w:szCs w:val="22"/>
        </w:rPr>
        <w:t xml:space="preserve">Command Centre data is eventually consistent (1-5 second staleness is acceptable for all 8 panels). Firestore billing is per-operation rather than bandwidth-based. Document structure must minimize unnecessary listener triggers per panel update.</w:t>
      </w:r>
    </w:p>
    <w:p>
      <w:pPr>
        <w:spacing w:after="80"/>
      </w:pPr>
    </w:p>
    <w:p>
      <w:pPr>
        <w:pStyle w:val="Heading2"/>
        <w:spacing w:after="160" w:before="320"/>
      </w:pPr>
      <w:r>
        <w:t xml:space="preserve">ADR-005: Transactional Outbox Pattern for Event Publishing</w:t>
      </w:r>
    </w:p>
    <w:p>
      <w:pPr>
        <w:spacing w:after="120"/>
      </w:pPr>
      <w:r>
        <w:rPr>
          <w:b/>
          <w:bCs/>
          <w:sz w:val="22"/>
          <w:szCs w:val="22"/>
        </w:rPr>
        <w:t xml:space="preserve">Context: </w:t>
      </w:r>
      <w:r>
        <w:rPr>
          <w:sz w:val="22"/>
          <w:szCs w:val="22"/>
        </w:rPr>
        <w:t xml:space="preserve">Dual-write risk: if the entity write to PostgreSQL succeeds but the Pub/Sub publish call fails, the event is lost and downstream engines never process the change.</w:t>
      </w:r>
    </w:p>
    <w:p>
      <w:pPr>
        <w:spacing w:after="120"/>
      </w:pPr>
      <w:r>
        <w:rPr>
          <w:b/>
          <w:bCs/>
          <w:sz w:val="22"/>
          <w:szCs w:val="22"/>
        </w:rPr>
        <w:t xml:space="preserve">Decision: </w:t>
      </w:r>
      <w:r>
        <w:rPr>
          <w:sz w:val="22"/>
          <w:szCs w:val="22"/>
        </w:rPr>
        <w:t xml:space="preserve">Write event to outbox table in the same PostgreSQL transaction as the entity write. A separate outbox processor publishes to Pub/Sub.</w:t>
      </w:r>
    </w:p>
    <w:p>
      <w:pPr>
        <w:spacing w:after="120"/>
      </w:pPr>
      <w:r>
        <w:rPr>
          <w:b/>
          <w:bCs/>
          <w:sz w:val="22"/>
          <w:szCs w:val="22"/>
        </w:rPr>
        <w:t xml:space="preserve">Rationale: </w:t>
      </w:r>
      <w:r>
        <w:rPr>
          <w:sz w:val="22"/>
          <w:szCs w:val="22"/>
        </w:rPr>
        <w:t xml:space="preserve">Guarantees at-least-once event delivery — the event record exists in the database if the entity write succeeded. Outbox processor is idempotent: each event has a unique ID, Pub/Sub has a 10-minute deduplication window, and engines perform idempotency key checks in Redis before processing.</w:t>
      </w:r>
    </w:p>
    <w:p>
      <w:pPr>
        <w:spacing w:after="120"/>
      </w:pPr>
      <w:r>
        <w:rPr>
          <w:b/>
          <w:bCs/>
          <w:sz w:val="22"/>
          <w:szCs w:val="22"/>
        </w:rPr>
        <w:t xml:space="preserve">Consequences: </w:t>
      </w:r>
      <w:r>
        <w:rPr>
          <w:sz w:val="22"/>
          <w:szCs w:val="22"/>
        </w:rPr>
        <w:t xml:space="preserve">60-second polling interval adds latency to event propagation. Acceptable for all current engine SLOs. Outbox table accumulates historical records (audit benefit) but requires periodic archival for large deployments.</w:t>
      </w:r>
    </w:p>
    <w:p>
      <w:pPr>
        <w:spacing w:after="80"/>
      </w:pPr>
    </w:p>
    <w:p>
      <w:pPr>
        <w:pStyle w:val="Heading2"/>
        <w:spacing w:after="160" w:before="320"/>
      </w:pPr>
      <w:r>
        <w:t xml:space="preserve">ADR-006: Anthropic claude-sonnet-4-6 for Language-Only AI Tasks</w:t>
      </w:r>
    </w:p>
    <w:p>
      <w:pPr>
        <w:spacing w:after="120"/>
      </w:pPr>
      <w:r>
        <w:rPr>
          <w:b/>
          <w:bCs/>
          <w:sz w:val="22"/>
          <w:szCs w:val="22"/>
        </w:rPr>
        <w:t xml:space="preserve">Context: </w:t>
      </w:r>
      <w:r>
        <w:rPr>
          <w:sz w:val="22"/>
          <w:szCs w:val="22"/>
        </w:rPr>
        <w:t xml:space="preserve">Multiple AI tasks identified across the platform. Needed to classify each task by required capability: language reasoning versus specialist ML (computer vision, speech recognition).</w:t>
      </w:r>
    </w:p>
    <w:p>
      <w:pPr>
        <w:spacing w:after="120"/>
      </w:pPr>
      <w:r>
        <w:rPr>
          <w:b/>
          <w:bCs/>
          <w:sz w:val="22"/>
          <w:szCs w:val="22"/>
        </w:rPr>
        <w:t xml:space="preserve">Decision: </w:t>
      </w:r>
      <w:r>
        <w:rPr>
          <w:sz w:val="22"/>
          <w:szCs w:val="22"/>
        </w:rPr>
        <w:t xml:space="preserve">claude-sonnet-4-6 via Claude API for: Evidence Confidence narratives, Change Impact summaries, Risk narratives, Report prose sections, AI Copilot (Ask Green PM). Google Cloud specialist ML for: photo analysis (Vision API), voice memo transcription (Speech-to-Text), document OCR (Cloud Vision OCR).</w:t>
      </w:r>
    </w:p>
    <w:p>
      <w:pPr>
        <w:spacing w:after="120"/>
      </w:pPr>
      <w:r>
        <w:rPr>
          <w:b/>
          <w:bCs/>
          <w:sz w:val="22"/>
          <w:szCs w:val="22"/>
        </w:rPr>
        <w:t xml:space="preserve">Rationale: </w:t>
      </w:r>
      <w:r>
        <w:rPr>
          <w:sz w:val="22"/>
          <w:szCs w:val="22"/>
        </w:rPr>
        <w:t xml:space="preserve">LLM cost at expected volume is approximately Rs 269/month. Vision and STT are specialist tasks where dedicated models significantly outperform general-purpose LLMs. All LLM outputs include evidence_refs[] array for explainability — no AI output is presented without a supporting evidence chain.</w:t>
      </w:r>
    </w:p>
    <w:p>
      <w:pPr>
        <w:spacing w:after="120"/>
      </w:pPr>
      <w:r>
        <w:rPr>
          <w:b/>
          <w:bCs/>
          <w:sz w:val="22"/>
          <w:szCs w:val="22"/>
        </w:rPr>
        <w:t xml:space="preserve">Consequences: </w:t>
      </w:r>
      <w:r>
        <w:rPr>
          <w:sz w:val="22"/>
          <w:szCs w:val="22"/>
        </w:rPr>
        <w:t xml:space="preserve">All LLM prompts must include the evidence chain as context. Prompt versioning required. LLM responses must never be presented as ground truth — always as AI-generated narrative with supporting evidence references visible to the user.</w:t>
      </w:r>
    </w:p>
    <w:p>
      <w:pPr>
        <w:spacing w:after="80"/>
      </w:pPr>
    </w:p>
    <w:p>
      <w:pPr>
        <w:pStyle w:val="Heading2"/>
        <w:spacing w:after="160" w:before="320"/>
      </w:pPr>
      <w:r>
        <w:t xml:space="preserve">ADR-007: Simulation Engine Uses PIG Snapshot (Not Live PIG)</w:t>
      </w:r>
    </w:p>
    <w:p>
      <w:pPr>
        <w:spacing w:after="120"/>
      </w:pPr>
      <w:r>
        <w:rPr>
          <w:b/>
          <w:bCs/>
          <w:sz w:val="22"/>
          <w:szCs w:val="22"/>
        </w:rPr>
        <w:t xml:space="preserve">Context: </w:t>
      </w:r>
      <w:r>
        <w:rPr>
          <w:sz w:val="22"/>
          <w:szCs w:val="22"/>
        </w:rPr>
        <w:t xml:space="preserve">Simulation Engine needs to modify entity relationships to model what-if scenarios. Writing modifications to the live PIG would corrupt live project state for all users.</w:t>
      </w:r>
    </w:p>
    <w:p>
      <w:pPr>
        <w:spacing w:after="120"/>
      </w:pPr>
      <w:r>
        <w:rPr>
          <w:b/>
          <w:bCs/>
          <w:sz w:val="22"/>
          <w:szCs w:val="22"/>
        </w:rPr>
        <w:t xml:space="preserve">Decision: </w:t>
      </w:r>
      <w:r>
        <w:rPr>
          <w:sz w:val="22"/>
          <w:szCs w:val="22"/>
        </w:rPr>
        <w:t xml:space="preserve">Simulation Engine takes a snapshot of the relevant PIG subgraph at scenario creation time, applies perturbations to the snapshot only, runs forward projection — never writes to the main PIG graph tables.</w:t>
      </w:r>
    </w:p>
    <w:p>
      <w:pPr>
        <w:spacing w:after="120"/>
      </w:pPr>
      <w:r>
        <w:rPr>
          <w:b/>
          <w:bCs/>
          <w:sz w:val="22"/>
          <w:szCs w:val="22"/>
        </w:rPr>
        <w:t xml:space="preserve">Rationale: </w:t>
      </w:r>
      <w:r>
        <w:rPr>
          <w:sz w:val="22"/>
          <w:szCs w:val="22"/>
        </w:rPr>
        <w:t xml:space="preserve">Prevents simulation state from polluting live project state. Multiple simultaneous scenarios can run in parallel without interference. Simulation results are stored in simulation_results tables, linked to the scenario ID and snapshot timestamp.</w:t>
      </w:r>
    </w:p>
    <w:p>
      <w:pPr>
        <w:spacing w:after="120"/>
      </w:pPr>
      <w:r>
        <w:rPr>
          <w:b/>
          <w:bCs/>
          <w:sz w:val="22"/>
          <w:szCs w:val="22"/>
        </w:rPr>
        <w:t xml:space="preserve">Consequences: </w:t>
      </w:r>
      <w:r>
        <w:rPr>
          <w:sz w:val="22"/>
          <w:szCs w:val="22"/>
        </w:rPr>
        <w:t xml:space="preserve">Snapshot may be seconds stale by the time Simulation Engine processes it. Acceptable for planning purposes. Simulation results must display the snapshot timestamp so users understand the baseline used for the projection.</w:t>
      </w:r>
    </w:p>
    <w:p>
      <w:pPr>
        <w:spacing w:after="80"/>
      </w:pPr>
    </w:p>
    <w:p>
      <w:pPr>
        <w:pStyle w:val="Heading2"/>
        <w:spacing w:after="160" w:before="320"/>
      </w:pPr>
      <w:r>
        <w:t xml:space="preserve">ADR-008: Organizational Memory Requires Human Approval Before Write</w:t>
      </w:r>
    </w:p>
    <w:p>
      <w:pPr>
        <w:spacing w:after="120"/>
      </w:pPr>
      <w:r>
        <w:rPr>
          <w:b/>
          <w:bCs/>
          <w:sz w:val="22"/>
          <w:szCs w:val="22"/>
        </w:rPr>
        <w:t xml:space="preserve">Context: </w:t>
      </w:r>
      <w:r>
        <w:rPr>
          <w:sz w:val="22"/>
          <w:szCs w:val="22"/>
        </w:rPr>
        <w:t xml:space="preserve">Organizational Memory stores institutional knowledge that influences future decisions, risk assessments, and simulations across all projects for a tenant. Incorrect patterns would propagate errors into every future project.</w:t>
      </w:r>
    </w:p>
    <w:p>
      <w:pPr>
        <w:spacing w:after="120"/>
      </w:pPr>
      <w:r>
        <w:rPr>
          <w:b/>
          <w:bCs/>
          <w:sz w:val="22"/>
          <w:szCs w:val="22"/>
        </w:rPr>
        <w:t xml:space="preserve">Decision: </w:t>
      </w:r>
      <w:r>
        <w:rPr>
          <w:sz w:val="22"/>
          <w:szCs w:val="22"/>
        </w:rPr>
        <w:t xml:space="preserve">No pattern is written to memory_patterns or memory_records without explicit PM approval. The Org Memory Engine identifies candidate patterns and surfaces them for PM review. Write occurs only after approval action.</w:t>
      </w:r>
    </w:p>
    <w:p>
      <w:pPr>
        <w:spacing w:after="120"/>
      </w:pPr>
      <w:r>
        <w:rPr>
          <w:b/>
          <w:bCs/>
          <w:sz w:val="22"/>
          <w:szCs w:val="22"/>
        </w:rPr>
        <w:t xml:space="preserve">Rationale: </w:t>
      </w:r>
      <w:r>
        <w:rPr>
          <w:sz w:val="22"/>
          <w:szCs w:val="22"/>
        </w:rPr>
        <w:t xml:space="preserve">Prevents garbage-in-garbage-out propagation at the institutional level. The statement 'this vendor typically recovers in 2 weeks' is only valuable if it reflects verified historical data. PM review adds the human judgment layer before institutional persistence.</w:t>
      </w:r>
    </w:p>
    <w:p>
      <w:pPr>
        <w:spacing w:after="120"/>
      </w:pPr>
      <w:r>
        <w:rPr>
          <w:b/>
          <w:bCs/>
          <w:sz w:val="22"/>
          <w:szCs w:val="22"/>
        </w:rPr>
        <w:t xml:space="preserve">Consequences: </w:t>
      </w:r>
      <w:r>
        <w:rPr>
          <w:sz w:val="22"/>
          <w:szCs w:val="22"/>
        </w:rPr>
        <w:t xml:space="preserve">Memory accumulation is slower and dependent on PM review cadence. PM must be prompted to review candidate patterns at project completion. System is more conservative but produces higher-confidence institutional knowledge.</w:t>
      </w:r>
    </w:p>
    <w:p>
      <w:r>
        <w:br w:type="page"/>
      </w:r>
    </w:p>
    <w:p>
      <w:pPr>
        <w:pStyle w:val="Heading1"/>
        <w:spacing w:after="240" w:before="480"/>
      </w:pPr>
      <w:r>
        <w:t xml:space="preserve">8. CI/CD Pipeline</w:t>
      </w:r>
    </w:p>
    <w:p>
      <w:pPr>
        <w:spacing w:after="140"/>
      </w:pPr>
      <w:r>
        <w:rPr>
          <w:sz w:val="22"/>
          <w:szCs w:val="22"/>
        </w:rPr>
        <w:t xml:space="preserve">Green PM v5 uses Cloud Build as the CI/CD platform. Each Cloud Run service has an independent build trigger per repository. The api-gateway has an additional contract validation step before production traffic cut-over.</w:t>
      </w:r>
    </w:p>
    <w:p>
      <w:pPr>
        <w:spacing w:after="80"/>
      </w:pPr>
    </w:p>
    <w:p>
      <w:pPr>
        <w:pStyle w:val="Heading2"/>
        <w:spacing w:after="160" w:before="320"/>
      </w:pPr>
      <w:r>
        <w:t xml:space="preserve">8.1 Pipeline Stages</w:t>
      </w:r>
    </w:p>
    <w:p>
      <w:pPr>
        <w:pStyle w:val="ListParagraph"/>
        <w:numPr>
          <w:ilvl w:val="0"/>
          <w:numId w:val="1"/>
        </w:numPr>
        <w:spacing w:after="80"/>
      </w:pPr>
      <w:r>
        <w:rPr>
          <w:sz w:val="22"/>
          <w:szCs w:val="22"/>
        </w:rPr>
        <w:t xml:space="preserve">Stage 1 — Source: Push to main branch or PR merge triggers Cloud Build for the changed service.</w:t>
      </w:r>
    </w:p>
    <w:p>
      <w:pPr>
        <w:pStyle w:val="ListParagraph"/>
        <w:numPr>
          <w:ilvl w:val="0"/>
          <w:numId w:val="1"/>
        </w:numPr>
        <w:spacing w:after="80"/>
      </w:pPr>
      <w:r>
        <w:rPr>
          <w:sz w:val="22"/>
          <w:szCs w:val="22"/>
        </w:rPr>
        <w:t xml:space="preserve">Stage 2 — Unit Tests: pytest unit tests for the changed service, minimum 80% coverage gate.</w:t>
      </w:r>
    </w:p>
    <w:p>
      <w:pPr>
        <w:pStyle w:val="ListParagraph"/>
        <w:numPr>
          <w:ilvl w:val="0"/>
          <w:numId w:val="1"/>
        </w:numPr>
        <w:spacing w:after="80"/>
      </w:pPr>
      <w:r>
        <w:rPr>
          <w:sz w:val="22"/>
          <w:szCs w:val="22"/>
        </w:rPr>
        <w:t xml:space="preserve">Stage 3 — Integration Tests: integration tests against staging Cloud SQL and Redis instances.</w:t>
      </w:r>
    </w:p>
    <w:p>
      <w:pPr>
        <w:pStyle w:val="ListParagraph"/>
        <w:numPr>
          <w:ilvl w:val="0"/>
          <w:numId w:val="1"/>
        </w:numPr>
        <w:spacing w:after="80"/>
      </w:pPr>
      <w:r>
        <w:rPr>
          <w:sz w:val="22"/>
          <w:szCs w:val="22"/>
        </w:rPr>
        <w:t xml:space="preserve">Stage 4 — PIG Traversal Tests: graph query tests verifying CTE depth limits, cycle detection, and tenant isolation (pig-query-service only).</w:t>
      </w:r>
    </w:p>
    <w:p>
      <w:pPr>
        <w:pStyle w:val="ListParagraph"/>
        <w:numPr>
          <w:ilvl w:val="0"/>
          <w:numId w:val="1"/>
        </w:numPr>
        <w:spacing w:after="80"/>
      </w:pPr>
      <w:r>
        <w:rPr>
          <w:sz w:val="22"/>
          <w:szCs w:val="22"/>
        </w:rPr>
        <w:t xml:space="preserve">Stage 5 — Security Scan: Trivy vulnerability scan on Docker image. Critical CVEs block deployment.</w:t>
      </w:r>
    </w:p>
    <w:p>
      <w:pPr>
        <w:pStyle w:val="ListParagraph"/>
        <w:numPr>
          <w:ilvl w:val="0"/>
          <w:numId w:val="1"/>
        </w:numPr>
        <w:spacing w:after="80"/>
      </w:pPr>
      <w:r>
        <w:rPr>
          <w:sz w:val="22"/>
          <w:szCs w:val="22"/>
        </w:rPr>
        <w:t xml:space="preserve">Stage 6 — Staging Deploy: deploy to Cloud Run staging environment (separate GCP project).</w:t>
      </w:r>
    </w:p>
    <w:p>
      <w:pPr>
        <w:pStyle w:val="ListParagraph"/>
        <w:numPr>
          <w:ilvl w:val="0"/>
          <w:numId w:val="1"/>
        </w:numPr>
        <w:spacing w:after="80"/>
      </w:pPr>
      <w:r>
        <w:rPr>
          <w:sz w:val="22"/>
          <w:szCs w:val="22"/>
        </w:rPr>
        <w:t xml:space="preserve">Stage 7 — Smoke Tests: automated smoke test suite against staging environment.</w:t>
      </w:r>
    </w:p>
    <w:p>
      <w:pPr>
        <w:pStyle w:val="ListParagraph"/>
        <w:numPr>
          <w:ilvl w:val="0"/>
          <w:numId w:val="1"/>
        </w:numPr>
        <w:spacing w:after="80"/>
      </w:pPr>
      <w:r>
        <w:rPr>
          <w:sz w:val="22"/>
          <w:szCs w:val="22"/>
        </w:rPr>
        <w:t xml:space="preserve">Stage 8 — Production Deploy: Cloud Run traffic split — 20% canary for 10 minutes, then 100% if error rate is within SLO.</w:t>
      </w:r>
    </w:p>
    <w:p>
      <w:pPr>
        <w:spacing w:after="80"/>
      </w:pPr>
    </w:p>
    <w:p>
      <w:pPr>
        <w:pStyle w:val="Heading2"/>
        <w:spacing w:after="160" w:before="320"/>
      </w:pPr>
      <w:r>
        <w:t xml:space="preserve">8.2 Per-Engine Independence</w:t>
      </w:r>
    </w:p>
    <w:p>
      <w:pPr>
        <w:spacing w:after="140"/>
      </w:pPr>
      <w:r>
        <w:rPr>
          <w:sz w:val="22"/>
          <w:szCs w:val="22"/>
        </w:rPr>
        <w:t xml:space="preserve">Each engine service deploys independently. A Risk Engine deployment does not require Evidence Engine redeployment, staging, or smoke test execution. The api-gateway deploys with a contract validation check: all 17 engine services must respond to a health check before the gateway receives production traffic.</w:t>
      </w:r>
    </w:p>
    <w:p>
      <w:pPr>
        <w:spacing w:after="80"/>
      </w:pPr>
    </w:p>
    <w:p>
      <w:pPr>
        <w:pStyle w:val="Heading2"/>
        <w:spacing w:after="160" w:before="320"/>
      </w:pPr>
      <w:r>
        <w:t xml:space="preserve">8.3 Rollback</w:t>
      </w:r>
    </w:p>
    <w:p>
      <w:pPr>
        <w:spacing w:after="140"/>
      </w:pPr>
      <w:r>
        <w:rPr>
          <w:sz w:val="22"/>
          <w:szCs w:val="22"/>
        </w:rPr>
        <w:t xml:space="preserve">Cloud Run maintains the previous revision indefinitely. Rollback is a traffic re-split to the previous revision, executable in under 60 seconds via Cloud Run console or gcloud CLI. No re-deployment required.</w:t>
      </w:r>
    </w:p>
    <w:p>
      <w:r>
        <w:br w:type="page"/>
      </w:r>
    </w:p>
    <w:p>
      <w:pPr>
        <w:pStyle w:val="Heading1"/>
        <w:spacing w:after="240" w:before="480"/>
      </w:pPr>
      <w:r>
        <w:t xml:space="preserve">9. Observability</w:t>
      </w:r>
    </w:p>
    <w:p>
      <w:pPr>
        <w:spacing w:after="80"/>
      </w:pPr>
    </w:p>
    <w:p>
      <w:pPr>
        <w:pStyle w:val="Heading2"/>
        <w:spacing w:after="160" w:before="320"/>
      </w:pPr>
      <w:r>
        <w:t xml:space="preserve">9.1 Logging</w:t>
      </w:r>
    </w:p>
    <w:p>
      <w:pPr>
        <w:pStyle w:val="ListParagraph"/>
        <w:numPr>
          <w:ilvl w:val="0"/>
          <w:numId w:val="1"/>
        </w:numPr>
        <w:spacing w:after="80"/>
      </w:pPr>
      <w:r>
        <w:rPr>
          <w:sz w:val="22"/>
          <w:szCs w:val="22"/>
        </w:rPr>
        <w:t xml:space="preserve">All 24 services emit structured JSON logs to Cloud Logging</w:t>
      </w:r>
    </w:p>
    <w:p>
      <w:pPr>
        <w:pStyle w:val="ListParagraph"/>
        <w:numPr>
          <w:ilvl w:val="0"/>
          <w:numId w:val="1"/>
        </w:numPr>
        <w:spacing w:after="80"/>
      </w:pPr>
      <w:r>
        <w:rPr>
          <w:sz w:val="22"/>
          <w:szCs w:val="22"/>
        </w:rPr>
        <w:t xml:space="preserve">Standard fields: service_name, tenant_id, request_id, event_type, duration_ms, status</w:t>
      </w:r>
    </w:p>
    <w:p>
      <w:pPr>
        <w:pStyle w:val="ListParagraph"/>
        <w:numPr>
          <w:ilvl w:val="0"/>
          <w:numId w:val="1"/>
        </w:numPr>
        <w:spacing w:after="80"/>
      </w:pPr>
      <w:r>
        <w:rPr>
          <w:sz w:val="22"/>
          <w:szCs w:val="22"/>
        </w:rPr>
        <w:t xml:space="preserve">Log retention: 30 days in Cloud Logging, 90 days in Cloud Storage export</w:t>
      </w:r>
    </w:p>
    <w:p>
      <w:pPr>
        <w:pStyle w:val="ListParagraph"/>
        <w:numPr>
          <w:ilvl w:val="0"/>
          <w:numId w:val="1"/>
        </w:numPr>
        <w:spacing w:after="80"/>
      </w:pPr>
      <w:r>
        <w:rPr>
          <w:sz w:val="22"/>
          <w:szCs w:val="22"/>
        </w:rPr>
        <w:t xml:space="preserve">Sensitive data (evidence content, decision details) is never logged — only IDs and metadata</w:t>
      </w:r>
    </w:p>
    <w:p>
      <w:pPr>
        <w:spacing w:after="80"/>
      </w:pPr>
    </w:p>
    <w:p>
      <w:pPr>
        <w:pStyle w:val="Heading2"/>
        <w:spacing w:after="160" w:before="320"/>
      </w:pPr>
      <w:r>
        <w:t xml:space="preserve">9.2 Custom Metrics</w:t>
      </w:r>
    </w:p>
    <w:p>
      <w:pPr>
        <w:pStyle w:val="ListParagraph"/>
        <w:numPr>
          <w:ilvl w:val="0"/>
          <w:numId w:val="1"/>
        </w:numPr>
        <w:spacing w:after="80"/>
      </w:pPr>
      <w:r>
        <w:rPr>
          <w:sz w:val="22"/>
          <w:szCs w:val="22"/>
        </w:rPr>
        <w:t xml:space="preserve">evidence_score_p50: median Evidence Score across all active projects per tenant</w:t>
      </w:r>
    </w:p>
    <w:p>
      <w:pPr>
        <w:pStyle w:val="ListParagraph"/>
        <w:numPr>
          <w:ilvl w:val="0"/>
          <w:numId w:val="1"/>
        </w:numPr>
        <w:spacing w:after="80"/>
      </w:pPr>
      <w:r>
        <w:rPr>
          <w:sz w:val="22"/>
          <w:szCs w:val="22"/>
        </w:rPr>
        <w:t xml:space="preserve">coordination_item_backlog: open coordination items older than 48 hours per project</w:t>
      </w:r>
    </w:p>
    <w:p>
      <w:pPr>
        <w:pStyle w:val="ListParagraph"/>
        <w:numPr>
          <w:ilvl w:val="0"/>
          <w:numId w:val="1"/>
        </w:numPr>
        <w:spacing w:after="80"/>
      </w:pPr>
      <w:r>
        <w:rPr>
          <w:sz w:val="22"/>
          <w:szCs w:val="22"/>
        </w:rPr>
        <w:t xml:space="preserve">pig_traversal_latency_p95: 95th percentile PIG graph traversal time in milliseconds</w:t>
      </w:r>
    </w:p>
    <w:p>
      <w:pPr>
        <w:pStyle w:val="ListParagraph"/>
        <w:numPr>
          <w:ilvl w:val="0"/>
          <w:numId w:val="1"/>
        </w:numPr>
        <w:spacing w:after="80"/>
      </w:pPr>
      <w:r>
        <w:rPr>
          <w:sz w:val="22"/>
          <w:szCs w:val="22"/>
        </w:rPr>
        <w:t xml:space="preserve">simulation_completion_time: time from simulation.requested to simulation.completed in seconds</w:t>
      </w:r>
    </w:p>
    <w:p>
      <w:pPr>
        <w:pStyle w:val="ListParagraph"/>
        <w:numPr>
          <w:ilvl w:val="0"/>
          <w:numId w:val="1"/>
        </w:numPr>
        <w:spacing w:after="80"/>
      </w:pPr>
      <w:r>
        <w:rPr>
          <w:sz w:val="22"/>
          <w:szCs w:val="22"/>
        </w:rPr>
        <w:t xml:space="preserve">engine_cold_start_p95: 95th percentile cold start time per engine service</w:t>
      </w:r>
    </w:p>
    <w:p>
      <w:pPr>
        <w:pStyle w:val="ListParagraph"/>
        <w:numPr>
          <w:ilvl w:val="0"/>
          <w:numId w:val="1"/>
        </w:numPr>
        <w:spacing w:after="80"/>
      </w:pPr>
      <w:r>
        <w:rPr>
          <w:sz w:val="22"/>
          <w:szCs w:val="22"/>
        </w:rPr>
        <w:t xml:space="preserve">outbox_lag: age of the oldest unpublished outbox entry in seconds</w:t>
      </w:r>
    </w:p>
    <w:p>
      <w:pPr>
        <w:spacing w:after="80"/>
      </w:pPr>
    </w:p>
    <w:p>
      <w:pPr>
        <w:pStyle w:val="Heading2"/>
        <w:spacing w:after="160" w:before="320"/>
      </w:pPr>
      <w:r>
        <w:t xml:space="preserve">9.3 Distributed Tracing</w:t>
      </w:r>
    </w:p>
    <w:p>
      <w:pPr>
        <w:pStyle w:val="ListParagraph"/>
        <w:numPr>
          <w:ilvl w:val="0"/>
          <w:numId w:val="1"/>
        </w:numPr>
        <w:spacing w:after="80"/>
      </w:pPr>
      <w:r>
        <w:rPr>
          <w:sz w:val="22"/>
          <w:szCs w:val="22"/>
        </w:rPr>
        <w:t xml:space="preserve">Cloud Trace: full request trace from API gateway through engine services</w:t>
      </w:r>
    </w:p>
    <w:p>
      <w:pPr>
        <w:pStyle w:val="ListParagraph"/>
        <w:numPr>
          <w:ilvl w:val="0"/>
          <w:numId w:val="1"/>
        </w:numPr>
        <w:spacing w:after="80"/>
      </w:pPr>
      <w:r>
        <w:rPr>
          <w:sz w:val="22"/>
          <w:szCs w:val="22"/>
        </w:rPr>
        <w:t xml:space="preserve">Trace context header forwarded in all Pub/Sub message attributes for end-to-end correlation</w:t>
      </w:r>
    </w:p>
    <w:p>
      <w:pPr>
        <w:pStyle w:val="ListParagraph"/>
        <w:numPr>
          <w:ilvl w:val="0"/>
          <w:numId w:val="1"/>
        </w:numPr>
        <w:spacing w:after="80"/>
      </w:pPr>
      <w:r>
        <w:rPr>
          <w:sz w:val="22"/>
          <w:szCs w:val="22"/>
        </w:rPr>
        <w:t xml:space="preserve">Trace enables: latency measurement from API call to Firestore panel update (full event loop)</w:t>
      </w:r>
    </w:p>
    <w:p>
      <w:pPr>
        <w:spacing w:after="80"/>
      </w:pPr>
    </w:p>
    <w:p>
      <w:pPr>
        <w:pStyle w:val="Heading2"/>
        <w:spacing w:after="160" w:before="320"/>
      </w:pPr>
      <w:r>
        <w:t xml:space="preserve">9.4 Alerting</w:t>
      </w:r>
    </w:p>
    <w:p>
      <w:pPr>
        <w:pStyle w:val="ListParagraph"/>
        <w:numPr>
          <w:ilvl w:val="0"/>
          <w:numId w:val="1"/>
        </w:numPr>
        <w:spacing w:after="80"/>
      </w:pPr>
      <w:r>
        <w:rPr>
          <w:sz w:val="22"/>
          <w:szCs w:val="22"/>
        </w:rPr>
        <w:t xml:space="preserve">Uptime checks: api-gateway and Firestore health endpoint checked every 60 seconds by Cloud Monitoring</w:t>
      </w:r>
    </w:p>
    <w:p>
      <w:pPr>
        <w:pStyle w:val="ListParagraph"/>
        <w:numPr>
          <w:ilvl w:val="0"/>
          <w:numId w:val="1"/>
        </w:numPr>
        <w:spacing w:after="80"/>
      </w:pPr>
      <w:r>
        <w:rPr>
          <w:sz w:val="22"/>
          <w:szCs w:val="22"/>
        </w:rPr>
        <w:t xml:space="preserve">P0/P1 (PagerDuty): api-gateway down, outbox_lag greater than 300 seconds, pig_traversal_latency_p95 greater than 2000 ms</w:t>
      </w:r>
    </w:p>
    <w:p>
      <w:pPr>
        <w:pStyle w:val="ListParagraph"/>
        <w:numPr>
          <w:ilvl w:val="0"/>
          <w:numId w:val="1"/>
        </w:numPr>
        <w:spacing w:after="80"/>
      </w:pPr>
      <w:r>
        <w:rPr>
          <w:sz w:val="22"/>
          <w:szCs w:val="22"/>
        </w:rPr>
        <w:t xml:space="preserve">P2 (email): coordination_item_backlog greater than 50 items, evidence_score_p50 below 0.3 for any active project</w:t>
      </w:r>
    </w:p>
    <w:p>
      <w:pPr>
        <w:spacing w:after="80"/>
      </w:pPr>
    </w:p>
    <w:p>
      <w:pPr>
        <w:pStyle w:val="Heading2"/>
        <w:spacing w:after="160" w:before="320"/>
      </w:pPr>
      <w:r>
        <w:t xml:space="preserve">9.5 Error Budgets</w:t>
      </w:r>
    </w:p>
    <w:p>
      <w:pPr>
        <w:pStyle w:val="ListParagraph"/>
        <w:numPr>
          <w:ilvl w:val="0"/>
          <w:numId w:val="1"/>
        </w:numPr>
        <w:spacing w:after="80"/>
      </w:pPr>
      <w:r>
        <w:rPr>
          <w:sz w:val="22"/>
          <w:szCs w:val="22"/>
        </w:rPr>
        <w:t xml:space="preserve">api-gateway: 99.5% monthly uptime SLO (3.6 hours error budget per month)</w:t>
      </w:r>
    </w:p>
    <w:p>
      <w:pPr>
        <w:pStyle w:val="ListParagraph"/>
        <w:numPr>
          <w:ilvl w:val="0"/>
          <w:numId w:val="1"/>
        </w:numPr>
        <w:spacing w:after="80"/>
      </w:pPr>
      <w:r>
        <w:rPr>
          <w:sz w:val="22"/>
          <w:szCs w:val="22"/>
        </w:rPr>
        <w:t xml:space="preserve">Engine services: 99.0% event processing SLO (7.3 hours per month)</w:t>
      </w:r>
    </w:p>
    <w:p>
      <w:pPr>
        <w:pStyle w:val="ListParagraph"/>
        <w:numPr>
          <w:ilvl w:val="0"/>
          <w:numId w:val="1"/>
        </w:numPr>
        <w:spacing w:after="80"/>
      </w:pPr>
      <w:r>
        <w:rPr>
          <w:sz w:val="22"/>
          <w:szCs w:val="22"/>
        </w:rPr>
        <w:t xml:space="preserve">pig-query-service: 99.5% monthly uptime SLO</w:t>
      </w:r>
    </w:p>
    <w:p>
      <w:pPr>
        <w:pStyle w:val="ListParagraph"/>
        <w:numPr>
          <w:ilvl w:val="0"/>
          <w:numId w:val="1"/>
        </w:numPr>
        <w:spacing w:after="80"/>
      </w:pPr>
      <w:r>
        <w:rPr>
          <w:sz w:val="22"/>
          <w:szCs w:val="22"/>
        </w:rPr>
        <w:t xml:space="preserve">Error budget consumption tracked weekly; feature deployments frozen if budget is exhausted</w:t>
      </w:r>
    </w:p>
    <w:p>
      <w:r>
        <w:br w:type="page"/>
      </w:r>
    </w:p>
    <w:p>
      <w:pPr>
        <w:pStyle w:val="Heading1"/>
        <w:spacing w:after="240" w:before="480"/>
      </w:pPr>
      <w:r>
        <w:t xml:space="preserve">10. Multi-Tenant Architecture</w:t>
      </w:r>
    </w:p>
    <w:p>
      <w:pPr>
        <w:spacing w:after="140"/>
      </w:pPr>
      <w:r>
        <w:rPr>
          <w:sz w:val="22"/>
          <w:szCs w:val="22"/>
        </w:rPr>
        <w:t xml:space="preserve">Green PM is a single-instance multi-tenant SaaS platform. All tenants share infrastructure. Isolation is enforced exclusively at the database layer via PostgreSQL Row-Level Security — there is no per-tenant Cloud Run service, database, or Redis cluster.</w:t>
      </w:r>
    </w:p>
    <w:p>
      <w:pPr>
        <w:spacing w:after="80"/>
      </w:pPr>
    </w:p>
    <w:p>
      <w:pPr>
        <w:pStyle w:val="Heading2"/>
        <w:spacing w:after="160" w:before="320"/>
      </w:pPr>
      <w:r>
        <w:t xml:space="preserve">10.1 Row-Level Security (RLS)</w:t>
      </w:r>
    </w:p>
    <w:p>
      <w:pPr>
        <w:spacing w:after="140"/>
      </w:pPr>
      <w:r>
        <w:rPr>
          <w:sz w:val="22"/>
          <w:szCs w:val="22"/>
        </w:rPr>
        <w:t xml:space="preserve">Every PostgreSQL table has an RLS policy. The policy template applied to all tables:</w:t>
      </w:r>
    </w:p>
    <w:p>
      <w:pPr>
        <w:pStyle w:val="ListParagraph"/>
        <w:numPr>
          <w:ilvl w:val="0"/>
          <w:numId w:val="1"/>
        </w:numPr>
        <w:spacing w:after="80"/>
      </w:pPr>
      <w:r>
        <w:rPr>
          <w:sz w:val="22"/>
          <w:szCs w:val="22"/>
        </w:rPr>
        <w:t xml:space="preserve">CREATE POLICY tenant_isolation ON {table_name} USING (tenant_id = current_setting('app.current_tenant_id')::uuid);</w:t>
      </w:r>
    </w:p>
    <w:p>
      <w:pPr>
        <w:spacing w:after="80"/>
      </w:pPr>
    </w:p>
    <w:p>
      <w:pPr>
        <w:spacing w:after="140"/>
      </w:pPr>
      <w:r>
        <w:rPr>
          <w:sz w:val="22"/>
          <w:szCs w:val="22"/>
        </w:rPr>
        <w:t xml:space="preserve">SET app.current_tenant_id is called once per connection, immediately after PgBouncer assigns the connection. This setting persists for the lifetime of the session. All subsequent queries on that connection automatically filter to the current tenant — no application code is required to add WHERE tenant_id = ? clauses.</w:t>
      </w:r>
    </w:p>
    <w:p>
      <w:pPr>
        <w:spacing w:after="80"/>
      </w:pPr>
    </w:p>
    <w:p>
      <w:pPr>
        <w:pStyle w:val="Heading2"/>
        <w:spacing w:after="160" w:before="320"/>
      </w:pPr>
      <w:r>
        <w:t xml:space="preserve">10.2 Why PgBouncer Must Use Session Mode</w:t>
      </w:r>
    </w:p>
    <w:p>
      <w:pPr>
        <w:spacing w:after="140"/>
      </w:pPr>
      <w:r>
        <w:rPr>
          <w:sz w:val="22"/>
          <w:szCs w:val="22"/>
        </w:rPr>
        <w:t xml:space="preserve">PgBouncer must operate in session mode — not transaction mode or statement mode. The reason is that SET is session-scoped. If PgBouncer recycled the connection after each transaction (transaction mode behavior), a new transaction could inherit another tenant's SET app.current_tenant_id value from a recycled connection. Session mode ensures each PgBouncer client session maps one-to-one with one PostgreSQL server session for its lifetime, making the SET value stable and trustworthy.</w:t>
      </w:r>
    </w:p>
    <w:p>
      <w:pPr>
        <w:spacing w:after="80"/>
      </w:pPr>
    </w:p>
    <w:p>
      <w:pPr>
        <w:pStyle w:val="Heading2"/>
        <w:spacing w:after="160" w:before="320"/>
      </w:pPr>
      <w:r>
        <w:t xml:space="preserve">10.3 New Tenant Onboarding</w:t>
      </w:r>
    </w:p>
    <w:p>
      <w:pPr>
        <w:spacing w:after="140"/>
      </w:pPr>
      <w:r>
        <w:rPr>
          <w:sz w:val="22"/>
          <w:szCs w:val="22"/>
        </w:rPr>
        <w:t xml:space="preserve">Onboarding a new client requires zero code changes and zero deployments. The full sequence:</w:t>
      </w:r>
    </w:p>
    <w:p>
      <w:pPr>
        <w:pStyle w:val="ListParagraph"/>
        <w:numPr>
          <w:ilvl w:val="0"/>
          <w:numId w:val="1"/>
        </w:numPr>
        <w:spacing w:after="80"/>
      </w:pPr>
      <w:r>
        <w:rPr>
          <w:sz w:val="22"/>
          <w:szCs w:val="22"/>
        </w:rPr>
        <w:t xml:space="preserve">Step 1: Create record in tenants table (id, name, subdomain, plan, created_at)</w:t>
      </w:r>
    </w:p>
    <w:p>
      <w:pPr>
        <w:pStyle w:val="ListParagraph"/>
        <w:numPr>
          <w:ilvl w:val="0"/>
          <w:numId w:val="1"/>
        </w:numPr>
        <w:spacing w:after="80"/>
      </w:pPr>
      <w:r>
        <w:rPr>
          <w:sz w:val="22"/>
          <w:szCs w:val="22"/>
        </w:rPr>
        <w:t xml:space="preserve">Step 2: Create initial Studio configuration record in studio_configs for the tenant</w:t>
      </w:r>
    </w:p>
    <w:p>
      <w:pPr>
        <w:pStyle w:val="ListParagraph"/>
        <w:numPr>
          <w:ilvl w:val="0"/>
          <w:numId w:val="1"/>
        </w:numPr>
        <w:spacing w:after="80"/>
      </w:pPr>
      <w:r>
        <w:rPr>
          <w:sz w:val="22"/>
          <w:szCs w:val="22"/>
        </w:rPr>
        <w:t xml:space="preserve">Step 3: PM or sales ops configures the 15 Studio builders for the client's specific workflows</w:t>
      </w:r>
    </w:p>
    <w:p>
      <w:pPr>
        <w:pStyle w:val="ListParagraph"/>
        <w:numPr>
          <w:ilvl w:val="0"/>
          <w:numId w:val="1"/>
        </w:numPr>
        <w:spacing w:after="80"/>
      </w:pPr>
      <w:r>
        <w:rPr>
          <w:sz w:val="22"/>
          <w:szCs w:val="22"/>
        </w:rPr>
        <w:t xml:space="preserve">Step 4: Add initial user accounts and assign roles in the users and user_roles tables</w:t>
      </w:r>
    </w:p>
    <w:p>
      <w:pPr>
        <w:pStyle w:val="ListParagraph"/>
        <w:numPr>
          <w:ilvl w:val="0"/>
          <w:numId w:val="1"/>
        </w:numPr>
        <w:spacing w:after="80"/>
      </w:pPr>
      <w:r>
        <w:rPr>
          <w:sz w:val="22"/>
          <w:szCs w:val="22"/>
        </w:rPr>
        <w:t xml:space="preserve">Step 5: Client accesses the platform at their subdomain — all 17 engines, all 24 services, all entity workspaces available immediately</w:t>
      </w:r>
    </w:p>
    <w:p>
      <w:pPr>
        <w:spacing w:after="80"/>
      </w:pPr>
    </w:p>
    <w:p>
      <w:pPr>
        <w:spacing w:after="140"/>
      </w:pPr>
      <w:r>
        <w:rPr>
          <w:sz w:val="22"/>
          <w:szCs w:val="22"/>
        </w:rPr>
        <w:t xml:space="preserve">The existing RLS policies on all tables automatically isolate the new tenant's data. No new Cloud Run services, no new Cloud SQL databases, no new Redis clusters, no new Firestore collections are created.</w:t>
      </w:r>
    </w:p>
    <w:p>
      <w:pPr>
        <w:spacing w:after="80"/>
      </w:pPr>
    </w:p>
    <w:p>
      <w:pPr>
        <w:pStyle w:val="Heading2"/>
        <w:spacing w:after="160" w:before="320"/>
      </w:pPr>
      <w:r>
        <w:t xml:space="preserve">10.4 Tenant Enumeration Prevention</w:t>
      </w:r>
    </w:p>
    <w:p>
      <w:pPr>
        <w:spacing w:after="140"/>
      </w:pPr>
      <w:r>
        <w:rPr>
          <w:sz w:val="22"/>
          <w:szCs w:val="22"/>
        </w:rPr>
        <w:t xml:space="preserve">A request carrying a wrong tenant ID resolves to an empty result set — not a 403 Forbidden and not a 404 Not Found. This prevents an attacker from discovering which tenant IDs exist by probing the API and observing different error codes. The application returns the same empty-project response whether the tenant ID is valid-but-unauthorized, invalid, or entirely non-existent.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Engineering &amp; Architecture</dc:title>
  <dc:creator>Green PM</dc:creator>
  <dc:description>Technical reference for Green PM v5 engineering architecture, 24 Cloud Run services, event architecture, data layer, and 8 ADRs.</dc:description>
  <cp:lastModifiedBy>Un-named</cp:lastModifiedBy>
  <cp:revision>1</cp:revision>
  <dcterms:created xsi:type="dcterms:W3CDTF">2026-08-03T11:56:53.684Z</dcterms:created>
  <dcterms:modified xsi:type="dcterms:W3CDTF">2026-08-03T11:56:53.686Z</dcterms:modified>
</cp:coreProperties>
</file>

<file path=docProps/custom.xml><?xml version="1.0" encoding="utf-8"?>
<Properties xmlns="http://schemas.openxmlformats.org/officeDocument/2006/custom-properties" xmlns:vt="http://schemas.openxmlformats.org/officeDocument/2006/docPropsVTypes"/>
</file>