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B5E20"/>
          <w:sz w:val="32"/>
          <w:szCs w:val="32"/>
        </w:rPr>
        <w:t xml:space="preserve">Green PM v5</w:t>
      </w:r>
    </w:p>
    <w:p>
      <w:pPr>
        <w:spacing w:after="200"/>
      </w:pPr>
      <w:r>
        <w:rPr>
          <w:rFonts w:ascii="Calibri" w:cs="Calibri" w:eastAsia="Calibri" w:hAnsi="Calibri"/>
          <w:b/>
          <w:bCs/>
          <w:color w:val="1B5E20"/>
          <w:sz w:val="44"/>
          <w:szCs w:val="44"/>
        </w:rPr>
        <w:t xml:space="preserve">Engineering Change Intelligence Platform</w:t>
      </w:r>
    </w:p>
    <w:p>
      <w:pPr>
        <w:spacing w:after="80"/>
      </w:pPr>
      <w:r>
        <w:rPr>
          <w:rFonts w:ascii="Calibri" w:cs="Calibri" w:eastAsia="Calibri" w:hAnsi="Calibri"/>
          <w:i/>
          <w:iCs/>
          <w:color w:val="757575"/>
          <w:sz w:val="20"/>
          <w:szCs w:val="20"/>
        </w:rPr>
        <w:t xml:space="preserve">Technical Reference Document  |  Version 5.0  |  August 2026</w:t>
      </w:r>
    </w:p>
    <w:p>
      <w:pPr>
        <w:spacing w:after="80"/>
      </w:pPr>
      <w:r>
        <w:rPr>
          <w:rFonts w:ascii="Calibri" w:cs="Calibri" w:eastAsia="Calibri" w:hAnsi="Calibri"/>
          <w:i/>
          <w:iCs/>
          <w:color w:val="757575"/>
          <w:sz w:val="20"/>
          <w:szCs w:val="20"/>
        </w:rPr>
        <w:t xml:space="preserve">Classification: Internal — Engineering &amp; PMO Teams</w:t>
      </w:r>
    </w:p>
    <w:p>
      <w:pPr>
        <w:spacing w:after="160"/>
      </w:pPr>
    </w:p>
    <w:p>
      <w:pPr>
        <w:pStyle w:val="Heading1"/>
        <w:spacing w:after="160" w:before="400"/>
      </w:pPr>
      <w:r>
        <w:rPr>
          <w:rFonts w:ascii="Calibri" w:cs="Calibri" w:eastAsia="Calibri" w:hAnsi="Calibri"/>
          <w:b/>
          <w:bCs/>
          <w:color w:val="1B5E20"/>
          <w:sz w:val="28"/>
          <w:szCs w:val="28"/>
        </w:rPr>
        <w:t xml:space="preserve">1. What Makes a Change Intelligent</w:t>
      </w:r>
    </w:p>
    <w:p>
      <w:pPr>
        <w:spacing w:after="140" w:line="280"/>
      </w:pPr>
      <w:r>
        <w:rPr>
          <w:rFonts w:ascii="Calibri" w:cs="Calibri" w:eastAsia="Calibri" w:hAnsi="Calibri"/>
          <w:color w:val="212121"/>
          <w:sz w:val="22"/>
          <w:szCs w:val="22"/>
        </w:rPr>
        <w:t xml:space="preserve">In v4, change management tracked changes. In v5, Green PM understands changes. The distinction is not cosmetic — it is architectural. The Project Intelligence Graph (PIG) traversal reveals the full causal web of a change: not just "Activity A is affected" but "Drawing D-101 affects Activity A which gates Milestone M-08 which is the client's critical payment milestone."</w:t>
      </w:r>
    </w:p>
    <w:p>
      <w:pPr>
        <w:spacing w:after="140" w:line="280"/>
      </w:pPr>
      <w:r>
        <w:rPr>
          <w:rFonts w:ascii="Calibri" w:cs="Calibri" w:eastAsia="Calibri" w:hAnsi="Calibri"/>
          <w:color w:val="212121"/>
          <w:sz w:val="22"/>
          <w:szCs w:val="22"/>
        </w:rPr>
        <w:t xml:space="preserve">That level of understanding is only possible when all relationships are stored in the PIG. Every node — every activity, drawing, vendor, milestone, risk, and document — is connected by typed, weighted edges. When a change event arrives, Green PM does not look up a dependency list; it traverses a live graph of causal relationships.</w:t>
      </w:r>
    </w:p>
    <w:p>
      <w:pPr>
        <w:spacing w:after="140" w:line="280"/>
      </w:pPr>
      <w:r>
        <w:rPr>
          <w:rFonts w:ascii="Calibri" w:cs="Calibri" w:eastAsia="Calibri" w:hAnsi="Calibri"/>
          <w:color w:val="212121"/>
          <w:sz w:val="22"/>
          <w:szCs w:val="22"/>
        </w:rPr>
        <w:t xml:space="preserve">The practical result: change impact is not estimated, it is derived. The Impact Analysis Engine follows IMPACTS, BLOCKS, DEPENDS_ON, DELIVERS_FOR, and GATES edges from the change origin to every downstream entity. The output is a complete causal web showing exactly what changes, when, at what cost, and who needs to be aligned.</w:t>
      </w:r>
    </w:p>
    <w:p>
      <w:pPr>
        <w:spacing w:after="140" w:line="280"/>
      </w:pPr>
      <w:r>
        <w:rPr>
          <w:rFonts w:ascii="Calibri" w:cs="Calibri" w:eastAsia="Calibri" w:hAnsi="Calibri"/>
          <w:color w:val="212121"/>
          <w:sz w:val="22"/>
          <w:szCs w:val="22"/>
        </w:rPr>
        <w:t xml:space="preserve">This is the difference between a change log and change intelligence. A change log records what happened. Change intelligence tells the PM what will happen next, who is responsible, and what decision needs to be made today.</w:t>
      </w:r>
    </w:p>
    <w:p>
      <w:pPr>
        <w:spacing w:after="160"/>
      </w:pPr>
    </w:p>
    <w:p>
      <w:pPr>
        <w:pStyle w:val="Heading1"/>
        <w:spacing w:after="160" w:before="400"/>
      </w:pPr>
      <w:r>
        <w:rPr>
          <w:rFonts w:ascii="Calibri" w:cs="Calibri" w:eastAsia="Calibri" w:hAnsi="Calibri"/>
          <w:b/>
          <w:bCs/>
          <w:color w:val="1B5E20"/>
          <w:sz w:val="28"/>
          <w:szCs w:val="28"/>
        </w:rPr>
        <w:t xml:space="preserve">2. Change Workspace</w:t>
      </w:r>
    </w:p>
    <w:p>
      <w:pPr>
        <w:spacing w:after="140" w:line="280"/>
      </w:pPr>
      <w:r>
        <w:rPr>
          <w:rFonts w:ascii="Calibri" w:cs="Calibri" w:eastAsia="Calibri" w:hAnsi="Calibri"/>
          <w:color w:val="212121"/>
          <w:sz w:val="22"/>
          <w:szCs w:val="22"/>
        </w:rPr>
        <w:t xml:space="preserve">The Change Workspace is a single-screen command centre for one change event. It aggregates intelligence from the PIG, Impact Analysis Engine, Coordination Engine, Simulation Engine, and Organizational Memory Engine. No navigation is required — all intelligence is surfaced in context.</w:t>
      </w:r>
    </w:p>
    <w:p>
      <w:pPr>
        <w:spacing w:after="140" w:line="280"/>
      </w:pPr>
      <w:r>
        <w:rPr>
          <w:rFonts w:ascii="Calibri" w:cs="Calibri" w:eastAsia="Calibri" w:hAnsi="Calibri"/>
          <w:color w:val="212121"/>
          <w:sz w:val="22"/>
          <w:szCs w:val="22"/>
        </w:rPr>
        <w:t xml:space="preserve">The eight panels of the Change Workspace:</w:t>
      </w:r>
    </w:p>
    <w:p>
      <w:pPr>
        <w:pStyle w:val="ListParagraph"/>
        <w:numPr>
          <w:ilvl w:val="0"/>
          <w:numId w:val="2"/>
        </w:numPr>
        <w:spacing w:after="80"/>
      </w:pPr>
      <w:r>
        <w:rPr>
          <w:rFonts w:ascii="Calibri" w:cs="Calibri" w:eastAsia="Calibri" w:hAnsi="Calibri"/>
          <w:color w:val="212121"/>
          <w:sz w:val="22"/>
          <w:szCs w:val="22"/>
        </w:rPr>
        <w:t xml:space="preserve">Panel 1 — Change Overview: type, scope, trigger, status, preliminary cost estimate, preliminary schedule estimate</w:t>
      </w:r>
    </w:p>
    <w:p>
      <w:pPr>
        <w:pStyle w:val="ListParagraph"/>
        <w:numPr>
          <w:ilvl w:val="0"/>
          <w:numId w:val="2"/>
        </w:numPr>
        <w:spacing w:after="80"/>
      </w:pPr>
      <w:r>
        <w:rPr>
          <w:rFonts w:ascii="Calibri" w:cs="Calibri" w:eastAsia="Calibri" w:hAnsi="Calibri"/>
          <w:color w:val="212121"/>
          <w:sz w:val="22"/>
          <w:szCs w:val="22"/>
        </w:rPr>
        <w:t xml:space="preserve">Panel 2 — Impact Map: PIG-derived visual list of all affected entities including activities, drawings, vendors, milestones, and risks</w:t>
      </w:r>
    </w:p>
    <w:p>
      <w:pPr>
        <w:pStyle w:val="ListParagraph"/>
        <w:numPr>
          <w:ilvl w:val="0"/>
          <w:numId w:val="2"/>
        </w:numPr>
        <w:spacing w:after="80"/>
      </w:pPr>
      <w:r>
        <w:rPr>
          <w:rFonts w:ascii="Calibri" w:cs="Calibri" w:eastAsia="Calibri" w:hAnsi="Calibri"/>
          <w:color w:val="212121"/>
          <w:sz w:val="22"/>
          <w:szCs w:val="22"/>
        </w:rPr>
        <w:t xml:space="preserve">Panel 3 — Affected Activities: structured table from Impact Analysis Engine with float consumption, criticality flag, and assigned engineer</w:t>
      </w:r>
    </w:p>
    <w:p>
      <w:pPr>
        <w:pStyle w:val="ListParagraph"/>
        <w:numPr>
          <w:ilvl w:val="0"/>
          <w:numId w:val="2"/>
        </w:numPr>
        <w:spacing w:after="80"/>
      </w:pPr>
      <w:r>
        <w:rPr>
          <w:rFonts w:ascii="Calibri" w:cs="Calibri" w:eastAsia="Calibri" w:hAnsi="Calibri"/>
          <w:color w:val="212121"/>
          <w:sz w:val="22"/>
          <w:szCs w:val="22"/>
        </w:rPr>
        <w:t xml:space="preserve">Panel 4 — Affected Drawings: table from Impact Analysis Engine and Synchronization &amp; Consistency Engine showing current revision status and required revision actions</w:t>
      </w:r>
    </w:p>
    <w:p>
      <w:pPr>
        <w:pStyle w:val="ListParagraph"/>
        <w:numPr>
          <w:ilvl w:val="0"/>
          <w:numId w:val="2"/>
        </w:numPr>
        <w:spacing w:after="80"/>
      </w:pPr>
      <w:r>
        <w:rPr>
          <w:rFonts w:ascii="Calibri" w:cs="Calibri" w:eastAsia="Calibri" w:hAnsi="Calibri"/>
          <w:color w:val="212121"/>
          <w:sz w:val="22"/>
          <w:szCs w:val="22"/>
        </w:rPr>
        <w:t xml:space="preserve">Panel 5 — Approval Chain: current approval state, complete history, all pending approvals with SLA countdown and escalation path</w:t>
      </w:r>
    </w:p>
    <w:p>
      <w:pPr>
        <w:pStyle w:val="ListParagraph"/>
        <w:numPr>
          <w:ilvl w:val="0"/>
          <w:numId w:val="2"/>
        </w:numPr>
        <w:spacing w:after="80"/>
      </w:pPr>
      <w:r>
        <w:rPr>
          <w:rFonts w:ascii="Calibri" w:cs="Calibri" w:eastAsia="Calibri" w:hAnsi="Calibri"/>
          <w:color w:val="212121"/>
          <w:sz w:val="22"/>
          <w:szCs w:val="22"/>
        </w:rPr>
        <w:t xml:space="preserve">Panel 6 — Coordination Items: generated by Coordination Engine — all actions required, owners, due dates, and acknowledgment status</w:t>
      </w:r>
    </w:p>
    <w:p>
      <w:pPr>
        <w:pStyle w:val="ListParagraph"/>
        <w:numPr>
          <w:ilvl w:val="0"/>
          <w:numId w:val="2"/>
        </w:numPr>
        <w:spacing w:after="80"/>
      </w:pPr>
      <w:r>
        <w:rPr>
          <w:rFonts w:ascii="Calibri" w:cs="Calibri" w:eastAsia="Calibri" w:hAnsi="Calibri"/>
          <w:color w:val="212121"/>
          <w:sz w:val="22"/>
          <w:szCs w:val="22"/>
        </w:rPr>
        <w:t xml:space="preserve">Panel 7 — Simulation: what happens to the schedule and budget if this change is approved today versus delayed 7 days</w:t>
      </w:r>
    </w:p>
    <w:p>
      <w:pPr>
        <w:pStyle w:val="ListParagraph"/>
        <w:numPr>
          <w:ilvl w:val="0"/>
          <w:numId w:val="2"/>
        </w:numPr>
        <w:spacing w:after="80"/>
      </w:pPr>
      <w:r>
        <w:rPr>
          <w:rFonts w:ascii="Calibri" w:cs="Calibri" w:eastAsia="Calibri" w:hAnsi="Calibri"/>
          <w:color w:val="212121"/>
          <w:sz w:val="22"/>
          <w:szCs w:val="22"/>
        </w:rPr>
        <w:t xml:space="preserve">Panel 8 — Institutional Memory: similar past changes from Organizational Memory Engine with their outcomes, resolution times, and lessons learned</w:t>
      </w:r>
    </w:p>
    <w:p>
      <w:pPr>
        <w:spacing w:after="160"/>
      </w:pPr>
    </w:p>
    <w:p>
      <w:pPr>
        <w:pStyle w:val="Heading1"/>
        <w:spacing w:after="160" w:before="400"/>
      </w:pPr>
      <w:r>
        <w:rPr>
          <w:rFonts w:ascii="Calibri" w:cs="Calibri" w:eastAsia="Calibri" w:hAnsi="Calibri"/>
          <w:b/>
          <w:bCs/>
          <w:color w:val="1B5E20"/>
          <w:sz w:val="28"/>
          <w:szCs w:val="28"/>
        </w:rPr>
        <w:t xml:space="preserve">3. Nine Sub-Engines of Change Intelligence</w:t>
      </w:r>
    </w:p>
    <w:p>
      <w:pPr>
        <w:spacing w:after="140" w:line="280"/>
      </w:pPr>
      <w:r>
        <w:rPr>
          <w:rFonts w:ascii="Calibri" w:cs="Calibri" w:eastAsia="Calibri" w:hAnsi="Calibri"/>
          <w:color w:val="212121"/>
          <w:sz w:val="22"/>
          <w:szCs w:val="22"/>
        </w:rPr>
        <w:t xml:space="preserve">The Impact Analysis Engine contains nine specialised processing pipelines. These are sub-engines — processing pathways within one architectural component, not separate services. They execute over PIG traversal results and feed their outputs into the Change Workspace.</w:t>
      </w:r>
    </w:p>
    <w:p>
      <w:pPr>
        <w:pStyle w:val="Heading2"/>
        <w:spacing w:after="120" w:before="280"/>
      </w:pPr>
      <w:r>
        <w:rPr>
          <w:rFonts w:ascii="Calibri" w:cs="Calibri" w:eastAsia="Calibri" w:hAnsi="Calibri"/>
          <w:b/>
          <w:bCs/>
          <w:color w:val="2E7D32"/>
          <w:sz w:val="24"/>
          <w:szCs w:val="24"/>
        </w:rPr>
        <w:t xml:space="preserve">3.1 Scope Impact Sub-Engine</w:t>
      </w:r>
    </w:p>
    <w:p>
      <w:pPr>
        <w:spacing w:after="140" w:line="280"/>
      </w:pPr>
      <w:r>
        <w:rPr>
          <w:rFonts w:ascii="Calibri" w:cs="Calibri" w:eastAsia="Calibri" w:hAnsi="Calibri"/>
          <w:color w:val="212121"/>
          <w:sz w:val="22"/>
          <w:szCs w:val="22"/>
        </w:rPr>
        <w:t xml:space="preserve">Determines what work scope changes as a result of this change. Traverses REQUIRES and BLOCKS edges from the change origin. Outputs: revised WBS elements, scope delta narrative, and specification changes required.</w:t>
      </w:r>
    </w:p>
    <w:p>
      <w:pPr>
        <w:pStyle w:val="Heading2"/>
        <w:spacing w:after="120" w:before="280"/>
      </w:pPr>
      <w:r>
        <w:rPr>
          <w:rFonts w:ascii="Calibri" w:cs="Calibri" w:eastAsia="Calibri" w:hAnsi="Calibri"/>
          <w:b/>
          <w:bCs/>
          <w:color w:val="2E7D32"/>
          <w:sz w:val="24"/>
          <w:szCs w:val="24"/>
        </w:rPr>
        <w:t xml:space="preserve">3.2 Schedule Impact Sub-Engine</w:t>
      </w:r>
    </w:p>
    <w:p>
      <w:pPr>
        <w:spacing w:after="140" w:line="280"/>
      </w:pPr>
      <w:r>
        <w:rPr>
          <w:rFonts w:ascii="Calibri" w:cs="Calibri" w:eastAsia="Calibri" w:hAnsi="Calibri"/>
          <w:color w:val="212121"/>
          <w:sz w:val="22"/>
          <w:szCs w:val="22"/>
        </w:rPr>
        <w:t xml:space="preserve">Determines which activities are delayed or accelerated. Traverses DEPENDS_ON and PRECEDED_BY edges from affected activities. Computes float consumption on each affected activity. Identifies critical path changes and new longest paths.</w:t>
      </w:r>
    </w:p>
    <w:p>
      <w:pPr>
        <w:pStyle w:val="Heading2"/>
        <w:spacing w:after="120" w:before="280"/>
      </w:pPr>
      <w:r>
        <w:rPr>
          <w:rFonts w:ascii="Calibri" w:cs="Calibri" w:eastAsia="Calibri" w:hAnsi="Calibri"/>
          <w:b/>
          <w:bCs/>
          <w:color w:val="2E7D32"/>
          <w:sz w:val="24"/>
          <w:szCs w:val="24"/>
        </w:rPr>
        <w:t xml:space="preserve">3.3 Cost Impact Sub-Engine</w:t>
      </w:r>
    </w:p>
    <w:p>
      <w:pPr>
        <w:spacing w:after="140" w:line="280"/>
      </w:pPr>
      <w:r>
        <w:rPr>
          <w:rFonts w:ascii="Calibri" w:cs="Calibri" w:eastAsia="Calibri" w:hAnsi="Calibri"/>
          <w:color w:val="212121"/>
          <w:sz w:val="22"/>
          <w:szCs w:val="22"/>
        </w:rPr>
        <w:t xml:space="preserve">Produces preliminary cost delta. Inputs: scope delta from Scope Impact Sub-Engine, activity durations from Schedule Impact Sub-Engine, resource rates from contract records. Output: cost delta estimate (preliminary — not contractual until approved by commercial team).</w:t>
      </w:r>
    </w:p>
    <w:p>
      <w:pPr>
        <w:pStyle w:val="Heading2"/>
        <w:spacing w:after="120" w:before="280"/>
      </w:pPr>
      <w:r>
        <w:rPr>
          <w:rFonts w:ascii="Calibri" w:cs="Calibri" w:eastAsia="Calibri" w:hAnsi="Calibri"/>
          <w:b/>
          <w:bCs/>
          <w:color w:val="2E7D32"/>
          <w:sz w:val="24"/>
          <w:szCs w:val="24"/>
        </w:rPr>
        <w:t xml:space="preserve">3.4 Drawing Impact Sub-Engine</w:t>
      </w:r>
    </w:p>
    <w:p>
      <w:pPr>
        <w:spacing w:after="140" w:line="280"/>
      </w:pPr>
      <w:r>
        <w:rPr>
          <w:rFonts w:ascii="Calibri" w:cs="Calibri" w:eastAsia="Calibri" w:hAnsi="Calibri"/>
          <w:color w:val="212121"/>
          <w:sz w:val="22"/>
          <w:szCs w:val="22"/>
        </w:rPr>
        <w:t xml:space="preserve">Identifies which drawings require revision. Traverses IMPACTS edges from the change node to Drawing nodes. Coordinates with Synchronization &amp; Consistency Engine to flag drawings already at risk of inconsistency due to pending revisions.</w:t>
      </w:r>
    </w:p>
    <w:p>
      <w:pPr>
        <w:pStyle w:val="Heading2"/>
        <w:spacing w:after="120" w:before="280"/>
      </w:pPr>
      <w:r>
        <w:rPr>
          <w:rFonts w:ascii="Calibri" w:cs="Calibri" w:eastAsia="Calibri" w:hAnsi="Calibri"/>
          <w:b/>
          <w:bCs/>
          <w:color w:val="2E7D32"/>
          <w:sz w:val="24"/>
          <w:szCs w:val="24"/>
        </w:rPr>
        <w:t xml:space="preserve">3.5 Vendor Impact Sub-Engine</w:t>
      </w:r>
    </w:p>
    <w:p>
      <w:pPr>
        <w:spacing w:after="140" w:line="280"/>
      </w:pPr>
      <w:r>
        <w:rPr>
          <w:rFonts w:ascii="Calibri" w:cs="Calibri" w:eastAsia="Calibri" w:hAnsi="Calibri"/>
          <w:color w:val="212121"/>
          <w:sz w:val="22"/>
          <w:szCs w:val="22"/>
        </w:rPr>
        <w:t xml:space="preserve">Identifies affected vendors via SUPPLIES_TO and DELIVERS_FOR edges. Checks vendor delivery timelines against revised activity dates. If a change delays a critical material requirement, the Vendor Intelligence Engine is alerted and the supply chain risk is elevated.</w:t>
      </w:r>
    </w:p>
    <w:p>
      <w:pPr>
        <w:pStyle w:val="Heading2"/>
        <w:spacing w:after="120" w:before="280"/>
      </w:pPr>
      <w:r>
        <w:rPr>
          <w:rFonts w:ascii="Calibri" w:cs="Calibri" w:eastAsia="Calibri" w:hAnsi="Calibri"/>
          <w:b/>
          <w:bCs/>
          <w:color w:val="2E7D32"/>
          <w:sz w:val="24"/>
          <w:szCs w:val="24"/>
        </w:rPr>
        <w:t xml:space="preserve">3.6 Risk Impact Sub-Engine</w:t>
      </w:r>
    </w:p>
    <w:p>
      <w:pPr>
        <w:spacing w:after="140" w:line="280"/>
      </w:pPr>
      <w:r>
        <w:rPr>
          <w:rFonts w:ascii="Calibri" w:cs="Calibri" w:eastAsia="Calibri" w:hAnsi="Calibri"/>
          <w:color w:val="212121"/>
          <w:sz w:val="22"/>
          <w:szCs w:val="22"/>
        </w:rPr>
        <w:t xml:space="preserve">Identifies what new risks this change creates. Traverses RAISES_RISK_TO edges from change-affected activities. Cross-references Organizational Memory Engine: "Changes of this type have historically created procurement risk in 40% of cases."</w:t>
      </w:r>
    </w:p>
    <w:p>
      <w:pPr>
        <w:pStyle w:val="Heading2"/>
        <w:spacing w:after="120" w:before="280"/>
      </w:pPr>
      <w:r>
        <w:rPr>
          <w:rFonts w:ascii="Calibri" w:cs="Calibri" w:eastAsia="Calibri" w:hAnsi="Calibri"/>
          <w:b/>
          <w:bCs/>
          <w:color w:val="2E7D32"/>
          <w:sz w:val="24"/>
          <w:szCs w:val="24"/>
        </w:rPr>
        <w:t xml:space="preserve">3.7 Regulatory Impact Sub-Engine</w:t>
      </w:r>
    </w:p>
    <w:p>
      <w:pPr>
        <w:spacing w:after="140" w:line="280"/>
      </w:pPr>
      <w:r>
        <w:rPr>
          <w:rFonts w:ascii="Calibri" w:cs="Calibri" w:eastAsia="Calibri" w:hAnsi="Calibri"/>
          <w:color w:val="212121"/>
          <w:sz w:val="22"/>
          <w:szCs w:val="22"/>
        </w:rPr>
        <w:t xml:space="preserve">Determines whether this change requires regulatory re-approval. Evaluates the change scope against regulatory scope boundaries stored in PIG. If regulatory re-approval is required, a mandatory gate is added to the approval chain before APPROVED state can be reached.</w:t>
      </w:r>
    </w:p>
    <w:p>
      <w:pPr>
        <w:pStyle w:val="Heading2"/>
        <w:spacing w:after="120" w:before="280"/>
      </w:pPr>
      <w:r>
        <w:rPr>
          <w:rFonts w:ascii="Calibri" w:cs="Calibri" w:eastAsia="Calibri" w:hAnsi="Calibri"/>
          <w:b/>
          <w:bCs/>
          <w:color w:val="2E7D32"/>
          <w:sz w:val="24"/>
          <w:szCs w:val="24"/>
        </w:rPr>
        <w:t xml:space="preserve">3.8 Stakeholder Impact Sub-Engine</w:t>
      </w:r>
    </w:p>
    <w:p>
      <w:pPr>
        <w:spacing w:after="140" w:line="280"/>
      </w:pPr>
      <w:r>
        <w:rPr>
          <w:rFonts w:ascii="Calibri" w:cs="Calibri" w:eastAsia="Calibri" w:hAnsi="Calibri"/>
          <w:color w:val="212121"/>
          <w:sz w:val="22"/>
          <w:szCs w:val="22"/>
        </w:rPr>
        <w:t xml:space="preserve">Identifies who needs to be aligned or notified. Traverses ASSIGNED_TO, COORDINATES_WITH, and REPORTS_TO edges from affected entities. Feeds the Organizational Alignment Engine with the full alignment gap list for this change.</w:t>
      </w:r>
    </w:p>
    <w:p>
      <w:pPr>
        <w:pStyle w:val="Heading2"/>
        <w:spacing w:after="120" w:before="280"/>
      </w:pPr>
      <w:r>
        <w:rPr>
          <w:rFonts w:ascii="Calibri" w:cs="Calibri" w:eastAsia="Calibri" w:hAnsi="Calibri"/>
          <w:b/>
          <w:bCs/>
          <w:color w:val="2E7D32"/>
          <w:sz w:val="24"/>
          <w:szCs w:val="24"/>
        </w:rPr>
        <w:t xml:space="preserve">3.9 Lessons Learned Sub-Engine</w:t>
      </w:r>
    </w:p>
    <w:p>
      <w:pPr>
        <w:spacing w:after="140" w:line="280"/>
      </w:pPr>
      <w:r>
        <w:rPr>
          <w:rFonts w:ascii="Calibri" w:cs="Calibri" w:eastAsia="Calibri" w:hAnsi="Calibri"/>
          <w:color w:val="212121"/>
          <w:sz w:val="22"/>
          <w:szCs w:val="22"/>
        </w:rPr>
        <w:t xml:space="preserve">Queries Organizational Memory Engine for similar past changes and their outcomes. Similarity is assessed on change type, scope magnitude, and affected system. Outputs: comparable events, average resolution time, most common complications, and recommended approach based on historical evidence.</w:t>
      </w:r>
    </w:p>
    <w:p>
      <w:pPr>
        <w:spacing w:after="160"/>
      </w:pPr>
    </w:p>
    <w:p>
      <w:pPr>
        <w:pStyle w:val="Heading1"/>
        <w:spacing w:after="160" w:before="400"/>
      </w:pPr>
      <w:r>
        <w:rPr>
          <w:rFonts w:ascii="Calibri" w:cs="Calibri" w:eastAsia="Calibri" w:hAnsi="Calibri"/>
          <w:b/>
          <w:bCs/>
          <w:color w:val="1B5E20"/>
          <w:sz w:val="28"/>
          <w:szCs w:val="28"/>
        </w:rPr>
        <w:t xml:space="preserve">4. Change Lifecycle</w:t>
      </w:r>
    </w:p>
    <w:p>
      <w:pPr>
        <w:spacing w:after="140" w:line="280"/>
      </w:pPr>
      <w:r>
        <w:rPr>
          <w:rFonts w:ascii="Calibri" w:cs="Calibri" w:eastAsia="Calibri" w:hAnsi="Calibri"/>
          <w:color w:val="212121"/>
          <w:sz w:val="22"/>
          <w:szCs w:val="22"/>
        </w:rPr>
        <w:t xml:space="preserve">Every change progresses through a nine-state lifecycle. Transitions are event-driven and logged immutably in the audit trail. The PIG is updated at each transition, enabling real-time impact awareness as the change evolves. No state can be skipped — all transitions are sequential except for REJECTED and DEFERRED which can occur from any active state.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State</w:t>
            </w:r>
          </w:p>
        </w:tc>
        <w:tc>
          <w:tcPr>
            <w:tcW w:type="dxa" w:w="20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Who Transitions</w:t>
            </w:r>
          </w:p>
        </w:tc>
        <w:tc>
          <w:tcPr>
            <w:tcW w:type="dxa" w:w="30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PIG Action</w:t>
            </w:r>
          </w:p>
        </w:tc>
        <w:tc>
          <w:tcPr>
            <w:tcW w:type="dxa" w:w="236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Coordination Engine Action</w:t>
            </w:r>
          </w:p>
        </w:tc>
      </w:tr>
      <w:tr>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IDENTIFIED</w:t>
            </w:r>
          </w:p>
        </w:tc>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Any project member</w:t>
            </w:r>
          </w:p>
        </w:tc>
        <w:tc>
          <w:tcPr>
            <w:tcW w:type="dxa" w:w="3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Change node created; RAISED_BY edge written to initiator Person node</w:t>
            </w:r>
          </w:p>
        </w:tc>
        <w:tc>
          <w:tcPr>
            <w:tcW w:type="dxa" w:w="23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Initial notification items generated for PM and change manager</w:t>
            </w:r>
          </w:p>
        </w:tc>
      </w:tr>
      <w:tr>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ASSESSED</w:t>
            </w:r>
          </w:p>
        </w:tc>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PM or Change Manager</w:t>
            </w:r>
          </w:p>
        </w:tc>
        <w:tc>
          <w:tcPr>
            <w:tcW w:type="dxa" w:w="3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Impact edges computed; IMPACTS edges written to all affected entity nodes</w:t>
            </w:r>
          </w:p>
        </w:tc>
        <w:tc>
          <w:tcPr>
            <w:tcW w:type="dxa" w:w="23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Action items generated for each affected party; SLA timers started</w:t>
            </w:r>
          </w:p>
        </w:tc>
      </w:tr>
      <w:tr>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UNDER_REVIEW</w:t>
            </w:r>
          </w:p>
        </w:tc>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Approval workflow system</w:t>
            </w:r>
          </w:p>
        </w:tc>
        <w:tc>
          <w:tcPr>
            <w:tcW w:type="dxa" w:w="3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REVIEWS edges activated on approval chain nodes</w:t>
            </w:r>
          </w:p>
        </w:tc>
        <w:tc>
          <w:tcPr>
            <w:tcW w:type="dxa" w:w="23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Acknowledgment items created for all reviewers; escalation timers set</w:t>
            </w:r>
          </w:p>
        </w:tc>
      </w:tr>
      <w:tr>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APPROVED</w:t>
            </w:r>
          </w:p>
        </w:tc>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Designated approver(s)</w:t>
            </w:r>
          </w:p>
        </w:tc>
        <w:tc>
          <w:tcPr>
            <w:tcW w:type="dxa" w:w="3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APPROVED_BY edge written to approver Person node; change status updated in PIG</w:t>
            </w:r>
          </w:p>
        </w:tc>
        <w:tc>
          <w:tcPr>
            <w:tcW w:type="dxa" w:w="23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Implementation action items generated for each affected activity and drawing</w:t>
            </w:r>
          </w:p>
        </w:tc>
      </w:tr>
      <w:tr>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REJECTED</w:t>
            </w:r>
          </w:p>
        </w:tc>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Designated approver</w:t>
            </w:r>
          </w:p>
        </w:tc>
        <w:tc>
          <w:tcPr>
            <w:tcW w:type="dxa" w:w="3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Change node archived; CLOSES edge written; reason recorded</w:t>
            </w:r>
          </w:p>
        </w:tc>
        <w:tc>
          <w:tcPr>
            <w:tcW w:type="dxa" w:w="23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Closure notifications dispatched; all open items marked resolved</w:t>
            </w:r>
          </w:p>
        </w:tc>
      </w:tr>
      <w:tr>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DEFERRED</w:t>
            </w:r>
          </w:p>
        </w:tc>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PM decision</w:t>
            </w:r>
          </w:p>
        </w:tc>
        <w:tc>
          <w:tcPr>
            <w:tcW w:type="dxa" w:w="3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Expiry timestamp set on change node; monitoring flag set</w:t>
            </w:r>
          </w:p>
        </w:tc>
        <w:tc>
          <w:tcPr>
            <w:tcW w:type="dxa" w:w="23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Monitoring items created for deferred review date; calendar trigger registered</w:t>
            </w:r>
          </w:p>
        </w:tc>
      </w:tr>
      <w:tr>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IMPLEMENTATION</w:t>
            </w:r>
          </w:p>
        </w:tc>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PM or site team</w:t>
            </w:r>
          </w:p>
        </w:tc>
        <w:tc>
          <w:tcPr>
            <w:tcW w:type="dxa" w:w="3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IMPACTS edges updated with implementation progress as evidence arrives</w:t>
            </w:r>
          </w:p>
        </w:tc>
        <w:tc>
          <w:tcPr>
            <w:tcW w:type="dxa" w:w="23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Verification items created for each affected activity and drawing revision</w:t>
            </w:r>
          </w:p>
        </w:tc>
      </w:tr>
      <w:tr>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VERIFIED</w:t>
            </w:r>
          </w:p>
        </w:tc>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QA team or PM</w:t>
            </w:r>
          </w:p>
        </w:tc>
        <w:tc>
          <w:tcPr>
            <w:tcW w:type="dxa" w:w="3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VERIFIES edges written from evidence items to change node</w:t>
            </w:r>
          </w:p>
        </w:tc>
        <w:tc>
          <w:tcPr>
            <w:tcW w:type="dxa" w:w="23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Closure items generated for approval chain; sign-off items dispatched</w:t>
            </w:r>
          </w:p>
        </w:tc>
      </w:tr>
      <w:tr>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CLOSED</w:t>
            </w:r>
          </w:p>
        </w:tc>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PM or Change Manager</w:t>
            </w:r>
          </w:p>
        </w:tc>
        <w:tc>
          <w:tcPr>
            <w:tcW w:type="dxa" w:w="3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Change node marked CLOSED; all edges sealed; audit trail finalised</w:t>
            </w:r>
          </w:p>
        </w:tc>
        <w:tc>
          <w:tcPr>
            <w:tcW w:type="dxa" w:w="23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All open coordination items closed; archive record written to Organizational Memory Engine</w:t>
            </w:r>
          </w:p>
        </w:tc>
      </w:tr>
    </w:tbl>
    <w:p>
      <w:pPr>
        <w:spacing w:after="160"/>
      </w:pPr>
    </w:p>
    <w:p>
      <w:pPr>
        <w:pStyle w:val="Heading1"/>
        <w:spacing w:after="160" w:before="400"/>
      </w:pPr>
      <w:r>
        <w:rPr>
          <w:rFonts w:ascii="Calibri" w:cs="Calibri" w:eastAsia="Calibri" w:hAnsi="Calibri"/>
          <w:b/>
          <w:bCs/>
          <w:color w:val="1B5E20"/>
          <w:sz w:val="28"/>
          <w:szCs w:val="28"/>
        </w:rPr>
        <w:t xml:space="preserve">5. Simulation Before Commitment</w:t>
      </w:r>
    </w:p>
    <w:p>
      <w:pPr>
        <w:spacing w:after="140" w:line="280"/>
      </w:pPr>
      <w:r>
        <w:rPr>
          <w:rFonts w:ascii="Calibri" w:cs="Calibri" w:eastAsia="Calibri" w:hAnsi="Calibri"/>
          <w:color w:val="212121"/>
          <w:sz w:val="22"/>
          <w:szCs w:val="22"/>
        </w:rPr>
        <w:t xml:space="preserve">Before approving a change, the PM can ask: "What happens to the schedule if I approve this change today versus in 7 days?" The Simulation Engine answers this question precisely by running a forward projection over the current PIG snapshot.</w:t>
      </w:r>
    </w:p>
    <w:p>
      <w:pPr>
        <w:spacing w:after="140" w:line="280"/>
      </w:pPr>
      <w:r>
        <w:rPr>
          <w:rFonts w:ascii="Calibri" w:cs="Calibri" w:eastAsia="Calibri" w:hAnsi="Calibri"/>
          <w:color w:val="212121"/>
          <w:sz w:val="22"/>
          <w:szCs w:val="22"/>
        </w:rPr>
        <w:t xml:space="preserve">The Simulation Engine receives:</w:t>
      </w:r>
    </w:p>
    <w:p>
      <w:pPr>
        <w:pStyle w:val="ListParagraph"/>
        <w:numPr>
          <w:ilvl w:val="0"/>
          <w:numId w:val="2"/>
        </w:numPr>
        <w:spacing w:after="80"/>
      </w:pPr>
      <w:r>
        <w:rPr>
          <w:rFonts w:ascii="Calibri" w:cs="Calibri" w:eastAsia="Calibri" w:hAnsi="Calibri"/>
          <w:color w:val="212121"/>
          <w:sz w:val="22"/>
          <w:szCs w:val="22"/>
        </w:rPr>
        <w:t xml:space="preserve">The change payload: type, scope category, and estimated implementation duration</w:t>
      </w:r>
    </w:p>
    <w:p>
      <w:pPr>
        <w:pStyle w:val="ListParagraph"/>
        <w:numPr>
          <w:ilvl w:val="0"/>
          <w:numId w:val="2"/>
        </w:numPr>
        <w:spacing w:after="80"/>
      </w:pPr>
      <w:r>
        <w:rPr>
          <w:rFonts w:ascii="Calibri" w:cs="Calibri" w:eastAsia="Calibri" w:hAnsi="Calibri"/>
          <w:color w:val="212121"/>
          <w:sz w:val="22"/>
          <w:szCs w:val="22"/>
        </w:rPr>
        <w:t xml:space="preserve">Two time scenarios: approval at the current date versus approval at the current date plus N days (default 7)</w:t>
      </w:r>
    </w:p>
    <w:p>
      <w:pPr>
        <w:pStyle w:val="ListParagraph"/>
        <w:numPr>
          <w:ilvl w:val="0"/>
          <w:numId w:val="2"/>
        </w:numPr>
        <w:spacing w:after="80"/>
      </w:pPr>
      <w:r>
        <w:rPr>
          <w:rFonts w:ascii="Calibri" w:cs="Calibri" w:eastAsia="Calibri" w:hAnsi="Calibri"/>
          <w:color w:val="212121"/>
          <w:sz w:val="22"/>
          <w:szCs w:val="22"/>
        </w:rPr>
        <w:t xml:space="preserve">The current PIG snapshot as the base state — all active edges, weights, and float values</w:t>
      </w:r>
    </w:p>
    <w:p>
      <w:pPr>
        <w:spacing w:after="140" w:line="280"/>
      </w:pPr>
      <w:r>
        <w:rPr>
          <w:rFonts w:ascii="Calibri" w:cs="Calibri" w:eastAsia="Calibri" w:hAnsi="Calibri"/>
          <w:color w:val="212121"/>
          <w:sz w:val="22"/>
          <w:szCs w:val="22"/>
        </w:rPr>
        <w:t xml:space="preserve">The Simulation Engine outputs:</w:t>
      </w:r>
    </w:p>
    <w:p>
      <w:pPr>
        <w:pStyle w:val="ListParagraph"/>
        <w:numPr>
          <w:ilvl w:val="0"/>
          <w:numId w:val="2"/>
        </w:numPr>
        <w:spacing w:after="80"/>
      </w:pPr>
      <w:r>
        <w:rPr>
          <w:rFonts w:ascii="Calibri" w:cs="Calibri" w:eastAsia="Calibri" w:hAnsi="Calibri"/>
          <w:color w:val="212121"/>
          <w:sz w:val="22"/>
          <w:szCs w:val="22"/>
        </w:rPr>
        <w:t xml:space="preserve">Schedule impact difference between the two scenarios expressed in working days</w:t>
      </w:r>
    </w:p>
    <w:p>
      <w:pPr>
        <w:pStyle w:val="ListParagraph"/>
        <w:numPr>
          <w:ilvl w:val="0"/>
          <w:numId w:val="2"/>
        </w:numPr>
        <w:spacing w:after="80"/>
      </w:pPr>
      <w:r>
        <w:rPr>
          <w:rFonts w:ascii="Calibri" w:cs="Calibri" w:eastAsia="Calibri" w:hAnsi="Calibri"/>
          <w:color w:val="212121"/>
          <w:sz w:val="22"/>
          <w:szCs w:val="22"/>
        </w:rPr>
        <w:t xml:space="preserve">Critical path sensitivity: does the approval delay push any activity past a milestone gate or contractual completion date?</w:t>
      </w:r>
    </w:p>
    <w:p>
      <w:pPr>
        <w:pStyle w:val="ListParagraph"/>
        <w:numPr>
          <w:ilvl w:val="0"/>
          <w:numId w:val="2"/>
        </w:numPr>
        <w:spacing w:after="80"/>
      </w:pPr>
      <w:r>
        <w:rPr>
          <w:rFonts w:ascii="Calibri" w:cs="Calibri" w:eastAsia="Calibri" w:hAnsi="Calibri"/>
          <w:color w:val="212121"/>
          <w:sz w:val="22"/>
          <w:szCs w:val="22"/>
        </w:rPr>
        <w:t xml:space="preserve">Recommended decision date: the latest date at which the PM can defer the decision without incurring additional schedule cost</w:t>
      </w:r>
    </w:p>
    <w:p>
      <w:pPr>
        <w:pStyle w:val="ListParagraph"/>
        <w:numPr>
          <w:ilvl w:val="0"/>
          <w:numId w:val="2"/>
        </w:numPr>
        <w:spacing w:after="80"/>
      </w:pPr>
      <w:r>
        <w:rPr>
          <w:rFonts w:ascii="Calibri" w:cs="Calibri" w:eastAsia="Calibri" w:hAnsi="Calibri"/>
          <w:color w:val="212121"/>
          <w:sz w:val="22"/>
          <w:szCs w:val="22"/>
        </w:rPr>
        <w:t xml:space="preserve">Float erosion projection: how free float on affected activities decays over the decision window</w:t>
      </w:r>
    </w:p>
    <w:p>
      <w:pPr>
        <w:spacing w:after="140" w:line="280"/>
      </w:pPr>
      <w:r>
        <w:rPr>
          <w:rFonts w:ascii="Calibri" w:cs="Calibri" w:eastAsia="Calibri" w:hAnsi="Calibri"/>
          <w:color w:val="212121"/>
          <w:sz w:val="22"/>
          <w:szCs w:val="22"/>
        </w:rPr>
        <w:t xml:space="preserve">The simulation runs in an isolated scenario sandbox — it does not modify the live PIG. Simulation Engine creates a separate simulation_scenarios record and writes simulation_inputs and simulation_results to their own tables. The live project graph remains unchanged until the PM commits to the approval decision.</w:t>
      </w:r>
    </w:p>
    <w:p>
      <w:pPr>
        <w:spacing w:after="140" w:line="280"/>
      </w:pPr>
      <w:r>
        <w:rPr>
          <w:rFonts w:ascii="Calibri" w:cs="Calibri" w:eastAsia="Calibri" w:hAnsi="Calibri"/>
          <w:color w:val="212121"/>
          <w:sz w:val="22"/>
          <w:szCs w:val="22"/>
        </w:rPr>
        <w:t xml:space="preserve">This isolation is non-negotiable: a PM running "what-if" scenarios on a live project cannot accidentally commit those scenarios to project reality.</w:t>
      </w:r>
    </w:p>
    <w:p>
      <w:pPr>
        <w:spacing w:after="160"/>
      </w:pPr>
    </w:p>
    <w:p>
      <w:pPr>
        <w:pStyle w:val="Heading1"/>
        <w:spacing w:after="160" w:before="400"/>
      </w:pPr>
      <w:r>
        <w:rPr>
          <w:rFonts w:ascii="Calibri" w:cs="Calibri" w:eastAsia="Calibri" w:hAnsi="Calibri"/>
          <w:b/>
          <w:bCs/>
          <w:color w:val="1B5E20"/>
          <w:sz w:val="28"/>
          <w:szCs w:val="28"/>
        </w:rPr>
        <w:t xml:space="preserve">6. Change Attribution and Accountability</w:t>
      </w:r>
    </w:p>
    <w:p>
      <w:pPr>
        <w:spacing w:after="140" w:line="280"/>
      </w:pPr>
      <w:r>
        <w:rPr>
          <w:rFonts w:ascii="Calibri" w:cs="Calibri" w:eastAsia="Calibri" w:hAnsi="Calibri"/>
          <w:color w:val="212121"/>
          <w:sz w:val="22"/>
          <w:szCs w:val="22"/>
        </w:rPr>
        <w:t xml:space="preserve">Every change record is immutable. Green PM records a complete attribution chain for each change event from identification through closure. Attribution is architectural, not procedural — it is enforced by PIG edges, not by process rules.</w:t>
      </w:r>
    </w:p>
    <w:p>
      <w:pPr>
        <w:spacing w:after="140" w:line="280"/>
      </w:pPr>
      <w:r>
        <w:rPr>
          <w:rFonts w:ascii="Calibri" w:cs="Calibri" w:eastAsia="Calibri" w:hAnsi="Calibri"/>
          <w:color w:val="212121"/>
          <w:sz w:val="22"/>
          <w:szCs w:val="22"/>
        </w:rPr>
        <w:t xml:space="preserve">The full attribution chain for each change:</w:t>
      </w:r>
    </w:p>
    <w:p>
      <w:pPr>
        <w:pStyle w:val="ListParagraph"/>
        <w:numPr>
          <w:ilvl w:val="0"/>
          <w:numId w:val="2"/>
        </w:numPr>
        <w:spacing w:after="80"/>
      </w:pPr>
      <w:r>
        <w:rPr>
          <w:rFonts w:ascii="Calibri" w:cs="Calibri" w:eastAsia="Calibri" w:hAnsi="Calibri"/>
          <w:color w:val="212121"/>
          <w:sz w:val="22"/>
          <w:szCs w:val="22"/>
        </w:rPr>
        <w:t xml:space="preserve">Initiator: who raised the change and what evidence triggered it (drawing revision, site observation, client instruction, or regulatory notification)</w:t>
      </w:r>
    </w:p>
    <w:p>
      <w:pPr>
        <w:pStyle w:val="ListParagraph"/>
        <w:numPr>
          <w:ilvl w:val="0"/>
          <w:numId w:val="2"/>
        </w:numPr>
        <w:spacing w:after="80"/>
      </w:pPr>
      <w:r>
        <w:rPr>
          <w:rFonts w:ascii="Calibri" w:cs="Calibri" w:eastAsia="Calibri" w:hAnsi="Calibri"/>
          <w:color w:val="212121"/>
          <w:sz w:val="22"/>
          <w:szCs w:val="22"/>
        </w:rPr>
        <w:t xml:space="preserve">Technical approver: the engineer who reviewed and approved the technical scope of the change</w:t>
      </w:r>
    </w:p>
    <w:p>
      <w:pPr>
        <w:pStyle w:val="ListParagraph"/>
        <w:numPr>
          <w:ilvl w:val="0"/>
          <w:numId w:val="2"/>
        </w:numPr>
        <w:spacing w:after="80"/>
      </w:pPr>
      <w:r>
        <w:rPr>
          <w:rFonts w:ascii="Calibri" w:cs="Calibri" w:eastAsia="Calibri" w:hAnsi="Calibri"/>
          <w:color w:val="212121"/>
          <w:sz w:val="22"/>
          <w:szCs w:val="22"/>
        </w:rPr>
        <w:t xml:space="preserve">Commercial approver: the PM or commercial manager who approved the cost and schedule impact</w:t>
      </w:r>
    </w:p>
    <w:p>
      <w:pPr>
        <w:pStyle w:val="ListParagraph"/>
        <w:numPr>
          <w:ilvl w:val="0"/>
          <w:numId w:val="2"/>
        </w:numPr>
        <w:spacing w:after="80"/>
      </w:pPr>
      <w:r>
        <w:rPr>
          <w:rFonts w:ascii="Calibri" w:cs="Calibri" w:eastAsia="Calibri" w:hAnsi="Calibri"/>
          <w:color w:val="212121"/>
          <w:sz w:val="22"/>
          <w:szCs w:val="22"/>
        </w:rPr>
        <w:t xml:space="preserve">Regulatory approver: where applicable, the authority who confirmed that the change meets regulatory requirements</w:t>
      </w:r>
    </w:p>
    <w:p>
      <w:pPr>
        <w:spacing w:after="140" w:line="280"/>
      </w:pPr>
      <w:r>
        <w:rPr>
          <w:rFonts w:ascii="Calibri" w:cs="Calibri" w:eastAsia="Calibri" w:hAnsi="Calibri"/>
          <w:color w:val="212121"/>
          <w:sz w:val="22"/>
          <w:szCs w:val="22"/>
        </w:rPr>
        <w:t xml:space="preserve">In the PIG, the change node carries RAISED_BY and APPROVED_BY edges pointing to Person nodes. This enables accountability queries across any dimension: all changes raised by a specific engineer in a quarter, all changes approved by the client in the last 30 days, all changes in a WBS element awaiting commercial approval.</w:t>
      </w:r>
    </w:p>
    <w:p>
      <w:pPr>
        <w:spacing w:after="140" w:line="280"/>
      </w:pPr>
      <w:r>
        <w:rPr>
          <w:rFonts w:ascii="Calibri" w:cs="Calibri" w:eastAsia="Calibri" w:hAnsi="Calibri"/>
          <w:color w:val="212121"/>
          <w:sz w:val="22"/>
          <w:szCs w:val="22"/>
        </w:rPr>
        <w:t xml:space="preserve">Attribution is not only an audit function. It powers Organizational Memory Engine: when the same initiator raises the same category of change repeatedly, Green PM surfaces the pattern and recommends upstream prevention — a drawing quality review, a specification clarification, or an earlier client alignment session.</w:t>
      </w:r>
    </w:p>
    <w:p>
      <w:pPr>
        <w:spacing w:after="160"/>
      </w:pPr>
    </w:p>
    <w:p>
      <w:pPr>
        <w:pStyle w:val="Heading1"/>
        <w:spacing w:after="160" w:before="400"/>
      </w:pPr>
      <w:r>
        <w:rPr>
          <w:rFonts w:ascii="Calibri" w:cs="Calibri" w:eastAsia="Calibri" w:hAnsi="Calibri"/>
          <w:b/>
          <w:bCs/>
          <w:color w:val="1B5E20"/>
          <w:sz w:val="28"/>
          <w:szCs w:val="28"/>
        </w:rPr>
        <w:t xml:space="preserve">7. Change Register</w:t>
      </w:r>
    </w:p>
    <w:p>
      <w:pPr>
        <w:spacing w:after="140" w:line="280"/>
      </w:pPr>
      <w:r>
        <w:rPr>
          <w:rFonts w:ascii="Calibri" w:cs="Calibri" w:eastAsia="Calibri" w:hAnsi="Calibri"/>
          <w:color w:val="212121"/>
          <w:sz w:val="22"/>
          <w:szCs w:val="22"/>
        </w:rPr>
        <w:t xml:space="preserve">The Change Register is the consolidated view of all change events on a project. It is generated in real time from PIG state — there is no separate change log maintained manually. The register is always current because it reflects the live graph. Every field shown in the register is a PIG attribute or edge weight.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100"/>
        <w:gridCol w:w="1400"/>
        <w:gridCol w:w="1400"/>
        <w:gridCol w:w="2060"/>
        <w:gridCol w:w="1300"/>
      </w:tblGrid>
      <w:tr>
        <w:trPr>
          <w:tblHeader/>
        </w:trPr>
        <w:tc>
          <w:tcPr>
            <w:tcW w:type="dxa" w:w="8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Change ID</w:t>
            </w:r>
          </w:p>
        </w:tc>
        <w:tc>
          <w:tcPr>
            <w:tcW w:type="dxa" w:w="13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Type</w:t>
            </w:r>
          </w:p>
        </w:tc>
        <w:tc>
          <w:tcPr>
            <w:tcW w:type="dxa" w:w="11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Status</w:t>
            </w:r>
          </w:p>
        </w:tc>
        <w:tc>
          <w:tcPr>
            <w:tcW w:type="dxa" w:w="14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Schedule Impact</w:t>
            </w:r>
          </w:p>
        </w:tc>
        <w:tc>
          <w:tcPr>
            <w:tcW w:type="dxa" w:w="14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Cost Impact</w:t>
            </w:r>
          </w:p>
        </w:tc>
        <w:tc>
          <w:tcPr>
            <w:tcW w:type="dxa" w:w="206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Approved By</w:t>
            </w:r>
          </w:p>
        </w:tc>
        <w:tc>
          <w:tcPr>
            <w:tcW w:type="dxa" w:w="13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Closed Date</w:t>
            </w:r>
          </w:p>
        </w:tc>
      </w:tr>
      <w:tr>
        <w:tc>
          <w:tcPr>
            <w:tcW w:type="dxa" w:w="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CHG-001</w:t>
            </w:r>
          </w:p>
        </w:tc>
        <w:tc>
          <w:tcPr>
            <w:tcW w:type="dxa" w:w="13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Design Change</w:t>
            </w:r>
          </w:p>
        </w:tc>
        <w:tc>
          <w:tcPr>
            <w:tcW w:type="dxa" w:w="11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CLOSED</w:t>
            </w:r>
          </w:p>
        </w:tc>
        <w:tc>
          <w:tcPr>
            <w:tcW w:type="dxa" w:w="14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+12 days</w:t>
            </w:r>
          </w:p>
        </w:tc>
        <w:tc>
          <w:tcPr>
            <w:tcW w:type="dxa" w:w="14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+AED 245,000</w:t>
            </w:r>
          </w:p>
        </w:tc>
        <w:tc>
          <w:tcPr>
            <w:tcW w:type="dxa" w:w="20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J. Smith / Client</w:t>
            </w:r>
          </w:p>
        </w:tc>
        <w:tc>
          <w:tcPr>
            <w:tcW w:type="dxa" w:w="13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15 Mar 2026</w:t>
            </w:r>
          </w:p>
        </w:tc>
      </w:tr>
      <w:tr>
        <w:tc>
          <w:tcPr>
            <w:tcW w:type="dxa" w:w="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CHG-002</w:t>
            </w:r>
          </w:p>
        </w:tc>
        <w:tc>
          <w:tcPr>
            <w:tcW w:type="dxa" w:w="13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Scope Addition</w:t>
            </w:r>
          </w:p>
        </w:tc>
        <w:tc>
          <w:tcPr>
            <w:tcW w:type="dxa" w:w="11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APPROVED</w:t>
            </w:r>
          </w:p>
        </w:tc>
        <w:tc>
          <w:tcPr>
            <w:tcW w:type="dxa" w:w="14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+5 days</w:t>
            </w:r>
          </w:p>
        </w:tc>
        <w:tc>
          <w:tcPr>
            <w:tcW w:type="dxa" w:w="14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+AED 88,000</w:t>
            </w:r>
          </w:p>
        </w:tc>
        <w:tc>
          <w:tcPr>
            <w:tcW w:type="dxa" w:w="20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M. Al-Hassan</w:t>
            </w:r>
          </w:p>
        </w:tc>
        <w:tc>
          <w:tcPr>
            <w:tcW w:type="dxa" w:w="13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w:t>
            </w:r>
          </w:p>
        </w:tc>
      </w:tr>
      <w:tr>
        <w:tc>
          <w:tcPr>
            <w:tcW w:type="dxa" w:w="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CHG-003</w:t>
            </w:r>
          </w:p>
        </w:tc>
        <w:tc>
          <w:tcPr>
            <w:tcW w:type="dxa" w:w="13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Vendor Substitution</w:t>
            </w:r>
          </w:p>
        </w:tc>
        <w:tc>
          <w:tcPr>
            <w:tcW w:type="dxa" w:w="11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UNDER_REVIEW</w:t>
            </w:r>
          </w:p>
        </w:tc>
        <w:tc>
          <w:tcPr>
            <w:tcW w:type="dxa" w:w="14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TBD</w:t>
            </w:r>
          </w:p>
        </w:tc>
        <w:tc>
          <w:tcPr>
            <w:tcW w:type="dxa" w:w="14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TBD</w:t>
            </w:r>
          </w:p>
        </w:tc>
        <w:tc>
          <w:tcPr>
            <w:tcW w:type="dxa" w:w="20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Pending</w:t>
            </w:r>
          </w:p>
        </w:tc>
        <w:tc>
          <w:tcPr>
            <w:tcW w:type="dxa" w:w="13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w:t>
            </w:r>
          </w:p>
        </w:tc>
      </w:tr>
      <w:tr>
        <w:tc>
          <w:tcPr>
            <w:tcW w:type="dxa" w:w="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CHG-004</w:t>
            </w:r>
          </w:p>
        </w:tc>
        <w:tc>
          <w:tcPr>
            <w:tcW w:type="dxa" w:w="13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Specification Change</w:t>
            </w:r>
          </w:p>
        </w:tc>
        <w:tc>
          <w:tcPr>
            <w:tcW w:type="dxa" w:w="11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IMPLEMENTATION</w:t>
            </w:r>
          </w:p>
        </w:tc>
        <w:tc>
          <w:tcPr>
            <w:tcW w:type="dxa" w:w="14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+3 days</w:t>
            </w:r>
          </w:p>
        </w:tc>
        <w:tc>
          <w:tcPr>
            <w:tcW w:type="dxa" w:w="14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+AED 34,000</w:t>
            </w:r>
          </w:p>
        </w:tc>
        <w:tc>
          <w:tcPr>
            <w:tcW w:type="dxa" w:w="20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K. Patel / Client</w:t>
            </w:r>
          </w:p>
        </w:tc>
        <w:tc>
          <w:tcPr>
            <w:tcW w:type="dxa" w:w="13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w:t>
            </w:r>
          </w:p>
        </w:tc>
      </w:tr>
      <w:tr>
        <w:tc>
          <w:tcPr>
            <w:tcW w:type="dxa" w:w="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CHG-005</w:t>
            </w:r>
          </w:p>
        </w:tc>
        <w:tc>
          <w:tcPr>
            <w:tcW w:type="dxa" w:w="13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Regulatory Requirement</w:t>
            </w:r>
          </w:p>
        </w:tc>
        <w:tc>
          <w:tcPr>
            <w:tcW w:type="dxa" w:w="11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IDENTIFIED</w:t>
            </w:r>
          </w:p>
        </w:tc>
        <w:tc>
          <w:tcPr>
            <w:tcW w:type="dxa" w:w="14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TBD</w:t>
            </w:r>
          </w:p>
        </w:tc>
        <w:tc>
          <w:tcPr>
            <w:tcW w:type="dxa" w:w="14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TBD</w:t>
            </w:r>
          </w:p>
        </w:tc>
        <w:tc>
          <w:tcPr>
            <w:tcW w:type="dxa" w:w="20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Pending</w:t>
            </w:r>
          </w:p>
        </w:tc>
        <w:tc>
          <w:tcPr>
            <w:tcW w:type="dxa" w:w="13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w:t>
            </w:r>
          </w:p>
        </w:tc>
      </w:tr>
      <w:tr>
        <w:tc>
          <w:tcPr>
            <w:tcW w:type="dxa" w:w="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CHG-006</w:t>
            </w:r>
          </w:p>
        </w:tc>
        <w:tc>
          <w:tcPr>
            <w:tcW w:type="dxa" w:w="13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Material Upgrade</w:t>
            </w:r>
          </w:p>
        </w:tc>
        <w:tc>
          <w:tcPr>
            <w:tcW w:type="dxa" w:w="11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ASSESSED</w:t>
            </w:r>
          </w:p>
        </w:tc>
        <w:tc>
          <w:tcPr>
            <w:tcW w:type="dxa" w:w="14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+8 days</w:t>
            </w:r>
          </w:p>
        </w:tc>
        <w:tc>
          <w:tcPr>
            <w:tcW w:type="dxa" w:w="14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+AED 120,000</w:t>
            </w:r>
          </w:p>
        </w:tc>
        <w:tc>
          <w:tcPr>
            <w:tcW w:type="dxa" w:w="20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Pending</w:t>
            </w:r>
          </w:p>
        </w:tc>
        <w:tc>
          <w:tcPr>
            <w:tcW w:type="dxa" w:w="13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w:t>
            </w:r>
          </w:p>
        </w:tc>
      </w:tr>
      <w:tr>
        <w:tc>
          <w:tcPr>
            <w:tcW w:type="dxa" w:w="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CHG-007</w:t>
            </w:r>
          </w:p>
        </w:tc>
        <w:tc>
          <w:tcPr>
            <w:tcW w:type="dxa" w:w="13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Scope Reduction</w:t>
            </w:r>
          </w:p>
        </w:tc>
        <w:tc>
          <w:tcPr>
            <w:tcW w:type="dxa" w:w="11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DEFERRED</w:t>
            </w:r>
          </w:p>
        </w:tc>
        <w:tc>
          <w:tcPr>
            <w:tcW w:type="dxa" w:w="14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-4 days</w:t>
            </w:r>
          </w:p>
        </w:tc>
        <w:tc>
          <w:tcPr>
            <w:tcW w:type="dxa" w:w="14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-AED 52,000</w:t>
            </w:r>
          </w:p>
        </w:tc>
        <w:tc>
          <w:tcPr>
            <w:tcW w:type="dxa" w:w="20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Deferred</w:t>
            </w:r>
          </w:p>
        </w:tc>
        <w:tc>
          <w:tcPr>
            <w:tcW w:type="dxa" w:w="13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w:t>
            </w:r>
          </w:p>
        </w:tc>
      </w:tr>
    </w:tbl>
    <w:p>
      <w:pPr>
        <w:spacing w:after="160"/>
      </w:pPr>
    </w:p>
    <w:p>
      <w:pPr>
        <w:spacing w:after="140" w:line="280"/>
      </w:pPr>
      <w:r>
        <w:rPr>
          <w:rFonts w:ascii="Calibri" w:cs="Calibri" w:eastAsia="Calibri" w:hAnsi="Calibri"/>
          <w:i/>
          <w:iCs/>
          <w:color w:val="212121"/>
          <w:sz w:val="22"/>
          <w:szCs w:val="22"/>
        </w:rPr>
        <w:t xml:space="preserve">The Change Register can be filtered by type, status, approver, WBS element, date range, and cost threshold. Clicking any row opens the full Change Workspace for that change event with all eight panels populated from the live PIG.</w:t>
      </w:r>
    </w:p>
    <w:p>
      <w:pPr>
        <w:spacing w:after="140" w:line="280"/>
      </w:pPr>
      <w:r>
        <w:rPr>
          <w:rFonts w:ascii="Calibri" w:cs="Calibri" w:eastAsia="Calibri" w:hAnsi="Calibri"/>
          <w:i/>
          <w:iCs/>
          <w:color w:val="212121"/>
          <w:sz w:val="22"/>
          <w:szCs w:val="22"/>
        </w:rPr>
        <w:t xml:space="preserve">The register supports export to structured formats for client reporting. Export is always a point-in-time snapshot — the live register in Green PM remains the authoritative record.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PM v5 — Engineering Change Intelligence Platform</dc:title>
  <dc:creator>Green PM</dc:creator>
  <cp:lastModifiedBy>Un-named</cp:lastModifiedBy>
  <cp:revision>1</cp:revision>
  <dcterms:created xsi:type="dcterms:W3CDTF">2026-08-03T11:56:52.549Z</dcterms:created>
  <dcterms:modified xsi:type="dcterms:W3CDTF">2026-08-03T11:56:52.552Z</dcterms:modified>
</cp:coreProperties>
</file>

<file path=docProps/custom.xml><?xml version="1.0" encoding="utf-8"?>
<Properties xmlns="http://schemas.openxmlformats.org/officeDocument/2006/custom-properties" xmlns:vt="http://schemas.openxmlformats.org/officeDocument/2006/docPropsVTypes"/>
</file>