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p>
      <w:pPr>
        <w:spacing w:after="60" w:before="0"/>
        <w:jc w:val="left"/>
      </w:pPr>
      <w:r>
        <w:rPr>
          <w:rFonts w:ascii="Calibri" w:cs="Calibri" w:eastAsia="Calibri" w:hAnsi="Calibri"/>
          <w:b/>
          <w:bCs/>
          <w:color w:val="0F4D28"/>
          <w:sz w:val="56"/>
          <w:szCs w:val="56"/>
        </w:rPr>
        <w:t xml:space="preserve">Green PM v5</w:t>
      </w:r>
    </w:p>
    <w:p>
      <w:pPr>
        <w:spacing w:after="60" w:before="0"/>
        <w:jc w:val="left"/>
      </w:pPr>
      <w:r>
        <w:rPr>
          <w:rFonts w:ascii="Calibri" w:cs="Calibri" w:eastAsia="Calibri" w:hAnsi="Calibri"/>
          <w:b/>
          <w:bCs/>
          <w:color w:val="0F4D28"/>
          <w:sz w:val="56"/>
          <w:szCs w:val="56"/>
        </w:rPr>
        <w:t xml:space="preserve">Event Model</w:t>
      </w:r>
    </w:p>
    <w:p>
      <w:pPr>
        <w:spacing w:after="0" w:before="60"/>
      </w:pPr>
    </w:p>
    <w:p>
      <w:pPr>
        <w:spacing w:after="40" w:before="40"/>
      </w:pPr>
      <w:r>
        <w:rPr>
          <w:rFonts w:ascii="Calibri" w:cs="Calibri" w:eastAsia="Calibri" w:hAnsi="Calibri"/>
          <w:color w:val="6B7280"/>
          <w:sz w:val="22"/>
          <w:szCs w:val="22"/>
        </w:rPr>
        <w:t xml:space="preserve">Engineering Project Intelligence Platform — Technical Architecture</w:t>
      </w:r>
    </w:p>
    <w:p>
      <w:pPr>
        <w:spacing w:after="0" w:before="200"/>
      </w:pPr>
    </w:p>
    <w:p>
      <w:pPr>
        <w:spacing w:after="40" w:before="40"/>
        <w:jc w:val="left"/>
      </w:pPr>
      <w:r>
        <w:rPr>
          <w:rFonts w:ascii="Calibri" w:cs="Calibri" w:eastAsia="Calibri" w:hAnsi="Calibri"/>
          <w:b/>
          <w:bCs/>
          <w:color w:val="6B7280"/>
          <w:sz w:val="22"/>
          <w:szCs w:val="22"/>
        </w:rPr>
        <w:t xml:space="preserve">Document: </w:t>
      </w:r>
      <w:r>
        <w:rPr>
          <w:rFonts w:ascii="Calibri" w:cs="Calibri" w:eastAsia="Calibri" w:hAnsi="Calibri"/>
          <w:color w:val="111827"/>
          <w:sz w:val="22"/>
          <w:szCs w:val="22"/>
        </w:rPr>
        <w:t xml:space="preserve">GreenPM_v5_Event_Model</w:t>
      </w:r>
    </w:p>
    <w:p>
      <w:pPr>
        <w:spacing w:after="40" w:before="40"/>
        <w:jc w:val="left"/>
      </w:pPr>
      <w:r>
        <w:rPr>
          <w:rFonts w:ascii="Calibri" w:cs="Calibri" w:eastAsia="Calibri" w:hAnsi="Calibri"/>
          <w:b/>
          <w:bCs/>
          <w:color w:val="6B7280"/>
          <w:sz w:val="22"/>
          <w:szCs w:val="22"/>
        </w:rPr>
        <w:t xml:space="preserve">Version: </w:t>
      </w:r>
      <w:r>
        <w:rPr>
          <w:rFonts w:ascii="Calibri" w:cs="Calibri" w:eastAsia="Calibri" w:hAnsi="Calibri"/>
          <w:color w:val="111827"/>
          <w:sz w:val="22"/>
          <w:szCs w:val="22"/>
        </w:rPr>
        <w:t xml:space="preserve">1.0 — v5 Launch Baseline</w:t>
      </w:r>
    </w:p>
    <w:p>
      <w:pPr>
        <w:spacing w:after="40" w:before="40"/>
        <w:jc w:val="left"/>
      </w:pPr>
      <w:r>
        <w:rPr>
          <w:rFonts w:ascii="Calibri" w:cs="Calibri" w:eastAsia="Calibri" w:hAnsi="Calibri"/>
          <w:b/>
          <w:bCs/>
          <w:color w:val="6B7280"/>
          <w:sz w:val="22"/>
          <w:szCs w:val="22"/>
        </w:rPr>
        <w:t xml:space="preserve">Date: </w:t>
      </w:r>
      <w:r>
        <w:rPr>
          <w:rFonts w:ascii="Calibri" w:cs="Calibri" w:eastAsia="Calibri" w:hAnsi="Calibri"/>
          <w:color w:val="111827"/>
          <w:sz w:val="22"/>
          <w:szCs w:val="22"/>
        </w:rPr>
        <w:t xml:space="preserve">2026-08-03</w:t>
      </w:r>
    </w:p>
    <w:p>
      <w:pPr>
        <w:spacing w:after="40" w:before="40"/>
        <w:jc w:val="left"/>
      </w:pPr>
      <w:r>
        <w:rPr>
          <w:rFonts w:ascii="Calibri" w:cs="Calibri" w:eastAsia="Calibri" w:hAnsi="Calibri"/>
          <w:b/>
          <w:bCs/>
          <w:color w:val="6B7280"/>
          <w:sz w:val="22"/>
          <w:szCs w:val="22"/>
        </w:rPr>
        <w:t xml:space="preserve">Classification: </w:t>
      </w:r>
      <w:r>
        <w:rPr>
          <w:rFonts w:ascii="Calibri" w:cs="Calibri" w:eastAsia="Calibri" w:hAnsi="Calibri"/>
          <w:color w:val="111827"/>
          <w:sz w:val="22"/>
          <w:szCs w:val="22"/>
        </w:rPr>
        <w:t xml:space="preserve">Confidential — Internal Use Only</w:t>
      </w:r>
    </w:p>
    <w:p>
      <w:pPr>
        <w:spacing w:after="40" w:before="40"/>
        <w:jc w:val="left"/>
      </w:pPr>
      <w:r>
        <w:rPr>
          <w:rFonts w:ascii="Calibri" w:cs="Calibri" w:eastAsia="Calibri" w:hAnsi="Calibri"/>
          <w:b/>
          <w:bCs/>
          <w:color w:val="6B7280"/>
          <w:sz w:val="22"/>
          <w:szCs w:val="22"/>
        </w:rPr>
        <w:t xml:space="preserve">Event Categories: </w:t>
      </w:r>
      <w:r>
        <w:rPr>
          <w:rFonts w:ascii="Calibri" w:cs="Calibri" w:eastAsia="Calibri" w:hAnsi="Calibri"/>
          <w:color w:val="111827"/>
          <w:sz w:val="22"/>
          <w:szCs w:val="22"/>
        </w:rPr>
        <w:t xml:space="preserve">Domain Events (31) + Engine Output Events (18) = 49 total</w:t>
      </w:r>
    </w:p>
    <w:p>
      <w:pPr>
        <w:spacing w:after="40" w:before="40"/>
        <w:jc w:val="left"/>
      </w:pPr>
      <w:r>
        <w:rPr>
          <w:rFonts w:ascii="Calibri" w:cs="Calibri" w:eastAsia="Calibri" w:hAnsi="Calibri"/>
          <w:b/>
          <w:bCs/>
          <w:color w:val="6B7280"/>
          <w:sz w:val="22"/>
          <w:szCs w:val="22"/>
        </w:rPr>
        <w:t xml:space="preserve">Pub/Sub Topics: </w:t>
      </w:r>
      <w:r>
        <w:rPr>
          <w:rFonts w:ascii="Calibri" w:cs="Calibri" w:eastAsia="Calibri" w:hAnsi="Calibri"/>
          <w:color w:val="111827"/>
          <w:sz w:val="22"/>
          <w:szCs w:val="22"/>
        </w:rPr>
        <w:t xml:space="preserve">27 topics with DLQ, retention, and ack deadline configuration</w:t>
      </w:r>
    </w:p>
    <w:p>
      <w:pPr>
        <w:spacing w:after="40" w:before="40"/>
        <w:jc w:val="left"/>
      </w:pPr>
      <w:r>
        <w:rPr>
          <w:rFonts w:ascii="Calibri" w:cs="Calibri" w:eastAsia="Calibri" w:hAnsi="Calibri"/>
          <w:b/>
          <w:bCs/>
          <w:color w:val="6B7280"/>
          <w:sz w:val="22"/>
          <w:szCs w:val="22"/>
        </w:rPr>
        <w:t xml:space="preserve">Engines Covered: </w:t>
      </w:r>
      <w:r>
        <w:rPr>
          <w:rFonts w:ascii="Calibri" w:cs="Calibri" w:eastAsia="Calibri" w:hAnsi="Calibri"/>
          <w:color w:val="111827"/>
          <w:sz w:val="22"/>
          <w:szCs w:val="22"/>
        </w:rPr>
        <w:t xml:space="preserve">All 17 Green PM v5 engines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20" w:before="40"/>
            </w:pPr>
            <w:r>
              <w:rPr>
                <w:rFonts w:ascii="Calibri" w:cs="Calibri" w:eastAsia="Calibri" w:hAnsi="Calibri"/>
                <w:b/>
                <w:bCs/>
                <w:color w:val="0F4D28"/>
                <w:sz w:val="21"/>
                <w:szCs w:val="21"/>
              </w:rPr>
              <w:t xml:space="preserve">Architecture Principle</w:t>
            </w:r>
          </w:p>
          <w:p>
            <w:pPr>
              <w:spacing w:after="40" w:before="0"/>
            </w:pPr>
            <w:r>
              <w:rPr>
                <w:rFonts w:ascii="Calibri" w:cs="Calibri" w:eastAsia="Calibri" w:hAnsi="Calibri"/>
                <w:i/>
                <w:iCs/>
                <w:color w:val="374151"/>
                <w:sz w:val="20"/>
                <w:szCs w:val="20"/>
              </w:rPr>
              <w:t xml:space="preserve">"Green PM continuously transforms every project event into synchronized project intelligence and actionable decisions." This document defines the complete event vocabulary through which that transformation occurs.</w:t>
            </w:r>
          </w:p>
        </w:tc>
      </w:tr>
    </w:tbl>
    <w:p>
      <w:pPr>
        <w:spacing w:after="0" w:before="80"/>
      </w:pPr>
    </w:p>
    <w:p>
      <w:r>
        <w:br/>
      </w:r>
    </w:p>
    <w:p>
      <w:pPr>
        <w:pStyle w:val="Heading1"/>
        <w:spacing w:after="160" w:before="480"/>
      </w:pPr>
      <w:r>
        <w:rPr>
          <w:rFonts w:ascii="Calibri" w:cs="Calibri" w:eastAsia="Calibri" w:hAnsi="Calibri"/>
          <w:b/>
          <w:bCs/>
          <w:color w:val="0F4D28"/>
          <w:sz w:val="40"/>
          <w:szCs w:val="40"/>
        </w:rPr>
        <w:t xml:space="preserve">1. Event Model Overview</w:t>
      </w:r>
    </w:p>
    <w:p>
      <w:pPr>
        <w:spacing w:after="100" w:before="60"/>
      </w:pPr>
      <w:r>
        <w:rPr>
          <w:rFonts w:ascii="Calibri" w:cs="Calibri" w:eastAsia="Calibri" w:hAnsi="Calibri"/>
          <w:color w:val="111827"/>
          <w:sz w:val="22"/>
          <w:szCs w:val="22"/>
        </w:rPr>
        <w:t xml:space="preserve">Green PM v5 is built on a fully event-driven architecture. Every state change in every aggregate publishes an event to Google Cloud Pub/Sub. The 17 engines subscribe to the topics that are relevant to them and react to those state changes — no engine polls a database, and no engine calls another engine directly. This design eliminates tight coupling, enables independent scaling, and guarantees that every intelligence update is traceable to a specific real-world event.</w:t>
      </w:r>
    </w:p>
    <w:p>
      <w:pPr>
        <w:spacing w:after="0" w:before="120"/>
      </w:pPr>
    </w:p>
    <w:p>
      <w:pPr>
        <w:pStyle w:val="Heading2"/>
        <w:spacing w:after="120" w:before="320"/>
      </w:pPr>
      <w:r>
        <w:rPr>
          <w:rFonts w:ascii="Calibri" w:cs="Calibri" w:eastAsia="Calibri" w:hAnsi="Calibri"/>
          <w:b/>
          <w:bCs/>
          <w:color w:val="1A6B3A"/>
          <w:sz w:val="26"/>
          <w:szCs w:val="26"/>
        </w:rPr>
        <w:t xml:space="preserve">1.1 Purpose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Eliminate polling: Engines react to events, not timers.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Decouple engines: Engines communicate exclusively through the event bus.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Enable auditability: Every output can be traced to its originating event via correlation_id and causation_id.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Support at-least-once delivery: Pub/Sub guarantees delivery; idempotency is enforced on the subscriber side.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Power the Project Intelligence Graph: Every published event updates the PIG in real time, keeping the live property graph current.</w:t>
      </w:r>
    </w:p>
    <w:p>
      <w:pPr>
        <w:spacing w:after="0" w:before="120"/>
      </w:pPr>
    </w:p>
    <w:p>
      <w:pPr>
        <w:pStyle w:val="Heading2"/>
        <w:spacing w:after="120" w:before="320"/>
      </w:pPr>
      <w:r>
        <w:rPr>
          <w:rFonts w:ascii="Calibri" w:cs="Calibri" w:eastAsia="Calibri" w:hAnsi="Calibri"/>
          <w:b/>
          <w:bCs/>
          <w:color w:val="1A6B3A"/>
          <w:sz w:val="26"/>
          <w:szCs w:val="26"/>
        </w:rPr>
        <w:t xml:space="preserve">1.2 Two Event Categories</w:t>
      </w:r>
    </w:p>
    <w:p>
      <w:pPr>
        <w:pStyle w:val="Heading3"/>
        <w:spacing w:after="80" w:before="200"/>
      </w:pPr>
      <w:r>
        <w:rPr>
          <w:rFonts w:ascii="Calibri" w:cs="Calibri" w:eastAsia="Calibri" w:hAnsi="Calibri"/>
          <w:b/>
          <w:bCs/>
          <w:color w:val="374151"/>
          <w:sz w:val="22"/>
          <w:szCs w:val="22"/>
        </w:rPr>
        <w:t xml:space="preserve">Domain Events</w:t>
      </w:r>
    </w:p>
    <w:p>
      <w:pPr>
        <w:spacing w:after="100" w:before="60"/>
      </w:pPr>
      <w:r>
        <w:rPr>
          <w:rFonts w:ascii="Calibri" w:cs="Calibri" w:eastAsia="Calibri" w:hAnsi="Calibri"/>
          <w:color w:val="111827"/>
          <w:sz w:val="22"/>
          <w:szCs w:val="22"/>
        </w:rPr>
        <w:t xml:space="preserve">Domain Events represent state changes that occurred within a bounded context aggregate. They describe facts — what happened in the project world. Examples: a drawing revision was issued, an activity was delayed, a change was approved. There are 31 Domain Events in v5.</w:t>
      </w:r>
    </w:p>
    <w:p>
      <w:pPr>
        <w:spacing w:after="0" w:before="80"/>
      </w:pPr>
    </w:p>
    <w:p>
      <w:pPr>
        <w:pStyle w:val="Heading3"/>
        <w:spacing w:after="80" w:before="200"/>
      </w:pPr>
      <w:r>
        <w:rPr>
          <w:rFonts w:ascii="Calibri" w:cs="Calibri" w:eastAsia="Calibri" w:hAnsi="Calibri"/>
          <w:b/>
          <w:bCs/>
          <w:color w:val="374151"/>
          <w:sz w:val="22"/>
          <w:szCs w:val="22"/>
        </w:rPr>
        <w:t xml:space="preserve">Engine Output Events</w:t>
      </w:r>
    </w:p>
    <w:p>
      <w:pPr>
        <w:spacing w:after="100" w:before="60"/>
      </w:pPr>
      <w:r>
        <w:rPr>
          <w:rFonts w:ascii="Calibri" w:cs="Calibri" w:eastAsia="Calibri" w:hAnsi="Calibri"/>
          <w:color w:val="111827"/>
          <w:sz w:val="22"/>
          <w:szCs w:val="22"/>
        </w:rPr>
        <w:t xml:space="preserve">Engine Output Events are emitted when an engine completes a computation or analysis. They signal that a derived intelligence artifact is ready and carry the key results as payload. Examples: an impact assessment was completed, a critical path was recomputed, a forecast was updated. There are 18 Engine Output Events in v5.</w:t>
      </w:r>
    </w:p>
    <w:p>
      <w:pPr>
        <w:spacing w:after="0" w:before="120"/>
      </w:pPr>
    </w:p>
    <w:p>
      <w:pPr>
        <w:pStyle w:val="Heading2"/>
        <w:spacing w:after="120" w:before="320"/>
      </w:pPr>
      <w:r>
        <w:rPr>
          <w:rFonts w:ascii="Calibri" w:cs="Calibri" w:eastAsia="Calibri" w:hAnsi="Calibri"/>
          <w:b/>
          <w:bCs/>
          <w:color w:val="1A6B3A"/>
          <w:sz w:val="26"/>
          <w:szCs w:val="26"/>
        </w:rPr>
        <w:t xml:space="preserve">1.3 Standard Event Envelope</w:t>
      </w:r>
    </w:p>
    <w:p>
      <w:pPr>
        <w:spacing w:after="100" w:before="60"/>
      </w:pPr>
      <w:r>
        <w:rPr>
          <w:rFonts w:ascii="Calibri" w:cs="Calibri" w:eastAsia="Calibri" w:hAnsi="Calibri"/>
          <w:color w:val="111827"/>
          <w:sz w:val="22"/>
          <w:szCs w:val="22"/>
        </w:rPr>
        <w:t xml:space="preserve">Every event — Domain or Engine Output — is wrapped in a standard envelope before being published to Pub/Sub. The envelope enables correlation, versioning, and tenant isolation across all 17 engines.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40" w:before="60"/>
            </w:pPr>
            <w:r>
              <w:rPr>
                <w:rFonts w:ascii="Calibri" w:cs="Calibri" w:eastAsia="Calibri" w:hAnsi="Calibri"/>
                <w:b/>
                <w:bCs/>
                <w:color w:val="0F4D28"/>
                <w:sz w:val="22"/>
                <w:szCs w:val="22"/>
              </w:rPr>
              <w:t xml:space="preserve">Standard Event Envelope — All v5 Events</w:t>
            </w:r>
          </w:p>
          <w:p>
            <w:pPr>
              <w:spacing w:after="20" w:before="20"/>
            </w:pPr>
            <w:r>
              <w:rPr>
                <w:rFonts w:ascii="Calibri" w:cs="Calibri" w:eastAsia="Calibri" w:hAnsi="Calibri"/>
                <w:b/>
                <w:bCs/>
                <w:color w:val="0F4D28"/>
                <w:sz w:val="20"/>
                <w:szCs w:val="20"/>
              </w:rPr>
              <w:t xml:space="preserve">event_id</w:t>
            </w:r>
            <w:r>
              <w:rPr>
                <w:rFonts w:ascii="Calibri" w:cs="Calibri" w:eastAsia="Calibri" w:hAnsi="Calibri"/>
                <w:color w:val="374151"/>
                <w:sz w:val="20"/>
                <w:szCs w:val="20"/>
              </w:rPr>
              <w:t xml:space="preserve">  UUID v4 — unique identifier for this event instance, used as idempotency key.</w:t>
            </w:r>
          </w:p>
          <w:p>
            <w:pPr>
              <w:spacing w:after="20" w:before="20"/>
            </w:pPr>
            <w:r>
              <w:rPr>
                <w:rFonts w:ascii="Calibri" w:cs="Calibri" w:eastAsia="Calibri" w:hAnsi="Calibri"/>
                <w:b/>
                <w:bCs/>
                <w:color w:val="0F4D28"/>
                <w:sz w:val="20"/>
                <w:szCs w:val="20"/>
              </w:rPr>
              <w:t xml:space="preserve">event_type</w:t>
            </w:r>
            <w:r>
              <w:rPr>
                <w:rFonts w:ascii="Calibri" w:cs="Calibri" w:eastAsia="Calibri" w:hAnsi="Calibri"/>
                <w:color w:val="374151"/>
                <w:sz w:val="20"/>
                <w:szCs w:val="20"/>
              </w:rPr>
              <w:t xml:space="preserve">  PascalCase string matching the event name (e.g., DrawingRevisionIssued).</w:t>
            </w:r>
          </w:p>
          <w:p>
            <w:pPr>
              <w:spacing w:after="20" w:before="20"/>
            </w:pPr>
            <w:r>
              <w:rPr>
                <w:rFonts w:ascii="Calibri" w:cs="Calibri" w:eastAsia="Calibri" w:hAnsi="Calibri"/>
                <w:b/>
                <w:bCs/>
                <w:color w:val="0F4D28"/>
                <w:sz w:val="20"/>
                <w:szCs w:val="20"/>
              </w:rPr>
              <w:t xml:space="preserve">schema_version</w:t>
            </w:r>
            <w:r>
              <w:rPr>
                <w:rFonts w:ascii="Calibri" w:cs="Calibri" w:eastAsia="Calibri" w:hAnsi="Calibri"/>
                <w:color w:val="374151"/>
                <w:sz w:val="20"/>
                <w:szCs w:val="20"/>
              </w:rPr>
              <w:t xml:space="preserve">  SemVer string — "2.0.0" at v5 launch. Consumers reject events with incompatible versions.</w:t>
            </w:r>
          </w:p>
          <w:p>
            <w:pPr>
              <w:spacing w:after="20" w:before="20"/>
            </w:pPr>
            <w:r>
              <w:rPr>
                <w:rFonts w:ascii="Calibri" w:cs="Calibri" w:eastAsia="Calibri" w:hAnsi="Calibri"/>
                <w:b/>
                <w:bCs/>
                <w:color w:val="0F4D28"/>
                <w:sz w:val="20"/>
                <w:szCs w:val="20"/>
              </w:rPr>
              <w:t xml:space="preserve">tenant_id</w:t>
            </w:r>
            <w:r>
              <w:rPr>
                <w:rFonts w:ascii="Calibri" w:cs="Calibri" w:eastAsia="Calibri" w:hAnsi="Calibri"/>
                <w:color w:val="374151"/>
                <w:sz w:val="20"/>
                <w:szCs w:val="20"/>
              </w:rPr>
              <w:t xml:space="preserve">  Multi-tenant isolation — all subscribers enforce tenant boundary before processing.</w:t>
            </w:r>
          </w:p>
          <w:p>
            <w:pPr>
              <w:spacing w:after="20" w:before="20"/>
            </w:pPr>
            <w:r>
              <w:rPr>
                <w:rFonts w:ascii="Calibri" w:cs="Calibri" w:eastAsia="Calibri" w:hAnsi="Calibri"/>
                <w:b/>
                <w:bCs/>
                <w:color w:val="0F4D28"/>
                <w:sz w:val="20"/>
                <w:szCs w:val="20"/>
              </w:rPr>
              <w:t xml:space="preserve">project_id</w:t>
            </w:r>
            <w:r>
              <w:rPr>
                <w:rFonts w:ascii="Calibri" w:cs="Calibri" w:eastAsia="Calibri" w:hAnsi="Calibri"/>
                <w:color w:val="374151"/>
                <w:sz w:val="20"/>
                <w:szCs w:val="20"/>
              </w:rPr>
              <w:t xml:space="preserve">  Project scope. Some events (VendorScoreUpdated) are cross-project; project_id may be null.</w:t>
            </w:r>
          </w:p>
          <w:p>
            <w:pPr>
              <w:spacing w:after="20" w:before="20"/>
            </w:pPr>
            <w:r>
              <w:rPr>
                <w:rFonts w:ascii="Calibri" w:cs="Calibri" w:eastAsia="Calibri" w:hAnsi="Calibri"/>
                <w:b/>
                <w:bCs/>
                <w:color w:val="0F4D28"/>
                <w:sz w:val="20"/>
                <w:szCs w:val="20"/>
              </w:rPr>
              <w:t xml:space="preserve">correlation_id</w:t>
            </w:r>
            <w:r>
              <w:rPr>
                <w:rFonts w:ascii="Calibri" w:cs="Calibri" w:eastAsia="Calibri" w:hAnsi="Calibri"/>
                <w:color w:val="374151"/>
                <w:sz w:val="20"/>
                <w:szCs w:val="20"/>
              </w:rPr>
              <w:t xml:space="preserve">  Traces an entire event chain end-to-end (e.g., from equipment delay to forecast update).</w:t>
            </w:r>
          </w:p>
          <w:p>
            <w:pPr>
              <w:spacing w:after="20" w:before="20"/>
            </w:pPr>
            <w:r>
              <w:rPr>
                <w:rFonts w:ascii="Calibri" w:cs="Calibri" w:eastAsia="Calibri" w:hAnsi="Calibri"/>
                <w:b/>
                <w:bCs/>
                <w:color w:val="0F4D28"/>
                <w:sz w:val="20"/>
                <w:szCs w:val="20"/>
              </w:rPr>
              <w:t xml:space="preserve">causation_id</w:t>
            </w:r>
            <w:r>
              <w:rPr>
                <w:rFonts w:ascii="Calibri" w:cs="Calibri" w:eastAsia="Calibri" w:hAnsi="Calibri"/>
                <w:color w:val="374151"/>
                <w:sz w:val="20"/>
                <w:szCs w:val="20"/>
              </w:rPr>
              <w:t xml:space="preserve">  event_id of the immediate parent event that caused this event to be emitted.</w:t>
            </w:r>
          </w:p>
          <w:p>
            <w:pPr>
              <w:spacing w:after="20" w:before="20"/>
            </w:pPr>
            <w:r>
              <w:rPr>
                <w:rFonts w:ascii="Calibri" w:cs="Calibri" w:eastAsia="Calibri" w:hAnsi="Calibri"/>
                <w:b/>
                <w:bCs/>
                <w:color w:val="0F4D28"/>
                <w:sz w:val="20"/>
                <w:szCs w:val="20"/>
              </w:rPr>
              <w:t xml:space="preserve">occurred_at</w:t>
            </w:r>
            <w:r>
              <w:rPr>
                <w:rFonts w:ascii="Calibri" w:cs="Calibri" w:eastAsia="Calibri" w:hAnsi="Calibri"/>
                <w:color w:val="374151"/>
                <w:sz w:val="20"/>
                <w:szCs w:val="20"/>
              </w:rPr>
              <w:t xml:space="preserve">  ISO 8601 UTC timestamp of when the state change occurred (not when published).</w:t>
            </w:r>
          </w:p>
          <w:p>
            <w:pPr>
              <w:spacing w:after="40" w:before="20"/>
            </w:pPr>
            <w:r>
              <w:rPr>
                <w:rFonts w:ascii="Calibri" w:cs="Calibri" w:eastAsia="Calibri" w:hAnsi="Calibri"/>
                <w:b/>
                <w:bCs/>
                <w:color w:val="0F4D28"/>
                <w:sz w:val="20"/>
                <w:szCs w:val="20"/>
              </w:rPr>
              <w:t xml:space="preserve">payload</w:t>
            </w:r>
            <w:r>
              <w:rPr>
                <w:rFonts w:ascii="Calibri" w:cs="Calibri" w:eastAsia="Calibri" w:hAnsi="Calibri"/>
                <w:color w:val="374151"/>
                <w:sz w:val="20"/>
                <w:szCs w:val="20"/>
              </w:rPr>
              <w:t xml:space="preserve">  Event-specific JSON object. Schema registered in Google Cloud Pub/Sub Schema Registry (Avro).</w:t>
            </w:r>
          </w:p>
        </w:tc>
      </w:tr>
    </w:tbl>
    <w:p>
      <w:pPr>
        <w:spacing w:after="0" w:before="120"/>
      </w:pPr>
    </w:p>
    <w:p>
      <w:pPr>
        <w:spacing w:after="100" w:before="60"/>
      </w:pPr>
      <w:r>
        <w:rPr>
          <w:rFonts w:ascii="Calibri" w:cs="Calibri" w:eastAsia="Calibri" w:hAnsi="Calibri"/>
          <w:color w:val="111827"/>
          <w:sz w:val="22"/>
          <w:szCs w:val="22"/>
        </w:rPr>
        <w:t xml:space="preserve">All events are published to Google Cloud Pub/Sub topics and consumed by the relevant engines via push subscriptions to Cloud Run endpoints. The Pub/Sub guarantees at-least-once delivery; subscriber idempotency (described in Section 5) prevents double-processing.</w:t>
      </w:r>
    </w:p>
    <w:p>
      <w:pPr>
        <w:spacing w:after="0" w:before="160"/>
      </w:pPr>
    </w:p>
    <w:p>
      <w:pPr>
        <w:pStyle w:val="Heading1"/>
        <w:spacing w:after="160" w:before="480"/>
      </w:pPr>
      <w:r>
        <w:rPr>
          <w:rFonts w:ascii="Calibri" w:cs="Calibri" w:eastAsia="Calibri" w:hAnsi="Calibri"/>
          <w:b/>
          <w:bCs/>
          <w:color w:val="0F4D28"/>
          <w:sz w:val="40"/>
          <w:szCs w:val="40"/>
        </w:rPr>
        <w:t xml:space="preserve">2. Domain Events (31)</w:t>
      </w:r>
    </w:p>
    <w:p>
      <w:pPr>
        <w:spacing w:after="100" w:before="60"/>
      </w:pPr>
      <w:r>
        <w:rPr>
          <w:rFonts w:ascii="Calibri" w:cs="Calibri" w:eastAsia="Calibri" w:hAnsi="Calibri"/>
          <w:color w:val="111827"/>
          <w:sz w:val="22"/>
          <w:szCs w:val="22"/>
        </w:rPr>
        <w:t xml:space="preserve">Domain Events are the ground truth of Green PM. They record facts that occurred in the real project — a drawing was issued, an activity was delayed, a risk was identified. Each event is published to the Pub/Sub topic shown and consumed by engines that need to react to that fact. Domain Events are immutable once published and are never mutated by consumers.</w:t>
      </w:r>
    </w:p>
    <w:p>
      <w:pPr>
        <w:spacing w:after="0" w:before="80"/>
      </w:pPr>
    </w:p>
    <w:p>
      <w:pPr>
        <w:spacing w:after="100" w:before="60"/>
      </w:pPr>
      <w:r>
        <w:rPr>
          <w:rFonts w:ascii="Calibri" w:cs="Calibri" w:eastAsia="Calibri" w:hAnsi="Calibri"/>
          <w:color w:val="111827"/>
          <w:sz w:val="22"/>
          <w:szCs w:val="22"/>
        </w:rPr>
        <w:t xml:space="preserve">The table below covers all 31 Domain Events defined at v5 launch, organized by bounded context. The Pub/Sub topic column cross-references Section 4 for full topic configuration details.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1800"/>
        <w:gridCol w:w="1800"/>
        <w:gridCol w:w="860"/>
      </w:tblGrid>
      <w:tr>
        <w:trPr>
          <w:tblHeader/>
        </w:trPr>
        <w:tc>
          <w:tcPr>
            <w:tcW w:type="dxa" w:w="22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Event Name</w:t>
            </w:r>
          </w:p>
        </w:tc>
        <w:tc>
          <w:tcPr>
            <w:tcW w:type="dxa" w:w="15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Bounded Context</w:t>
            </w:r>
          </w:p>
        </w:tc>
        <w:tc>
          <w:tcPr>
            <w:tcW w:type="dxa" w:w="12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Aggregate</w:t>
            </w:r>
          </w:p>
        </w:tc>
        <w:tc>
          <w:tcPr>
            <w:tcW w:type="dxa" w:w="18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Trigger</w:t>
            </w:r>
          </w:p>
        </w:tc>
        <w:tc>
          <w:tcPr>
            <w:tcW w:type="dxa" w:w="18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Key Payload Fields</w:t>
            </w:r>
          </w:p>
        </w:tc>
        <w:tc>
          <w:tcPr>
            <w:tcW w:type="dxa" w:w="86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Pub/Sub Topic</w:t>
            </w:r>
          </w:p>
        </w:tc>
      </w:tr>
      <w:tr>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EvidenceCaptured</w:t>
            </w:r>
          </w:p>
        </w:tc>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w:t>
            </w:r>
          </w:p>
        </w:tc>
        <w:tc>
          <w:tcPr>
            <w:tcW w:type="dxa" w:w="1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New evidence submitted</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evidence_id, capture_type, entity_type, entity_id, file_ref, confidence_score</w:t>
            </w:r>
          </w:p>
        </w:tc>
        <w:tc>
          <w:tcPr>
            <w:tcW w:type="dxa" w:w="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evidence.captured</w:t>
            </w:r>
          </w:p>
        </w:tc>
      </w:tr>
      <w:tr>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EvidenceReviewed</w:t>
            </w:r>
          </w:p>
        </w:tc>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w:t>
            </w:r>
          </w:p>
        </w:tc>
        <w:tc>
          <w:tcPr>
            <w:tcW w:type="dxa" w:w="1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Review submitted</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evidence_id, reviewer_id, review_status, comments</w:t>
            </w:r>
          </w:p>
        </w:tc>
        <w:tc>
          <w:tcPr>
            <w:tcW w:type="dxa" w:w="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evidence.captured</w:t>
            </w:r>
          </w:p>
        </w:tc>
      </w:tr>
      <w:tr>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EvidenceApproved</w:t>
            </w:r>
          </w:p>
        </w:tc>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w:t>
            </w:r>
          </w:p>
        </w:tc>
        <w:tc>
          <w:tcPr>
            <w:tcW w:type="dxa" w:w="1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 approved</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evidence_id, approver_id, reliability_weight</w:t>
            </w:r>
          </w:p>
        </w:tc>
        <w:tc>
          <w:tcPr>
            <w:tcW w:type="dxa" w:w="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evidence.score.computed</w:t>
            </w:r>
          </w:p>
        </w:tc>
      </w:tr>
      <w:tr>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EvidenceScoreComputed</w:t>
            </w:r>
          </w:p>
        </w:tc>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w:t>
            </w:r>
          </w:p>
        </w:tc>
        <w:tc>
          <w:tcPr>
            <w:tcW w:type="dxa" w:w="1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EvidenceScore</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Score recalculated</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entity_type, entity_id, score_value, components_json</w:t>
            </w:r>
          </w:p>
        </w:tc>
        <w:tc>
          <w:tcPr>
            <w:tcW w:type="dxa" w:w="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evidence.score.computed</w:t>
            </w:r>
          </w:p>
        </w:tc>
      </w:tr>
      <w:tr>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DrawingRevisionIssued</w:t>
            </w:r>
          </w:p>
        </w:tc>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Drawing</w:t>
            </w:r>
          </w:p>
        </w:tc>
        <w:tc>
          <w:tcPr>
            <w:tcW w:type="dxa" w:w="1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Drawing</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New revision created</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drawing_id, revision_number, revision_type, issuing_discipline</w:t>
            </w:r>
          </w:p>
        </w:tc>
        <w:tc>
          <w:tcPr>
            <w:tcW w:type="dxa" w:w="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drawing.issued</w:t>
            </w:r>
          </w:p>
        </w:tc>
      </w:tr>
      <w:tr>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DrawingSuperseded</w:t>
            </w:r>
          </w:p>
        </w:tc>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Drawing</w:t>
            </w:r>
          </w:p>
        </w:tc>
        <w:tc>
          <w:tcPr>
            <w:tcW w:type="dxa" w:w="1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Drawing</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Previous revision voided</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drawing_id, old_revision, new_revision</w:t>
            </w:r>
          </w:p>
        </w:tc>
        <w:tc>
          <w:tcPr>
            <w:tcW w:type="dxa" w:w="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drawing.issued</w:t>
            </w:r>
          </w:p>
        </w:tc>
      </w:tr>
      <w:tr>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ActivityStarted</w:t>
            </w:r>
          </w:p>
        </w:tc>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Schedule</w:t>
            </w:r>
          </w:p>
        </w:tc>
        <w:tc>
          <w:tcPr>
            <w:tcW w:type="dxa" w:w="1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Activity</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Activity progress begins</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activity_id, actual_start, planned_start</w:t>
            </w:r>
          </w:p>
        </w:tc>
        <w:tc>
          <w:tcPr>
            <w:tcW w:type="dxa" w:w="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activity.updated</w:t>
            </w:r>
          </w:p>
        </w:tc>
      </w:tr>
      <w:tr>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ActivityCompleted</w:t>
            </w:r>
          </w:p>
        </w:tc>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Schedule</w:t>
            </w:r>
          </w:p>
        </w:tc>
        <w:tc>
          <w:tcPr>
            <w:tcW w:type="dxa" w:w="1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Activity</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Activity 100%</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activity_id, actual_finish, planned_finish</w:t>
            </w:r>
          </w:p>
        </w:tc>
        <w:tc>
          <w:tcPr>
            <w:tcW w:type="dxa" w:w="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activity.updated</w:t>
            </w:r>
          </w:p>
        </w:tc>
      </w:tr>
      <w:tr>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ActivityDelayed</w:t>
            </w:r>
          </w:p>
        </w:tc>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Schedule</w:t>
            </w:r>
          </w:p>
        </w:tc>
        <w:tc>
          <w:tcPr>
            <w:tcW w:type="dxa" w:w="1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Activity</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Float consumed to zero</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activity_id, delay_days, impact_type</w:t>
            </w:r>
          </w:p>
        </w:tc>
        <w:tc>
          <w:tcPr>
            <w:tcW w:type="dxa" w:w="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activity.updated</w:t>
            </w:r>
          </w:p>
        </w:tc>
      </w:tr>
      <w:tr>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MilestoneReached</w:t>
            </w:r>
          </w:p>
        </w:tc>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Schedule</w:t>
            </w:r>
          </w:p>
        </w:tc>
        <w:tc>
          <w:tcPr>
            <w:tcW w:type="dxa" w:w="1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Milestone</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Milestone status = achieved</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milestone_id, achieved_date, planned_date</w:t>
            </w:r>
          </w:p>
        </w:tc>
        <w:tc>
          <w:tcPr>
            <w:tcW w:type="dxa" w:w="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activity.updated</w:t>
            </w:r>
          </w:p>
        </w:tc>
      </w:tr>
      <w:tr>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ChangeInitiated</w:t>
            </w:r>
          </w:p>
        </w:tc>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Change</w:t>
            </w:r>
          </w:p>
        </w:tc>
        <w:tc>
          <w:tcPr>
            <w:tcW w:type="dxa" w:w="1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Change</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Change request created</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change_id, change_type, originating_event, requestor</w:t>
            </w:r>
          </w:p>
        </w:tc>
        <w:tc>
          <w:tcPr>
            <w:tcW w:type="dxa" w:w="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change.initiated</w:t>
            </w:r>
          </w:p>
        </w:tc>
      </w:tr>
      <w:tr>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ChangeImpactAssessed</w:t>
            </w:r>
          </w:p>
        </w:tc>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Change</w:t>
            </w:r>
          </w:p>
        </w:tc>
        <w:tc>
          <w:tcPr>
            <w:tcW w:type="dxa" w:w="1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Change</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Impact analysis complete</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change_id, scope_impact, schedule_impact_days, cost_impact</w:t>
            </w:r>
          </w:p>
        </w:tc>
        <w:tc>
          <w:tcPr>
            <w:tcW w:type="dxa" w:w="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change.impact.assessed</w:t>
            </w:r>
          </w:p>
        </w:tc>
      </w:tr>
      <w:tr>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ChangeApproved</w:t>
            </w:r>
          </w:p>
        </w:tc>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Change</w:t>
            </w:r>
          </w:p>
        </w:tc>
        <w:tc>
          <w:tcPr>
            <w:tcW w:type="dxa" w:w="1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Change</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Approval workflow complete</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change_id, approver_id, approved_revision</w:t>
            </w:r>
          </w:p>
        </w:tc>
        <w:tc>
          <w:tcPr>
            <w:tcW w:type="dxa" w:w="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change.approved</w:t>
            </w:r>
          </w:p>
        </w:tc>
      </w:tr>
      <w:tr>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ChangeRejected</w:t>
            </w:r>
          </w:p>
        </w:tc>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Change</w:t>
            </w:r>
          </w:p>
        </w:tc>
        <w:tc>
          <w:tcPr>
            <w:tcW w:type="dxa" w:w="1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Change</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Change rejected</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change_id, rejector_id, rejection_reason</w:t>
            </w:r>
          </w:p>
        </w:tc>
        <w:tc>
          <w:tcPr>
            <w:tcW w:type="dxa" w:w="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change.approved</w:t>
            </w:r>
          </w:p>
        </w:tc>
      </w:tr>
      <w:tr>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EquipmentDispatched</w:t>
            </w:r>
          </w:p>
        </w:tc>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Equipment</w:t>
            </w:r>
          </w:p>
        </w:tc>
        <w:tc>
          <w:tcPr>
            <w:tcW w:type="dxa" w:w="1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Equipment</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FAT complete, dispatch initiated</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equipment_id, vendor_id, dispatch_date, destination</w:t>
            </w:r>
          </w:p>
        </w:tc>
        <w:tc>
          <w:tcPr>
            <w:tcW w:type="dxa" w:w="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equipment.dispatched</w:t>
            </w:r>
          </w:p>
        </w:tc>
      </w:tr>
      <w:tr>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EquipmentReceived</w:t>
            </w:r>
          </w:p>
        </w:tc>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Equipment</w:t>
            </w:r>
          </w:p>
        </w:tc>
        <w:tc>
          <w:tcPr>
            <w:tcW w:type="dxa" w:w="1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Equipment</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Equipment received on site</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equipment_id, received_date, received_by, condition</w:t>
            </w:r>
          </w:p>
        </w:tc>
        <w:tc>
          <w:tcPr>
            <w:tcW w:type="dxa" w:w="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equipment.received</w:t>
            </w:r>
          </w:p>
        </w:tc>
      </w:tr>
      <w:tr>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EquipmentInstalled</w:t>
            </w:r>
          </w:p>
        </w:tc>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Equipment</w:t>
            </w:r>
          </w:p>
        </w:tc>
        <w:tc>
          <w:tcPr>
            <w:tcW w:type="dxa" w:w="1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Equipment</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Installation complete</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equipment_id, activity_id, installed_date</w:t>
            </w:r>
          </w:p>
        </w:tc>
        <w:tc>
          <w:tcPr>
            <w:tcW w:type="dxa" w:w="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equipment.received</w:t>
            </w:r>
          </w:p>
        </w:tc>
      </w:tr>
      <w:tr>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VendorScoreUpdated</w:t>
            </w:r>
          </w:p>
        </w:tc>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Vendor</w:t>
            </w:r>
          </w:p>
        </w:tc>
        <w:tc>
          <w:tcPr>
            <w:tcW w:type="dxa" w:w="1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VendorScore</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Performance event triggers rescore</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vendor_id, dimension, old_score, new_score</w:t>
            </w:r>
          </w:p>
        </w:tc>
        <w:tc>
          <w:tcPr>
            <w:tcW w:type="dxa" w:w="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vendor.score.computed</w:t>
            </w:r>
          </w:p>
        </w:tc>
      </w:tr>
      <w:tr>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PurchaseOrderIssued</w:t>
            </w:r>
          </w:p>
        </w:tc>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Supply Chain</w:t>
            </w:r>
          </w:p>
        </w:tc>
        <w:tc>
          <w:tcPr>
            <w:tcW w:type="dxa" w:w="1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PurchaseOrder</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PO created</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po_id, vendor_id, package_id, value, currency</w:t>
            </w:r>
          </w:p>
        </w:tc>
        <w:tc>
          <w:tcPr>
            <w:tcW w:type="dxa" w:w="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supply.chain.readiness.updated</w:t>
            </w:r>
          </w:p>
        </w:tc>
      </w:tr>
      <w:tr>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DispatchStageUpdated</w:t>
            </w:r>
          </w:p>
        </w:tc>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Supply Chain</w:t>
            </w:r>
          </w:p>
        </w:tc>
        <w:tc>
          <w:tcPr>
            <w:tcW w:type="dxa" w:w="1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Dispatch</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Stage transition</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dispatch_id, old_stage, new_stage, updated_by</w:t>
            </w:r>
          </w:p>
        </w:tc>
        <w:tc>
          <w:tcPr>
            <w:tcW w:type="dxa" w:w="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dispatch.stage.updated</w:t>
            </w:r>
          </w:p>
        </w:tc>
      </w:tr>
      <w:tr>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RiskIdentified</w:t>
            </w:r>
          </w:p>
        </w:tc>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Risk</w:t>
            </w:r>
          </w:p>
        </w:tc>
        <w:tc>
          <w:tcPr>
            <w:tcW w:type="dxa" w:w="1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Risk</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New risk raised</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risk_id, category, probability, impact_level, owner</w:t>
            </w:r>
          </w:p>
        </w:tc>
        <w:tc>
          <w:tcPr>
            <w:tcW w:type="dxa" w:w="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risk.identified</w:t>
            </w:r>
          </w:p>
        </w:tc>
      </w:tr>
      <w:tr>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RiskMitigationInitiated</w:t>
            </w:r>
          </w:p>
        </w:tc>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Risk</w:t>
            </w:r>
          </w:p>
        </w:tc>
        <w:tc>
          <w:tcPr>
            <w:tcW w:type="dxa" w:w="1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Risk</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Mitigation plan started</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risk_id, mitigation_id, owner, due_date</w:t>
            </w:r>
          </w:p>
        </w:tc>
        <w:tc>
          <w:tcPr>
            <w:tcW w:type="dxa" w:w="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risk.mitigation.updated</w:t>
            </w:r>
          </w:p>
        </w:tc>
      </w:tr>
      <w:tr>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RiskMitigationCompleted</w:t>
            </w:r>
          </w:p>
        </w:tc>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Risk</w:t>
            </w:r>
          </w:p>
        </w:tc>
        <w:tc>
          <w:tcPr>
            <w:tcW w:type="dxa" w:w="1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Risk</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Mitigation action complete</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risk_id, mitigation_id, outcome</w:t>
            </w:r>
          </w:p>
        </w:tc>
        <w:tc>
          <w:tcPr>
            <w:tcW w:type="dxa" w:w="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risk.mitigation.updated</w:t>
            </w:r>
          </w:p>
        </w:tc>
      </w:tr>
      <w:tr>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DecisionRecorded</w:t>
            </w:r>
          </w:p>
        </w:tc>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Decision</w:t>
            </w:r>
          </w:p>
        </w:tc>
        <w:tc>
          <w:tcPr>
            <w:tcW w:type="dxa" w:w="1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Decision</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Decision captured in system</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decision_id, decision_type, options_count, owner</w:t>
            </w:r>
          </w:p>
        </w:tc>
        <w:tc>
          <w:tcPr>
            <w:tcW w:type="dxa" w:w="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decision.recorded</w:t>
            </w:r>
          </w:p>
        </w:tc>
      </w:tr>
      <w:tr>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DecisionApproved</w:t>
            </w:r>
          </w:p>
        </w:tc>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Decision</w:t>
            </w:r>
          </w:p>
        </w:tc>
        <w:tc>
          <w:tcPr>
            <w:tcW w:type="dxa" w:w="1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Decision</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Approval workflow closed</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decision_id, approver_id, chosen_option_id</w:t>
            </w:r>
          </w:p>
        </w:tc>
        <w:tc>
          <w:tcPr>
            <w:tcW w:type="dxa" w:w="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decision.approved</w:t>
            </w:r>
          </w:p>
        </w:tc>
      </w:tr>
      <w:tr>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DecisionImplemented</w:t>
            </w:r>
          </w:p>
        </w:tc>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Decision</w:t>
            </w:r>
          </w:p>
        </w:tc>
        <w:tc>
          <w:tcPr>
            <w:tcW w:type="dxa" w:w="1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Decision</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Action tracked as complete</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decision_id, implementation_evidence_id</w:t>
            </w:r>
          </w:p>
        </w:tc>
        <w:tc>
          <w:tcPr>
            <w:tcW w:type="dxa" w:w="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decision.approved</w:t>
            </w:r>
          </w:p>
        </w:tc>
      </w:tr>
      <w:tr>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ReportGenerated</w:t>
            </w:r>
          </w:p>
        </w:tc>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Reporting</w:t>
            </w:r>
          </w:p>
        </w:tc>
        <w:tc>
          <w:tcPr>
            <w:tcW w:type="dxa" w:w="1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Report</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Structured report created</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report_id, report_type, period, sections_count</w:t>
            </w:r>
          </w:p>
        </w:tc>
        <w:tc>
          <w:tcPr>
            <w:tcW w:type="dxa" w:w="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report.generated</w:t>
            </w:r>
          </w:p>
        </w:tc>
      </w:tr>
      <w:tr>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CoordinationItemCreated</w:t>
            </w:r>
          </w:p>
        </w:tc>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Coordination</w:t>
            </w:r>
          </w:p>
        </w:tc>
        <w:tc>
          <w:tcPr>
            <w:tcW w:type="dxa" w:w="1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CoordinationItem</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Event triggers coordination need</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coordination_id, source_event_id, assigned_to, due_date</w:t>
            </w:r>
          </w:p>
        </w:tc>
        <w:tc>
          <w:tcPr>
            <w:tcW w:type="dxa" w:w="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coordination.created</w:t>
            </w:r>
          </w:p>
        </w:tc>
      </w:tr>
      <w:tr>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CoordinationItemClosed</w:t>
            </w:r>
          </w:p>
        </w:tc>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Coordination</w:t>
            </w:r>
          </w:p>
        </w:tc>
        <w:tc>
          <w:tcPr>
            <w:tcW w:type="dxa" w:w="1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CoordinationItem</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Full loop verified</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coordination_id, closure_type, verified_by, evidence_ref</w:t>
            </w:r>
          </w:p>
        </w:tc>
        <w:tc>
          <w:tcPr>
            <w:tcW w:type="dxa" w:w="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coordination.closed</w:t>
            </w:r>
          </w:p>
        </w:tc>
      </w:tr>
      <w:tr>
        <w:tc>
          <w:tcPr>
            <w:tcW w:type="dxa" w:w="2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ReadinessGateEvaluated</w:t>
            </w:r>
          </w:p>
        </w:tc>
        <w:tc>
          <w:tcPr>
            <w:tcW w:type="dxa" w:w="15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Readiness</w:t>
            </w:r>
          </w:p>
        </w:tc>
        <w:tc>
          <w:tcPr>
            <w:tcW w:type="dxa" w:w="12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ReadinessGate</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Gate criteria re-scored</w:t>
            </w:r>
          </w:p>
        </w:tc>
        <w:tc>
          <w:tcPr>
            <w:tcW w:type="dxa" w:w="1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gate_type, gate_status, completion_pct, blocking_items_count</w:t>
            </w:r>
          </w:p>
        </w:tc>
        <w:tc>
          <w:tcPr>
            <w:tcW w:type="dxa" w:w="8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readiness.evaluated</w:t>
            </w:r>
          </w:p>
        </w:tc>
      </w:tr>
      <w:tr>
        <w:tc>
          <w:tcPr>
            <w:tcW w:type="dxa" w:w="2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SimulationCompleted</w:t>
            </w:r>
          </w:p>
        </w:tc>
        <w:tc>
          <w:tcPr>
            <w:tcW w:type="dxa" w:w="15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Simulation</w:t>
            </w:r>
          </w:p>
        </w:tc>
        <w:tc>
          <w:tcPr>
            <w:tcW w:type="dxa" w:w="12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SimulationScenario</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Projection run finished</w:t>
            </w:r>
          </w:p>
        </w:tc>
        <w:tc>
          <w:tcPr>
            <w:tcW w:type="dxa" w:w="1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scenario_id, delta_schedule_days, delta_cost, critical_path_changes</w:t>
            </w:r>
          </w:p>
        </w:tc>
        <w:tc>
          <w:tcPr>
            <w:tcW w:type="dxa" w:w="8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simulation.completed</w:t>
            </w:r>
          </w:p>
        </w:tc>
      </w:tr>
    </w:tbl>
    <w:p>
      <w:pPr>
        <w:spacing w:after="0" w:before="120"/>
      </w:pPr>
    </w:p>
    <w:p>
      <w:pPr>
        <w:pStyle w:val="Heading3"/>
        <w:spacing w:after="80" w:before="200"/>
      </w:pPr>
      <w:r>
        <w:rPr>
          <w:rFonts w:ascii="Calibri" w:cs="Calibri" w:eastAsia="Calibri" w:hAnsi="Calibri"/>
          <w:b/>
          <w:bCs/>
          <w:color w:val="374151"/>
          <w:sz w:val="22"/>
          <w:szCs w:val="22"/>
        </w:rPr>
        <w:t xml:space="preserve">Notes on Domain Event Design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EvidenceReviewed and EvidenceApproved are separate events — review is a step toward approval, not approval itself; engines react differently to each.</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ChangeApproved and ChangeRejected share a topic (change.approved) — subscribers filter by event_type in the payload.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ActivityStarted, ActivityCompleted, ActivityDelayed, and MilestoneReached share activity.updated — the CPM engine subscribes to all four.</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VendorScoreUpdated is the only cross-project domain event; project_id may be null in its envelope.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SimulationCompleted carries only delta values — the full scenario result is stored in simulation_results and referenced by scenario_id.</w:t>
      </w:r>
    </w:p>
    <w:p>
      <w:pPr>
        <w:spacing w:after="0" w:before="160"/>
      </w:pPr>
    </w:p>
    <w:p>
      <w:pPr>
        <w:pStyle w:val="Heading1"/>
        <w:spacing w:after="160" w:before="480"/>
      </w:pPr>
      <w:r>
        <w:rPr>
          <w:rFonts w:ascii="Calibri" w:cs="Calibri" w:eastAsia="Calibri" w:hAnsi="Calibri"/>
          <w:b/>
          <w:bCs/>
          <w:color w:val="0F4D28"/>
          <w:sz w:val="40"/>
          <w:szCs w:val="40"/>
        </w:rPr>
        <w:t xml:space="preserve">3. Engine Output Events (18)</w:t>
      </w:r>
    </w:p>
    <w:p>
      <w:pPr>
        <w:spacing w:after="100" w:before="60"/>
      </w:pPr>
      <w:r>
        <w:rPr>
          <w:rFonts w:ascii="Calibri" w:cs="Calibri" w:eastAsia="Calibri" w:hAnsi="Calibri"/>
          <w:color w:val="111827"/>
          <w:sz w:val="22"/>
          <w:szCs w:val="22"/>
        </w:rPr>
        <w:t xml:space="preserve">Engine Output Events signal that a computation has completed and a new intelligence artifact is available. They are the primary mechanism by which engines communicate derived knowledge to one another — always asynchronously, always through the event bus. No engine holds a reference to another engine or calls it directly.</w:t>
      </w:r>
    </w:p>
    <w:p>
      <w:pPr>
        <w:spacing w:after="0" w:before="80"/>
      </w:pPr>
    </w:p>
    <w:p>
      <w:pPr>
        <w:spacing w:after="100" w:before="60"/>
      </w:pPr>
      <w:r>
        <w:rPr>
          <w:rFonts w:ascii="Calibri" w:cs="Calibri" w:eastAsia="Calibri" w:hAnsi="Calibri"/>
          <w:color w:val="111827"/>
          <w:sz w:val="22"/>
          <w:szCs w:val="22"/>
        </w:rPr>
        <w:t xml:space="preserve">Note: QueryAnswered (AI Orchestration Engine) is the only event not published to Pub/Sub. It is returned synchronously to the caller because AI Copilot queries require a real-time response. All other Engine Output Events are fully asynchronous.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600"/>
        <w:gridCol w:w="2300"/>
        <w:gridCol w:w="1760"/>
      </w:tblGrid>
      <w:tr>
        <w:trPr>
          <w:tblHeader/>
        </w:trPr>
        <w:tc>
          <w:tcPr>
            <w:tcW w:type="dxa" w:w="21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Event Name</w:t>
            </w:r>
          </w:p>
        </w:tc>
        <w:tc>
          <w:tcPr>
            <w:tcW w:type="dxa" w:w="16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Emitting Engine</w:t>
            </w:r>
          </w:p>
        </w:tc>
        <w:tc>
          <w:tcPr>
            <w:tcW w:type="dxa" w:w="16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Subscribed By</w:t>
            </w:r>
          </w:p>
        </w:tc>
        <w:tc>
          <w:tcPr>
            <w:tcW w:type="dxa" w:w="23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Key Payload Fields</w:t>
            </w:r>
          </w:p>
        </w:tc>
        <w:tc>
          <w:tcPr>
            <w:tcW w:type="dxa" w:w="176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Topic</w:t>
            </w:r>
          </w:p>
        </w:tc>
      </w:tr>
      <w:tr>
        <w:tc>
          <w:tcPr>
            <w:tcW w:type="dxa" w:w="21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ImpactAssessmentCompleted</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Impact Analysis Engine</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Recommendation Engine, Coordination Engine, Reporting Engine</w:t>
            </w:r>
          </w:p>
        </w:tc>
        <w:tc>
          <w:tcPr>
            <w:tcW w:type="dxa" w:w="23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change_id, affected_entity_count, cascade_depth, total_impact_score</w:t>
            </w:r>
          </w:p>
        </w:tc>
        <w:tc>
          <w:tcPr>
            <w:tcW w:type="dxa" w:w="1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change.impact.assessed</w:t>
            </w:r>
          </w:p>
        </w:tc>
      </w:tr>
      <w:tr>
        <w:tc>
          <w:tcPr>
            <w:tcW w:type="dxa" w:w="21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CriticalPathRecomputed</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Dependency &amp; Chain Analysis Engine</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Forecasting Engine, Recommendation Engine, Executive Digital Twin</w:t>
            </w:r>
          </w:p>
        </w:tc>
        <w:tc>
          <w:tcPr>
            <w:tcW w:type="dxa" w:w="23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activity_count, critical_chain_length, total_float_days, near_critical_count</w:t>
            </w:r>
          </w:p>
        </w:tc>
        <w:tc>
          <w:tcPr>
            <w:tcW w:type="dxa" w:w="1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critical.path.recomputed</w:t>
            </w:r>
          </w:p>
        </w:tc>
      </w:tr>
      <w:tr>
        <w:tc>
          <w:tcPr>
            <w:tcW w:type="dxa" w:w="21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AlignmentGapDetected</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Organizational Alignment Engine</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Coordination Engine, Recommendation Engine, Reporting Engine</w:t>
            </w:r>
          </w:p>
        </w:tc>
        <w:tc>
          <w:tcPr>
            <w:tcW w:type="dxa" w:w="23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gap_id, stakeholder_ids, information_type, severity</w:t>
            </w:r>
          </w:p>
        </w:tc>
        <w:tc>
          <w:tcPr>
            <w:tcW w:type="dxa" w:w="1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alignment.gap.detected</w:t>
            </w:r>
          </w:p>
        </w:tc>
      </w:tr>
      <w:tr>
        <w:tc>
          <w:tcPr>
            <w:tcW w:type="dxa" w:w="21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ContradictionDetected</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Synchronization &amp; Consistency Engine</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Coordination Engine, Recommendation Engine</w:t>
            </w:r>
          </w:p>
        </w:tc>
        <w:tc>
          <w:tcPr>
            <w:tcW w:type="dxa" w:w="23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entity_pair, conflict_type, severity, resolution_recommendation</w:t>
            </w:r>
          </w:p>
        </w:tc>
        <w:tc>
          <w:tcPr>
            <w:tcW w:type="dxa" w:w="1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consistency.contradiction.detected</w:t>
            </w:r>
          </w:p>
        </w:tc>
      </w:tr>
      <w:tr>
        <w:tc>
          <w:tcPr>
            <w:tcW w:type="dxa" w:w="21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ConsistencyResolved</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Synchronization &amp; Consistency Engine</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Coordination Engine, Reporting Engine</w:t>
            </w:r>
          </w:p>
        </w:tc>
        <w:tc>
          <w:tcPr>
            <w:tcW w:type="dxa" w:w="23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conflict_id, resolution_type, resolved_by</w:t>
            </w:r>
          </w:p>
        </w:tc>
        <w:tc>
          <w:tcPr>
            <w:tcW w:type="dxa" w:w="1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consistency.contradiction.detected</w:t>
            </w:r>
          </w:p>
        </w:tc>
      </w:tr>
      <w:tr>
        <w:tc>
          <w:tcPr>
            <w:tcW w:type="dxa" w:w="21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VendorScoreComputed</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Vendor Intelligence Engine</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Forecasting Engine, Recommendation Engine, Reporting Engine</w:t>
            </w:r>
          </w:p>
        </w:tc>
        <w:tc>
          <w:tcPr>
            <w:tcW w:type="dxa" w:w="23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vendor_id, overall_score, dimension_scores_json, trend_direction</w:t>
            </w:r>
          </w:p>
        </w:tc>
        <w:tc>
          <w:tcPr>
            <w:tcW w:type="dxa" w:w="1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vendor.score.computed</w:t>
            </w:r>
          </w:p>
        </w:tc>
      </w:tr>
      <w:tr>
        <w:tc>
          <w:tcPr>
            <w:tcW w:type="dxa" w:w="21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MaterialReadinessScoreComputed</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Supply Chain Intelligence Engine</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Readiness Engine, Forecasting Engine, Recommendation Engine</w:t>
            </w:r>
          </w:p>
        </w:tc>
        <w:tc>
          <w:tcPr>
            <w:tcW w:type="dxa" w:w="23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package_id, readiness_score, critical_items_count, earliest_delivery</w:t>
            </w:r>
          </w:p>
        </w:tc>
        <w:tc>
          <w:tcPr>
            <w:tcW w:type="dxa" w:w="1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supply.chain.readiness.updated</w:t>
            </w:r>
          </w:p>
        </w:tc>
      </w:tr>
      <w:tr>
        <w:tc>
          <w:tcPr>
            <w:tcW w:type="dxa" w:w="21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RiskScoreUpdated</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Risk Engine</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Forecasting Engine, Recommendation Engine, Executive Digital Twin</w:t>
            </w:r>
          </w:p>
        </w:tc>
        <w:tc>
          <w:tcPr>
            <w:tcW w:type="dxa" w:w="23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risk_id, probability, impact, severity_score, monte_carlo_p80</w:t>
            </w:r>
          </w:p>
        </w:tc>
        <w:tc>
          <w:tcPr>
            <w:tcW w:type="dxa" w:w="1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risk.mitigation.updated</w:t>
            </w:r>
          </w:p>
        </w:tc>
      </w:tr>
      <w:tr>
        <w:tc>
          <w:tcPr>
            <w:tcW w:type="dxa" w:w="21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ForecastUpdated</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Forecasting Engine</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Executive Digital Twin, Reporting Engine, Recommendation Engine</w:t>
            </w:r>
          </w:p>
        </w:tc>
        <w:tc>
          <w:tcPr>
            <w:tcW w:type="dxa" w:w="23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forecast_domain, current_value, forecast_value, confidence_interval</w:t>
            </w:r>
          </w:p>
        </w:tc>
        <w:tc>
          <w:tcPr>
            <w:tcW w:type="dxa" w:w="1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forecast.updated</w:t>
            </w:r>
          </w:p>
        </w:tc>
      </w:tr>
      <w:tr>
        <w:tc>
          <w:tcPr>
            <w:tcW w:type="dxa" w:w="21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RecommendationsGenerated</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Recommendation Engine</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Executive Digital Twin, Coordination Engine</w:t>
            </w:r>
          </w:p>
        </w:tc>
        <w:tc>
          <w:tcPr>
            <w:tcW w:type="dxa" w:w="23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batch_id, recommendation_count, highest_priority, total_impact_score</w:t>
            </w:r>
          </w:p>
        </w:tc>
        <w:tc>
          <w:tcPr>
            <w:tcW w:type="dxa" w:w="1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recommendation.generated</w:t>
            </w:r>
          </w:p>
        </w:tc>
      </w:tr>
      <w:tr>
        <w:tc>
          <w:tcPr>
            <w:tcW w:type="dxa" w:w="21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DecisionWorkflowCompleted</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Decision Engine</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Organizational Memory Engine, Coordination Engine, Reporting Engine</w:t>
            </w:r>
          </w:p>
        </w:tc>
        <w:tc>
          <w:tcPr>
            <w:tcW w:type="dxa" w:w="23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decision_id, outcome, days_to_decide, institutional_matches</w:t>
            </w:r>
          </w:p>
        </w:tc>
        <w:tc>
          <w:tcPr>
            <w:tcW w:type="dxa" w:w="1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decision.approved</w:t>
            </w:r>
          </w:p>
        </w:tc>
      </w:tr>
      <w:tr>
        <w:tc>
          <w:tcPr>
            <w:tcW w:type="dxa" w:w="21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ReportGenerated</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Reporting Engine</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Notification system, Coordination Engine</w:t>
            </w:r>
          </w:p>
        </w:tc>
        <w:tc>
          <w:tcPr>
            <w:tcW w:type="dxa" w:w="23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report_id, report_type, period, delivery_targets</w:t>
            </w:r>
          </w:p>
        </w:tc>
        <w:tc>
          <w:tcPr>
            <w:tcW w:type="dxa" w:w="1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report.generated</w:t>
            </w:r>
          </w:p>
        </w:tc>
      </w:tr>
      <w:tr>
        <w:tc>
          <w:tcPr>
            <w:tcW w:type="dxa" w:w="21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QueryAnswered</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AI Orchestration Engine</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(caller via synchronous response)</w:t>
            </w:r>
          </w:p>
        </w:tc>
        <w:tc>
          <w:tcPr>
            <w:tcW w:type="dxa" w:w="23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query_id, engines_invoked, evidence_chain, response_tokens</w:t>
            </w:r>
          </w:p>
        </w:tc>
        <w:tc>
          <w:tcPr>
            <w:tcW w:type="dxa" w:w="1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(synchronous response only)</w:t>
            </w:r>
          </w:p>
        </w:tc>
      </w:tr>
      <w:tr>
        <w:tc>
          <w:tcPr>
            <w:tcW w:type="dxa" w:w="21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ReadinessGateScored</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Readiness Engine</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Executive Digital Twin, Coordination Engine, Forecasting Engine</w:t>
            </w:r>
          </w:p>
        </w:tc>
        <w:tc>
          <w:tcPr>
            <w:tcW w:type="dxa" w:w="23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gate_type, score, blocking_items_json, trend_vs_last_week</w:t>
            </w:r>
          </w:p>
        </w:tc>
        <w:tc>
          <w:tcPr>
            <w:tcW w:type="dxa" w:w="1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readiness.evaluated</w:t>
            </w:r>
          </w:p>
        </w:tc>
      </w:tr>
      <w:tr>
        <w:tc>
          <w:tcPr>
            <w:tcW w:type="dxa" w:w="21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SimulationResultReady</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Simulation Engine</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Recommendation Engine, Reporting Engine</w:t>
            </w:r>
          </w:p>
        </w:tc>
        <w:tc>
          <w:tcPr>
            <w:tcW w:type="dxa" w:w="23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scenario_id, schedule_delta_days, cost_delta, critical_path_changes, mitigation_options</w:t>
            </w:r>
          </w:p>
        </w:tc>
        <w:tc>
          <w:tcPr>
            <w:tcW w:type="dxa" w:w="1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simulation.completed</w:t>
            </w:r>
          </w:p>
        </w:tc>
      </w:tr>
      <w:tr>
        <w:tc>
          <w:tcPr>
            <w:tcW w:type="dxa" w:w="21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CoordinationLoopClosed</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Coordination Engine</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Organizational Memory Engine, Reporting Engine</w:t>
            </w:r>
          </w:p>
        </w:tc>
        <w:tc>
          <w:tcPr>
            <w:tcW w:type="dxa" w:w="23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coordination_id, event_to_closure_hours, closure_type, action_effectiveness</w:t>
            </w:r>
          </w:p>
        </w:tc>
        <w:tc>
          <w:tcPr>
            <w:tcW w:type="dxa" w:w="1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coordination.closed</w:t>
            </w:r>
          </w:p>
        </w:tc>
      </w:tr>
      <w:tr>
        <w:tc>
          <w:tcPr>
            <w:tcW w:type="dxa" w:w="21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PatternRecorded</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Organizational Memory Engine</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Decision Engine, Risk Engine, Simulation Engine</w:t>
            </w:r>
          </w:p>
        </w:tc>
        <w:tc>
          <w:tcPr>
            <w:tcW w:type="dxa" w:w="23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pattern_id, pattern_type, trigger_conditions, confidence_score, frequency</w:t>
            </w:r>
          </w:p>
        </w:tc>
        <w:tc>
          <w:tcPr>
            <w:tcW w:type="dxa" w:w="17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memory.pattern.recorded</w:t>
            </w:r>
          </w:p>
        </w:tc>
      </w:tr>
      <w:tr>
        <w:tc>
          <w:tcPr>
            <w:tcW w:type="dxa" w:w="21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EvidenceScoreRecomputed</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 Engine</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All engines querying entity evidence</w:t>
            </w:r>
          </w:p>
        </w:tc>
        <w:tc>
          <w:tcPr>
            <w:tcW w:type="dxa" w:w="23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entity_type, entity_id, new_score, delta, components_breakdown</w:t>
            </w:r>
          </w:p>
        </w:tc>
        <w:tc>
          <w:tcPr>
            <w:tcW w:type="dxa" w:w="17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evidence.score.computed</w:t>
            </w:r>
          </w:p>
        </w:tc>
      </w:tr>
    </w:tbl>
    <w:p>
      <w:pPr>
        <w:spacing w:after="0" w:before="120"/>
      </w:pPr>
    </w:p>
    <w:p>
      <w:pPr>
        <w:pStyle w:val="Heading3"/>
        <w:spacing w:after="80" w:before="200"/>
      </w:pPr>
      <w:r>
        <w:rPr>
          <w:rFonts w:ascii="Calibri" w:cs="Calibri" w:eastAsia="Calibri" w:hAnsi="Calibri"/>
          <w:b/>
          <w:bCs/>
          <w:color w:val="374151"/>
          <w:sz w:val="22"/>
          <w:szCs w:val="22"/>
        </w:rPr>
        <w:t xml:space="preserve">Key Subscriber Relationships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Executive Digital Twin subscribes to: CriticalPathRecomputed, RiskScoreUpdated, ForecastUpdated, RecommendationsGenerated, ReadinessGateScored. These five events drive the weekly Monday morning Command Centre refresh.</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Coordination Engine is the broadest subscriber — it listens to ImpactAssessmentCompleted, AlignmentGapDetected, ContradictionDetected, ConsistencyResolved, RecommendationsGenerated, DecisionWorkflowCompleted, and ReadinessGateScored. Every significant project intelligence event triggers a coordination follow-up.</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Organizational Memory Engine consumes DecisionWorkflowCompleted, CoordinationLoopClosed, and PatternRecorded — these are the three event types that build institutional knowledge over time.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Recommendation Engine subscribes to outputs from 8 other engines, making it the most broadly-informed subscriber in the system.</w:t>
      </w:r>
    </w:p>
    <w:p>
      <w:pPr>
        <w:spacing w:after="0" w:before="160"/>
      </w:pPr>
    </w:p>
    <w:p>
      <w:pPr>
        <w:pStyle w:val="Heading1"/>
        <w:spacing w:after="160" w:before="480"/>
      </w:pPr>
      <w:r>
        <w:rPr>
          <w:rFonts w:ascii="Calibri" w:cs="Calibri" w:eastAsia="Calibri" w:hAnsi="Calibri"/>
          <w:b/>
          <w:bCs/>
          <w:color w:val="0F4D28"/>
          <w:sz w:val="40"/>
          <w:szCs w:val="40"/>
        </w:rPr>
        <w:t xml:space="preserve">4. Pub/Sub Topics (27)</w:t>
      </w:r>
    </w:p>
    <w:p>
      <w:pPr>
        <w:spacing w:after="100" w:before="60"/>
      </w:pPr>
      <w:r>
        <w:rPr>
          <w:rFonts w:ascii="Calibri" w:cs="Calibri" w:eastAsia="Calibri" w:hAnsi="Calibri"/>
          <w:color w:val="111827"/>
          <w:sz w:val="22"/>
          <w:szCs w:val="22"/>
        </w:rPr>
        <w:t xml:space="preserve">Green PM v5 uses 27 Google Cloud Pub/Sub topics. Each topic has a corresponding Dead Letter Queue (DLQ) topic. Topics that carry high-complexity events with longer processing times use a 60-second acknowledgement deadline; all others use 30 seconds. All topics retain messages for 7 days — sufficient to replay an event stream for disaster recovery or backfill.</w:t>
      </w:r>
    </w:p>
    <w:p>
      <w:pPr>
        <w:spacing w:after="0" w:before="80"/>
      </w:pPr>
    </w:p>
    <w:p>
      <w:pPr>
        <w:spacing w:after="100" w:before="60"/>
      </w:pPr>
      <w:r>
        <w:rPr>
          <w:rFonts w:ascii="Calibri" w:cs="Calibri" w:eastAsia="Calibri" w:hAnsi="Calibri"/>
          <w:color w:val="111827"/>
          <w:sz w:val="22"/>
          <w:szCs w:val="22"/>
        </w:rPr>
        <w:t xml:space="preserve">Every topic uses push delivery to Cloud Run service endpoints. Subscriptions are per-engine and are named using the convention: {topic}.{engine-short-name}.sub. Message ordering is not enabled — engines are stateless and idempotent per Section 5.</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900"/>
        <w:gridCol w:w="1600"/>
        <w:gridCol w:w="1700"/>
        <w:gridCol w:w="2460"/>
      </w:tblGrid>
      <w:tr>
        <w:trPr>
          <w:tblHeader/>
        </w:trPr>
        <w:tc>
          <w:tcPr>
            <w:tcW w:type="dxa" w:w="19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Topic Name</w:t>
            </w:r>
          </w:p>
        </w:tc>
        <w:tc>
          <w:tcPr>
            <w:tcW w:type="dxa" w:w="8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Retention</w:t>
            </w:r>
          </w:p>
        </w:tc>
        <w:tc>
          <w:tcPr>
            <w:tcW w:type="dxa" w:w="9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Ack Deadline</w:t>
            </w:r>
          </w:p>
        </w:tc>
        <w:tc>
          <w:tcPr>
            <w:tcW w:type="dxa" w:w="16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DLQ Topic</w:t>
            </w:r>
          </w:p>
        </w:tc>
        <w:tc>
          <w:tcPr>
            <w:tcW w:type="dxa" w:w="170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Primary Publishers</w:t>
            </w:r>
          </w:p>
        </w:tc>
        <w:tc>
          <w:tcPr>
            <w:tcW w:type="dxa" w:w="2460"/>
            <w:tcBorders>
              <w:top w:val="none"/>
              <w:left w:val="none"/>
              <w:bottom w:val="none"/>
              <w:right w:val="none"/>
            </w:tcBorders>
            <w:shd w:fill="0F4D28" w:val="clear"/>
            <w:tcMar>
              <w:top w:type="dxa" w:w="100"/>
              <w:left w:type="dxa" w:w="140"/>
              <w:bottom w:type="dxa" w:w="100"/>
              <w:right w:type="dxa" w:w="140"/>
            </w:tcMar>
          </w:tcPr>
          <w:p>
            <w:r>
              <w:rPr>
                <w:rFonts w:ascii="Calibri" w:cs="Calibri" w:eastAsia="Calibri" w:hAnsi="Calibri"/>
                <w:b/>
                <w:bCs/>
                <w:color w:val="FFFFFF"/>
                <w:sz w:val="18"/>
                <w:szCs w:val="18"/>
              </w:rPr>
              <w:t xml:space="preserve">Primary Subscribers</w:t>
            </w:r>
          </w:p>
        </w:tc>
      </w:tr>
      <w:tr>
        <w:tc>
          <w:tcPr>
            <w:tcW w:type="dxa" w:w="1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evidence.captured</w:t>
            </w:r>
          </w:p>
        </w:tc>
        <w:tc>
          <w:tcPr>
            <w:tcW w:type="dxa" w:w="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30s</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evidence.captured.dlq</w:t>
            </w:r>
          </w:p>
        </w:tc>
        <w:tc>
          <w:tcPr>
            <w:tcW w:type="dxa" w:w="1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Evidence Engine</w:t>
            </w:r>
          </w:p>
        </w:tc>
        <w:tc>
          <w:tcPr>
            <w:tcW w:type="dxa" w:w="24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Impact Engine, Sync Engine, Evidence Engine (score compute)</w:t>
            </w:r>
          </w:p>
        </w:tc>
      </w:tr>
      <w:tr>
        <w:tc>
          <w:tcPr>
            <w:tcW w:type="dxa" w:w="1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evidence.score.computed</w:t>
            </w:r>
          </w:p>
        </w:tc>
        <w:tc>
          <w:tcPr>
            <w:tcW w:type="dxa" w:w="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30s</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evidence.score.computed.dlq</w:t>
            </w:r>
          </w:p>
        </w:tc>
        <w:tc>
          <w:tcPr>
            <w:tcW w:type="dxa" w:w="1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Evidence Engine</w:t>
            </w:r>
          </w:p>
        </w:tc>
        <w:tc>
          <w:tcPr>
            <w:tcW w:type="dxa" w:w="24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Forecasting Engine, Recommendation Engine, Executive Digital Twin</w:t>
            </w:r>
          </w:p>
        </w:tc>
      </w:tr>
      <w:tr>
        <w:tc>
          <w:tcPr>
            <w:tcW w:type="dxa" w:w="1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activity.updated</w:t>
            </w:r>
          </w:p>
        </w:tc>
        <w:tc>
          <w:tcPr>
            <w:tcW w:type="dxa" w:w="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30s</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activity.updated.dlq</w:t>
            </w:r>
          </w:p>
        </w:tc>
        <w:tc>
          <w:tcPr>
            <w:tcW w:type="dxa" w:w="1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Schedule Ingest, CPM trigger</w:t>
            </w:r>
          </w:p>
        </w:tc>
        <w:tc>
          <w:tcPr>
            <w:tcW w:type="dxa" w:w="24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Dependency Engine, Impact Engine, Readiness Engine</w:t>
            </w:r>
          </w:p>
        </w:tc>
      </w:tr>
      <w:tr>
        <w:tc>
          <w:tcPr>
            <w:tcW w:type="dxa" w:w="1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drawing.issued</w:t>
            </w:r>
          </w:p>
        </w:tc>
        <w:tc>
          <w:tcPr>
            <w:tcW w:type="dxa" w:w="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30s</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drawing.issued.dlq</w:t>
            </w:r>
          </w:p>
        </w:tc>
        <w:tc>
          <w:tcPr>
            <w:tcW w:type="dxa" w:w="1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Drawing Service</w:t>
            </w:r>
          </w:p>
        </w:tc>
        <w:tc>
          <w:tcPr>
            <w:tcW w:type="dxa" w:w="24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Sync Engine, Impact Engine, Coordination Engine</w:t>
            </w:r>
          </w:p>
        </w:tc>
      </w:tr>
      <w:tr>
        <w:tc>
          <w:tcPr>
            <w:tcW w:type="dxa" w:w="1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change.initiated</w:t>
            </w:r>
          </w:p>
        </w:tc>
        <w:tc>
          <w:tcPr>
            <w:tcW w:type="dxa" w:w="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60s</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change.initiated.dlq</w:t>
            </w:r>
          </w:p>
        </w:tc>
        <w:tc>
          <w:tcPr>
            <w:tcW w:type="dxa" w:w="1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Change Service</w:t>
            </w:r>
          </w:p>
        </w:tc>
        <w:tc>
          <w:tcPr>
            <w:tcW w:type="dxa" w:w="24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Impact Engine, Coordination Engine</w:t>
            </w:r>
          </w:p>
        </w:tc>
      </w:tr>
      <w:tr>
        <w:tc>
          <w:tcPr>
            <w:tcW w:type="dxa" w:w="1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change.impact.assessed</w:t>
            </w:r>
          </w:p>
        </w:tc>
        <w:tc>
          <w:tcPr>
            <w:tcW w:type="dxa" w:w="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30s</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change.impact.assessed.dlq</w:t>
            </w:r>
          </w:p>
        </w:tc>
        <w:tc>
          <w:tcPr>
            <w:tcW w:type="dxa" w:w="1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Impact Engine</w:t>
            </w:r>
          </w:p>
        </w:tc>
        <w:tc>
          <w:tcPr>
            <w:tcW w:type="dxa" w:w="24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Recommendation Engine, Coordination Engine, Reporting Engine</w:t>
            </w:r>
          </w:p>
        </w:tc>
      </w:tr>
      <w:tr>
        <w:tc>
          <w:tcPr>
            <w:tcW w:type="dxa" w:w="1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change.approved</w:t>
            </w:r>
          </w:p>
        </w:tc>
        <w:tc>
          <w:tcPr>
            <w:tcW w:type="dxa" w:w="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30s</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change.approved.dlq</w:t>
            </w:r>
          </w:p>
        </w:tc>
        <w:tc>
          <w:tcPr>
            <w:tcW w:type="dxa" w:w="1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Decision/Change Service</w:t>
            </w:r>
          </w:p>
        </w:tc>
        <w:tc>
          <w:tcPr>
            <w:tcW w:type="dxa" w:w="24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Coordination Engine, Organizational Memory Engine</w:t>
            </w:r>
          </w:p>
        </w:tc>
      </w:tr>
      <w:tr>
        <w:tc>
          <w:tcPr>
            <w:tcW w:type="dxa" w:w="1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equipment.dispatched</w:t>
            </w:r>
          </w:p>
        </w:tc>
        <w:tc>
          <w:tcPr>
            <w:tcW w:type="dxa" w:w="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30s</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equipment.dispatched.dlq</w:t>
            </w:r>
          </w:p>
        </w:tc>
        <w:tc>
          <w:tcPr>
            <w:tcW w:type="dxa" w:w="1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Supply Chain Service</w:t>
            </w:r>
          </w:p>
        </w:tc>
        <w:tc>
          <w:tcPr>
            <w:tcW w:type="dxa" w:w="24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Supply Chain Engine, Readiness Engine</w:t>
            </w:r>
          </w:p>
        </w:tc>
      </w:tr>
      <w:tr>
        <w:tc>
          <w:tcPr>
            <w:tcW w:type="dxa" w:w="1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equipment.received</w:t>
            </w:r>
          </w:p>
        </w:tc>
        <w:tc>
          <w:tcPr>
            <w:tcW w:type="dxa" w:w="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30s</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equipment.received.dlq</w:t>
            </w:r>
          </w:p>
        </w:tc>
        <w:tc>
          <w:tcPr>
            <w:tcW w:type="dxa" w:w="1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Supply Chain Service</w:t>
            </w:r>
          </w:p>
        </w:tc>
        <w:tc>
          <w:tcPr>
            <w:tcW w:type="dxa" w:w="24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Readiness Engine, Coordination Engine</w:t>
            </w:r>
          </w:p>
        </w:tc>
      </w:tr>
      <w:tr>
        <w:tc>
          <w:tcPr>
            <w:tcW w:type="dxa" w:w="1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dispatch.stage.updated</w:t>
            </w:r>
          </w:p>
        </w:tc>
        <w:tc>
          <w:tcPr>
            <w:tcW w:type="dxa" w:w="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30s</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dispatch.stage.updated.dlq</w:t>
            </w:r>
          </w:p>
        </w:tc>
        <w:tc>
          <w:tcPr>
            <w:tcW w:type="dxa" w:w="1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Supply Chain Service</w:t>
            </w:r>
          </w:p>
        </w:tc>
        <w:tc>
          <w:tcPr>
            <w:tcW w:type="dxa" w:w="24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Supply Chain Engine, Forecasting Engine</w:t>
            </w:r>
          </w:p>
        </w:tc>
      </w:tr>
      <w:tr>
        <w:tc>
          <w:tcPr>
            <w:tcW w:type="dxa" w:w="1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vendor.score.computed</w:t>
            </w:r>
          </w:p>
        </w:tc>
        <w:tc>
          <w:tcPr>
            <w:tcW w:type="dxa" w:w="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30s</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vendor.score.computed.dlq</w:t>
            </w:r>
          </w:p>
        </w:tc>
        <w:tc>
          <w:tcPr>
            <w:tcW w:type="dxa" w:w="1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Vendor Engine</w:t>
            </w:r>
          </w:p>
        </w:tc>
        <w:tc>
          <w:tcPr>
            <w:tcW w:type="dxa" w:w="24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Forecasting Engine, Recommendation Engine, Reporting Engine</w:t>
            </w:r>
          </w:p>
        </w:tc>
      </w:tr>
      <w:tr>
        <w:tc>
          <w:tcPr>
            <w:tcW w:type="dxa" w:w="1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risk.identified</w:t>
            </w:r>
          </w:p>
        </w:tc>
        <w:tc>
          <w:tcPr>
            <w:tcW w:type="dxa" w:w="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30s</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risk.identified.dlq</w:t>
            </w:r>
          </w:p>
        </w:tc>
        <w:tc>
          <w:tcPr>
            <w:tcW w:type="dxa" w:w="1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Risk Engine</w:t>
            </w:r>
          </w:p>
        </w:tc>
        <w:tc>
          <w:tcPr>
            <w:tcW w:type="dxa" w:w="24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Impact Engine, Forecasting Engine, Coordination Engine</w:t>
            </w:r>
          </w:p>
        </w:tc>
      </w:tr>
      <w:tr>
        <w:tc>
          <w:tcPr>
            <w:tcW w:type="dxa" w:w="1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risk.mitigation.updated</w:t>
            </w:r>
          </w:p>
        </w:tc>
        <w:tc>
          <w:tcPr>
            <w:tcW w:type="dxa" w:w="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30s</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risk.mitigation.updated.dlq</w:t>
            </w:r>
          </w:p>
        </w:tc>
        <w:tc>
          <w:tcPr>
            <w:tcW w:type="dxa" w:w="1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Risk Engine</w:t>
            </w:r>
          </w:p>
        </w:tc>
        <w:tc>
          <w:tcPr>
            <w:tcW w:type="dxa" w:w="24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Forecasting Engine, Recommendation Engine</w:t>
            </w:r>
          </w:p>
        </w:tc>
      </w:tr>
      <w:tr>
        <w:tc>
          <w:tcPr>
            <w:tcW w:type="dxa" w:w="1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forecast.updated</w:t>
            </w:r>
          </w:p>
        </w:tc>
        <w:tc>
          <w:tcPr>
            <w:tcW w:type="dxa" w:w="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30s</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forecast.updated.dlq</w:t>
            </w:r>
          </w:p>
        </w:tc>
        <w:tc>
          <w:tcPr>
            <w:tcW w:type="dxa" w:w="1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Forecasting Engine</w:t>
            </w:r>
          </w:p>
        </w:tc>
        <w:tc>
          <w:tcPr>
            <w:tcW w:type="dxa" w:w="24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Executive Digital Twin, Reporting Engine</w:t>
            </w:r>
          </w:p>
        </w:tc>
      </w:tr>
      <w:tr>
        <w:tc>
          <w:tcPr>
            <w:tcW w:type="dxa" w:w="1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recommendation.generated</w:t>
            </w:r>
          </w:p>
        </w:tc>
        <w:tc>
          <w:tcPr>
            <w:tcW w:type="dxa" w:w="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30s</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recommendation.generated.dlq</w:t>
            </w:r>
          </w:p>
        </w:tc>
        <w:tc>
          <w:tcPr>
            <w:tcW w:type="dxa" w:w="1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Recommendation Engine</w:t>
            </w:r>
          </w:p>
        </w:tc>
        <w:tc>
          <w:tcPr>
            <w:tcW w:type="dxa" w:w="24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Executive Digital Twin, Coordination Engine</w:t>
            </w:r>
          </w:p>
        </w:tc>
      </w:tr>
      <w:tr>
        <w:tc>
          <w:tcPr>
            <w:tcW w:type="dxa" w:w="1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decision.recorded</w:t>
            </w:r>
          </w:p>
        </w:tc>
        <w:tc>
          <w:tcPr>
            <w:tcW w:type="dxa" w:w="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30s</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decision.recorded.dlq</w:t>
            </w:r>
          </w:p>
        </w:tc>
        <w:tc>
          <w:tcPr>
            <w:tcW w:type="dxa" w:w="1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Decision Engine</w:t>
            </w:r>
          </w:p>
        </w:tc>
        <w:tc>
          <w:tcPr>
            <w:tcW w:type="dxa" w:w="24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Impact Engine, Coordination Engine</w:t>
            </w:r>
          </w:p>
        </w:tc>
      </w:tr>
      <w:tr>
        <w:tc>
          <w:tcPr>
            <w:tcW w:type="dxa" w:w="1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decision.approved</w:t>
            </w:r>
          </w:p>
        </w:tc>
        <w:tc>
          <w:tcPr>
            <w:tcW w:type="dxa" w:w="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30s</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decision.approved.dlq</w:t>
            </w:r>
          </w:p>
        </w:tc>
        <w:tc>
          <w:tcPr>
            <w:tcW w:type="dxa" w:w="1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Decision Engine</w:t>
            </w:r>
          </w:p>
        </w:tc>
        <w:tc>
          <w:tcPr>
            <w:tcW w:type="dxa" w:w="24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Organizational Memory Engine, Coordination Engine, Reporting Engine</w:t>
            </w:r>
          </w:p>
        </w:tc>
      </w:tr>
      <w:tr>
        <w:tc>
          <w:tcPr>
            <w:tcW w:type="dxa" w:w="1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report.generated</w:t>
            </w:r>
          </w:p>
        </w:tc>
        <w:tc>
          <w:tcPr>
            <w:tcW w:type="dxa" w:w="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30s</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report.generated.dlq</w:t>
            </w:r>
          </w:p>
        </w:tc>
        <w:tc>
          <w:tcPr>
            <w:tcW w:type="dxa" w:w="1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Reporting Engine</w:t>
            </w:r>
          </w:p>
        </w:tc>
        <w:tc>
          <w:tcPr>
            <w:tcW w:type="dxa" w:w="24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Notification Service</w:t>
            </w:r>
          </w:p>
        </w:tc>
      </w:tr>
      <w:tr>
        <w:tc>
          <w:tcPr>
            <w:tcW w:type="dxa" w:w="1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alignment.gap.detected</w:t>
            </w:r>
          </w:p>
        </w:tc>
        <w:tc>
          <w:tcPr>
            <w:tcW w:type="dxa" w:w="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30s</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alignment.gap.detected.dlq</w:t>
            </w:r>
          </w:p>
        </w:tc>
        <w:tc>
          <w:tcPr>
            <w:tcW w:type="dxa" w:w="1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Org Alignment Engine</w:t>
            </w:r>
          </w:p>
        </w:tc>
        <w:tc>
          <w:tcPr>
            <w:tcW w:type="dxa" w:w="24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Coordination Engine, Recommendation Engine</w:t>
            </w:r>
          </w:p>
        </w:tc>
      </w:tr>
      <w:tr>
        <w:tc>
          <w:tcPr>
            <w:tcW w:type="dxa" w:w="1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consistency.contradiction.detected</w:t>
            </w:r>
          </w:p>
        </w:tc>
        <w:tc>
          <w:tcPr>
            <w:tcW w:type="dxa" w:w="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60s</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consistency.contradiction.detected.dlq</w:t>
            </w:r>
          </w:p>
        </w:tc>
        <w:tc>
          <w:tcPr>
            <w:tcW w:type="dxa" w:w="1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Sync &amp; Consistency Engine</w:t>
            </w:r>
          </w:p>
        </w:tc>
        <w:tc>
          <w:tcPr>
            <w:tcW w:type="dxa" w:w="24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Coordination Engine, Recommendation Engine</w:t>
            </w:r>
          </w:p>
        </w:tc>
      </w:tr>
      <w:tr>
        <w:tc>
          <w:tcPr>
            <w:tcW w:type="dxa" w:w="1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critical.path.recomputed</w:t>
            </w:r>
          </w:p>
        </w:tc>
        <w:tc>
          <w:tcPr>
            <w:tcW w:type="dxa" w:w="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30s</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critical.path.recomputed.dlq</w:t>
            </w:r>
          </w:p>
        </w:tc>
        <w:tc>
          <w:tcPr>
            <w:tcW w:type="dxa" w:w="1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Dependency Engine</w:t>
            </w:r>
          </w:p>
        </w:tc>
        <w:tc>
          <w:tcPr>
            <w:tcW w:type="dxa" w:w="24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Forecasting Engine, Recommendation Engine</w:t>
            </w:r>
          </w:p>
        </w:tc>
      </w:tr>
      <w:tr>
        <w:tc>
          <w:tcPr>
            <w:tcW w:type="dxa" w:w="1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supply.chain.readiness.updated</w:t>
            </w:r>
          </w:p>
        </w:tc>
        <w:tc>
          <w:tcPr>
            <w:tcW w:type="dxa" w:w="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30s</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supply.chain.readiness.updated.dlq</w:t>
            </w:r>
          </w:p>
        </w:tc>
        <w:tc>
          <w:tcPr>
            <w:tcW w:type="dxa" w:w="1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Supply Chain Engine</w:t>
            </w:r>
          </w:p>
        </w:tc>
        <w:tc>
          <w:tcPr>
            <w:tcW w:type="dxa" w:w="24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Readiness Engine, Forecasting Engine</w:t>
            </w:r>
          </w:p>
        </w:tc>
      </w:tr>
      <w:tr>
        <w:tc>
          <w:tcPr>
            <w:tcW w:type="dxa" w:w="1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memory.pattern.recorded</w:t>
            </w:r>
          </w:p>
        </w:tc>
        <w:tc>
          <w:tcPr>
            <w:tcW w:type="dxa" w:w="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30s</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memory.pattern.recorded.dlq</w:t>
            </w:r>
          </w:p>
        </w:tc>
        <w:tc>
          <w:tcPr>
            <w:tcW w:type="dxa" w:w="1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Org Memory Engine</w:t>
            </w:r>
          </w:p>
        </w:tc>
        <w:tc>
          <w:tcPr>
            <w:tcW w:type="dxa" w:w="24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Decision Engine, Risk Engine, Simulation Engine</w:t>
            </w:r>
          </w:p>
        </w:tc>
      </w:tr>
      <w:tr>
        <w:tc>
          <w:tcPr>
            <w:tcW w:type="dxa" w:w="1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coordination.created</w:t>
            </w:r>
          </w:p>
        </w:tc>
        <w:tc>
          <w:tcPr>
            <w:tcW w:type="dxa" w:w="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30s</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coordination.created.dlq</w:t>
            </w:r>
          </w:p>
        </w:tc>
        <w:tc>
          <w:tcPr>
            <w:tcW w:type="dxa" w:w="1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Coordination Engine</w:t>
            </w:r>
          </w:p>
        </w:tc>
        <w:tc>
          <w:tcPr>
            <w:tcW w:type="dxa" w:w="24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Org Alignment Engine, Notification Service</w:t>
            </w:r>
          </w:p>
        </w:tc>
      </w:tr>
      <w:tr>
        <w:tc>
          <w:tcPr>
            <w:tcW w:type="dxa" w:w="1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coordination.closed</w:t>
            </w:r>
          </w:p>
        </w:tc>
        <w:tc>
          <w:tcPr>
            <w:tcW w:type="dxa" w:w="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30s</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coordination.closed.dlq</w:t>
            </w:r>
          </w:p>
        </w:tc>
        <w:tc>
          <w:tcPr>
            <w:tcW w:type="dxa" w:w="1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Coordination Engine</w:t>
            </w:r>
          </w:p>
        </w:tc>
        <w:tc>
          <w:tcPr>
            <w:tcW w:type="dxa" w:w="24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Org Memory Engine, Reporting Engine</w:t>
            </w:r>
          </w:p>
        </w:tc>
      </w:tr>
      <w:tr>
        <w:tc>
          <w:tcPr>
            <w:tcW w:type="dxa" w:w="1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readiness.evaluated</w:t>
            </w:r>
          </w:p>
        </w:tc>
        <w:tc>
          <w:tcPr>
            <w:tcW w:type="dxa" w:w="8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30s</w:t>
            </w:r>
          </w:p>
        </w:tc>
        <w:tc>
          <w:tcPr>
            <w:tcW w:type="dxa" w:w="16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readiness.evaluated.dlq</w:t>
            </w:r>
          </w:p>
        </w:tc>
        <w:tc>
          <w:tcPr>
            <w:tcW w:type="dxa" w:w="1700"/>
            <w:tcBorders>
              <w:top w:val="none"/>
              <w:left w:val="none"/>
              <w:bottom w:val="single" w:color="E5E7EB" w:sz="2"/>
              <w:right w:val="single" w:color="E5E7EB" w:sz="2"/>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Readiness Engine</w:t>
            </w:r>
          </w:p>
        </w:tc>
        <w:tc>
          <w:tcPr>
            <w:tcW w:type="dxa" w:w="2460"/>
            <w:tcBorders>
              <w:top w:val="none"/>
              <w:left w:val="none"/>
              <w:bottom w:val="single" w:color="E5E7EB" w:sz="2"/>
              <w:right w:val="none"/>
            </w:tcBorders>
            <w:shd w:fill="FFFFFF" w:val="clear"/>
            <w:tcMar>
              <w:top w:type="dxa" w:w="100"/>
              <w:left w:type="dxa" w:w="140"/>
              <w:bottom w:type="dxa" w:w="100"/>
              <w:right w:type="dxa" w:w="140"/>
            </w:tcMar>
          </w:tcPr>
          <w:p>
            <w:r>
              <w:rPr>
                <w:rFonts w:ascii="Calibri" w:cs="Calibri" w:eastAsia="Calibri" w:hAnsi="Calibri"/>
                <w:color w:val="111827"/>
                <w:sz w:val="19"/>
                <w:szCs w:val="19"/>
              </w:rPr>
              <w:t xml:space="preserve">Executive Digital Twin, Forecasting Engine, Coordination Engine</w:t>
            </w:r>
          </w:p>
        </w:tc>
      </w:tr>
      <w:tr>
        <w:tc>
          <w:tcPr>
            <w:tcW w:type="dxa" w:w="1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simulation.completed</w:t>
            </w:r>
          </w:p>
        </w:tc>
        <w:tc>
          <w:tcPr>
            <w:tcW w:type="dxa" w:w="8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7d</w:t>
            </w:r>
          </w:p>
        </w:tc>
        <w:tc>
          <w:tcPr>
            <w:tcW w:type="dxa" w:w="9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60s</w:t>
            </w:r>
          </w:p>
        </w:tc>
        <w:tc>
          <w:tcPr>
            <w:tcW w:type="dxa" w:w="16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simulation.completed.dlq</w:t>
            </w:r>
          </w:p>
        </w:tc>
        <w:tc>
          <w:tcPr>
            <w:tcW w:type="dxa" w:w="1700"/>
            <w:tcBorders>
              <w:top w:val="none"/>
              <w:left w:val="none"/>
              <w:bottom w:val="single" w:color="E5E7EB" w:sz="2"/>
              <w:right w:val="single" w:color="E5E7EB" w:sz="2"/>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Simulation Engine</w:t>
            </w:r>
          </w:p>
        </w:tc>
        <w:tc>
          <w:tcPr>
            <w:tcW w:type="dxa" w:w="2460"/>
            <w:tcBorders>
              <w:top w:val="none"/>
              <w:left w:val="none"/>
              <w:bottom w:val="single" w:color="E5E7EB" w:sz="2"/>
              <w:right w:val="none"/>
            </w:tcBorders>
            <w:shd w:fill="F8F9FA" w:val="clear"/>
            <w:tcMar>
              <w:top w:type="dxa" w:w="100"/>
              <w:left w:type="dxa" w:w="140"/>
              <w:bottom w:type="dxa" w:w="100"/>
              <w:right w:type="dxa" w:w="140"/>
            </w:tcMar>
          </w:tcPr>
          <w:p>
            <w:r>
              <w:rPr>
                <w:rFonts w:ascii="Calibri" w:cs="Calibri" w:eastAsia="Calibri" w:hAnsi="Calibri"/>
                <w:color w:val="111827"/>
                <w:sz w:val="19"/>
                <w:szCs w:val="19"/>
              </w:rPr>
              <w:t xml:space="preserve">Recommendation Engine, Reporting Engine</w:t>
            </w:r>
          </w:p>
        </w:tc>
      </w:tr>
    </w:tbl>
    <w:p>
      <w:pPr>
        <w:spacing w:after="0" w:before="120"/>
      </w:pPr>
    </w:p>
    <w:p>
      <w:pPr>
        <w:pStyle w:val="Heading3"/>
        <w:spacing w:after="80" w:before="200"/>
      </w:pPr>
      <w:r>
        <w:rPr>
          <w:rFonts w:ascii="Calibri" w:cs="Calibri" w:eastAsia="Calibri" w:hAnsi="Calibri"/>
          <w:b/>
          <w:bCs/>
          <w:color w:val="374151"/>
          <w:sz w:val="22"/>
          <w:szCs w:val="22"/>
        </w:rPr>
        <w:t xml:space="preserve">Topic Configuration Notes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Topics with 60-second ack deadline: change.initiated, consistency.contradiction.detected, simulation.completed — these trigger computationally intensive processing in the subscriber engine.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All DLQ topics follow the naming convention: {original-topic}.dlq. DLQ topics retain messages for 14 days to allow manual inspection and replay.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Topics shared by multiple event types (e.g., change.approved carries both ChangeApproved and ChangeRejected): subscribers must filter on event_type in the envelope; Pub/Sub filtering is not used to avoid coupling topic config to event logic.</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critical.path.recomputed is a new v5 topic introduced for the Dependency &amp; Chain Analysis Engine, which was promoted to publish its own output event rather than writing directly to Forecasting Engine.</w:t>
      </w:r>
    </w:p>
    <w:p>
      <w:pPr>
        <w:spacing w:after="0" w:before="160"/>
      </w:pPr>
    </w:p>
    <w:p>
      <w:pPr>
        <w:pStyle w:val="Heading1"/>
        <w:spacing w:after="160" w:before="480"/>
      </w:pPr>
      <w:r>
        <w:rPr>
          <w:rFonts w:ascii="Calibri" w:cs="Calibri" w:eastAsia="Calibri" w:hAnsi="Calibri"/>
          <w:b/>
          <w:bCs/>
          <w:color w:val="0F4D28"/>
          <w:sz w:val="40"/>
          <w:szCs w:val="40"/>
        </w:rPr>
        <w:t xml:space="preserve">5. Idempotency and Retry Strategy</w:t>
      </w:r>
    </w:p>
    <w:p>
      <w:pPr>
        <w:spacing w:after="100" w:before="60"/>
      </w:pPr>
      <w:r>
        <w:rPr>
          <w:rFonts w:ascii="Calibri" w:cs="Calibri" w:eastAsia="Calibri" w:hAnsi="Calibri"/>
          <w:color w:val="111827"/>
          <w:sz w:val="22"/>
          <w:szCs w:val="22"/>
        </w:rPr>
        <w:t xml:space="preserve">Pub/Sub guarantees at-least-once delivery. Duplicate delivery is a known, expected condition — not a failure mode. Every subscriber in Green PM v5 implements idempotency to prevent double-processing. The strategy is uniform across all 17 engine subscribers.</w:t>
      </w:r>
    </w:p>
    <w:p>
      <w:pPr>
        <w:spacing w:after="0" w:before="80"/>
      </w:pPr>
    </w:p>
    <w:p>
      <w:pPr>
        <w:pStyle w:val="Heading2"/>
        <w:spacing w:after="120" w:before="320"/>
      </w:pPr>
      <w:r>
        <w:rPr>
          <w:rFonts w:ascii="Calibri" w:cs="Calibri" w:eastAsia="Calibri" w:hAnsi="Calibri"/>
          <w:b/>
          <w:bCs/>
          <w:color w:val="1A6B3A"/>
          <w:sz w:val="26"/>
          <w:szCs w:val="26"/>
        </w:rPr>
        <w:t xml:space="preserve">5.1 Idempotency Key Check</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Every subscriber checks the idempotency_keys table before processing any event.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Key format: {topic_name}::{event_id} — globally unique across the system.</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If the key exists in the table, the event has already been processed. The subscriber acknowledges the message without reprocessing and returns 200 OK to Pub/Sub.</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If the key does not exist, the subscriber processes the event and writes the key to idempotency_keys as the final step in the processing transaction.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Key TTL: 24 hours. Keys older than 24 hours are pruned by a scheduled Cloud Run job. Events older than 24 hours cannot be duplicates — Pub/Sub acknowledges within the ack deadline window.</w:t>
      </w:r>
    </w:p>
    <w:p>
      <w:pPr>
        <w:spacing w:after="0" w:before="80"/>
      </w:pPr>
    </w:p>
    <w:p>
      <w:pPr>
        <w:pStyle w:val="Heading2"/>
        <w:spacing w:after="120" w:before="320"/>
      </w:pPr>
      <w:r>
        <w:rPr>
          <w:rFonts w:ascii="Calibri" w:cs="Calibri" w:eastAsia="Calibri" w:hAnsi="Calibri"/>
          <w:b/>
          <w:bCs/>
          <w:color w:val="1A6B3A"/>
          <w:sz w:val="26"/>
          <w:szCs w:val="26"/>
        </w:rPr>
        <w:t xml:space="preserve">5.2 Retry Backoff</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Maximum delivery attempts before dead-lettering: 3 attempts.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Retry backoff schedule: 1 second → 2 seconds → 4 seconds (exponential doubling).</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After 3 failed attempts, the message is forwarded to the corresponding DLQ topic.</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DLQ messages are retained for 14 days to allow engineering investigation and manual replay.</w:t>
      </w:r>
    </w:p>
    <w:p>
      <w:pPr>
        <w:spacing w:after="0" w:before="80"/>
      </w:pPr>
    </w:p>
    <w:p>
      <w:pPr>
        <w:pStyle w:val="Heading2"/>
        <w:spacing w:after="120" w:before="320"/>
      </w:pPr>
      <w:r>
        <w:rPr>
          <w:rFonts w:ascii="Calibri" w:cs="Calibri" w:eastAsia="Calibri" w:hAnsi="Calibri"/>
          <w:b/>
          <w:bCs/>
          <w:color w:val="1A6B3A"/>
          <w:sz w:val="26"/>
          <w:szCs w:val="26"/>
        </w:rPr>
        <w:t xml:space="preserve">5.3 DLQ Alerting</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DLQ depth is monitored via Cloud Monitoring with a PagerDuty webhook alert.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Alert threshold: DLQ message count &gt; 10 triggers a P2 alert to the on-call engineer.</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DLQ depth is tracked as a system health KPI in the Green PM internal dashboard.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Manual replay from DLQ is performed using the gcloud pubsub subscriptions seek command after the underlying issue is resolved.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B45309" w:sz="20"/>
              <w:bottom w:val="none"/>
              <w:right w:val="none"/>
            </w:tcBorders>
            <w:shd w:fill="FFFBEB" w:val="clear"/>
            <w:tcMar>
              <w:top w:type="dxa" w:w="160"/>
              <w:left w:type="dxa" w:w="240"/>
              <w:bottom w:type="dxa" w:w="160"/>
              <w:right w:type="dxa" w:w="240"/>
            </w:tcMar>
          </w:tcPr>
          <w:p>
            <w:pPr>
              <w:spacing w:after="20" w:before="60"/>
            </w:pPr>
            <w:r>
              <w:rPr>
                <w:rFonts w:ascii="Calibri" w:cs="Calibri" w:eastAsia="Calibri" w:hAnsi="Calibri"/>
                <w:b/>
                <w:bCs/>
                <w:color w:val="B45309"/>
                <w:sz w:val="21"/>
                <w:szCs w:val="21"/>
              </w:rPr>
              <w:t xml:space="preserve">Idempotency Rule</w:t>
            </w:r>
          </w:p>
          <w:p>
            <w:pPr>
              <w:spacing w:after="20" w:before="0"/>
            </w:pPr>
            <w:r>
              <w:rPr>
                <w:rFonts w:ascii="Calibri" w:cs="Calibri" w:eastAsia="Calibri" w:hAnsi="Calibri"/>
                <w:color w:val="374151"/>
                <w:sz w:val="20"/>
                <w:szCs w:val="20"/>
              </w:rPr>
              <w:t xml:space="preserve">Processing an event must always be safe to attempt multiple times. If an engine's logic is not idempotent — i.e., running it twice produces a different outcome — the design is wrong. Fix the engine logic, not the retry strategy.</w:t>
            </w:r>
          </w:p>
        </w:tc>
      </w:tr>
    </w:tbl>
    <w:p>
      <w:pPr>
        <w:spacing w:after="0" w:before="160"/>
      </w:pPr>
    </w:p>
    <w:p>
      <w:pPr>
        <w:pStyle w:val="Heading1"/>
        <w:spacing w:after="160" w:before="480"/>
      </w:pPr>
      <w:r>
        <w:rPr>
          <w:rFonts w:ascii="Calibri" w:cs="Calibri" w:eastAsia="Calibri" w:hAnsi="Calibri"/>
          <w:b/>
          <w:bCs/>
          <w:color w:val="0F4D28"/>
          <w:sz w:val="40"/>
          <w:szCs w:val="40"/>
        </w:rPr>
        <w:t xml:space="preserve">6. Event Versioning</w:t>
      </w:r>
    </w:p>
    <w:p>
      <w:pPr>
        <w:spacing w:after="100" w:before="60"/>
      </w:pPr>
      <w:r>
        <w:rPr>
          <w:rFonts w:ascii="Calibri" w:cs="Calibri" w:eastAsia="Calibri" w:hAnsi="Calibri"/>
          <w:color w:val="111827"/>
          <w:sz w:val="22"/>
          <w:szCs w:val="22"/>
        </w:rPr>
        <w:t xml:space="preserve">All events carry a schema_version field in their envelope using Semantic Versioning (SemVer, e.g., "2.0.0"). Green PM v5 launches with schema_version 2.0.0 across all events. Version governance ensures that engine subscribers can safely evolve independently.</w:t>
      </w:r>
    </w:p>
    <w:p>
      <w:pPr>
        <w:spacing w:after="0" w:before="80"/>
      </w:pPr>
    </w:p>
    <w:p>
      <w:pPr>
        <w:pStyle w:val="Heading2"/>
        <w:spacing w:after="120" w:before="320"/>
      </w:pPr>
      <w:r>
        <w:rPr>
          <w:rFonts w:ascii="Calibri" w:cs="Calibri" w:eastAsia="Calibri" w:hAnsi="Calibri"/>
          <w:b/>
          <w:bCs/>
          <w:color w:val="1A6B3A"/>
          <w:sz w:val="26"/>
          <w:szCs w:val="26"/>
        </w:rPr>
        <w:t xml:space="preserve">6.1 Non-Breaking Changes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Adding an optional field to an event payload: minor bump only (2.0.0 → 2.1.0).</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Backward compatible: existing subscribers that do not read the new field continue to work unchanged.</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Subscribers declare their minimum accepted minor version. Events above the minimum are accepted.</w:t>
      </w:r>
    </w:p>
    <w:p>
      <w:pPr>
        <w:spacing w:after="0" w:before="80"/>
      </w:pPr>
    </w:p>
    <w:p>
      <w:pPr>
        <w:pStyle w:val="Heading2"/>
        <w:spacing w:after="120" w:before="320"/>
      </w:pPr>
      <w:r>
        <w:rPr>
          <w:rFonts w:ascii="Calibri" w:cs="Calibri" w:eastAsia="Calibri" w:hAnsi="Calibri"/>
          <w:b/>
          <w:bCs/>
          <w:color w:val="1A6B3A"/>
          <w:sz w:val="26"/>
          <w:szCs w:val="26"/>
        </w:rPr>
        <w:t xml:space="preserve">6.2 Breaking Changes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Removing a field from an event payload: major version bump (2.0.0 → 3.0.0).</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Changing a field's type or semantics: major version bump.</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Breaking changes require either: (a) a new topic with a version suffix (e.g., forecast.updated.v3), allowing old subscribers to drain before migration; or (b) a schema registry version gate where both producer and all consumers are updated atomically during a coordinated deployment.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Schema registry version gates are preferred for intra-cluster services; topic versioning is used when external consumers exist.</w:t>
      </w:r>
    </w:p>
    <w:p>
      <w:pPr>
        <w:spacing w:after="0" w:before="80"/>
      </w:pPr>
    </w:p>
    <w:p>
      <w:pPr>
        <w:pStyle w:val="Heading2"/>
        <w:spacing w:after="120" w:before="320"/>
      </w:pPr>
      <w:r>
        <w:rPr>
          <w:rFonts w:ascii="Calibri" w:cs="Calibri" w:eastAsia="Calibri" w:hAnsi="Calibri"/>
          <w:b/>
          <w:bCs/>
          <w:color w:val="1A6B3A"/>
          <w:sz w:val="26"/>
          <w:szCs w:val="26"/>
        </w:rPr>
        <w:t xml:space="preserve">6.3 Schema Registry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All event schemas are registered in Google Cloud Pub/Sub Schema Registry using Avro format.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Schema ID convention: {event_type}-v{major_version} (e.g., "DrawingRevisionIssued-v2").</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Pub/Sub schema validation is enabled for all topics — messages that fail Avro schema validation are rejected before reaching any subscriber.</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Schema registry acts as the authoritative documentation of current and historical event shapes.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E40AF" w:sz="20"/>
              <w:bottom w:val="none"/>
              <w:right w:val="none"/>
            </w:tcBorders>
            <w:shd w:fill="EFF6FF" w:val="clear"/>
            <w:tcMar>
              <w:top w:type="dxa" w:w="160"/>
              <w:left w:type="dxa" w:w="240"/>
              <w:bottom w:type="dxa" w:w="160"/>
              <w:right w:type="dxa" w:w="240"/>
            </w:tcMar>
          </w:tcPr>
          <w:p>
            <w:pPr>
              <w:spacing w:after="20" w:before="60"/>
            </w:pPr>
            <w:r>
              <w:rPr>
                <w:rFonts w:ascii="Calibri" w:cs="Calibri" w:eastAsia="Calibri" w:hAnsi="Calibri"/>
                <w:b/>
                <w:bCs/>
                <w:color w:val="1E40AF"/>
                <w:sz w:val="21"/>
                <w:szCs w:val="21"/>
              </w:rPr>
              <w:t xml:space="preserve">Version Contract</w:t>
            </w:r>
          </w:p>
          <w:p>
            <w:pPr>
              <w:spacing w:after="20" w:before="0"/>
            </w:pPr>
            <w:r>
              <w:rPr>
                <w:rFonts w:ascii="Calibri" w:cs="Calibri" w:eastAsia="Calibri" w:hAnsi="Calibri"/>
                <w:color w:val="374151"/>
                <w:sz w:val="20"/>
                <w:szCs w:val="20"/>
              </w:rPr>
              <w:t xml:space="preserve">v5 launch establishes schema_version "2.0.0" as the baseline for all 49 events. No event schema changes are permitted during the v5 alpha phase. Schema changes require a documented ADR (Architecture Decision Record) and sign-off from the Platform Architect.</w:t>
            </w:r>
          </w:p>
        </w:tc>
      </w:tr>
    </w:tbl>
    <w:p>
      <w:pPr>
        <w:spacing w:after="0" w:before="160"/>
      </w:pPr>
    </w:p>
    <w:p>
      <w:pPr>
        <w:pStyle w:val="Heading1"/>
        <w:spacing w:after="160" w:before="480"/>
      </w:pPr>
      <w:r>
        <w:rPr>
          <w:rFonts w:ascii="Calibri" w:cs="Calibri" w:eastAsia="Calibri" w:hAnsi="Calibri"/>
          <w:b/>
          <w:bCs/>
          <w:color w:val="0F4D28"/>
          <w:sz w:val="40"/>
          <w:szCs w:val="40"/>
        </w:rPr>
        <w:t xml:space="preserve">7. Transactional Outbox Pattern</w:t>
      </w:r>
    </w:p>
    <w:p>
      <w:pPr>
        <w:spacing w:after="100" w:before="60"/>
      </w:pPr>
      <w:r>
        <w:rPr>
          <w:rFonts w:ascii="Calibri" w:cs="Calibri" w:eastAsia="Calibri" w:hAnsi="Calibri"/>
          <w:color w:val="111827"/>
          <w:sz w:val="22"/>
          <w:szCs w:val="22"/>
        </w:rPr>
        <w:t xml:space="preserve">Every state-changing operation in Green PM v5 uses the Transactional Outbox Pattern to guarantee that events are published if and only if the corresponding database state change was committed. This eliminates the dual-write problem — the risk that a service updates its database but fails to publish the event (or vice versa).</w:t>
      </w:r>
    </w:p>
    <w:p>
      <w:pPr>
        <w:spacing w:after="0" w:before="80"/>
      </w:pPr>
    </w:p>
    <w:p>
      <w:pPr>
        <w:pStyle w:val="Heading2"/>
        <w:spacing w:after="120" w:before="320"/>
      </w:pPr>
      <w:r>
        <w:rPr>
          <w:rFonts w:ascii="Calibri" w:cs="Calibri" w:eastAsia="Calibri" w:hAnsi="Calibri"/>
          <w:b/>
          <w:bCs/>
          <w:color w:val="1A6B3A"/>
          <w:sz w:val="26"/>
          <w:szCs w:val="26"/>
        </w:rPr>
        <w:t xml:space="preserve">7.1 How It Works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Step 1: The service begins a PostgreSQL transaction that includes the domain state change (e.g., INSERT INTO drawings ...).</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Step 2: In the same transaction, the service writes a row to the outbox_events table with the event payload as JSON.</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Step 3: The transaction commits. Both the domain state and the outbox row are now persisted atomically.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Step 4: A separate outbox worker process polls the outbox_events table every 100 milliseconds for unpublished rows.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Step 5: The worker publishes each unpublished event to the correct Pub/Sub topic.</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Step 6: On successful publish acknowledgement from Pub/Sub, the worker marks the outbox row as published (sets published_at timestamp).</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Step 7: Published rows are pruned after 48 hours by a scheduled cleanup job.</w:t>
      </w:r>
    </w:p>
    <w:p>
      <w:pPr>
        <w:spacing w:after="0" w:before="80"/>
      </w:pPr>
    </w:p>
    <w:p>
      <w:pPr>
        <w:pStyle w:val="Heading2"/>
        <w:spacing w:after="120" w:before="320"/>
      </w:pPr>
      <w:r>
        <w:rPr>
          <w:rFonts w:ascii="Calibri" w:cs="Calibri" w:eastAsia="Calibri" w:hAnsi="Calibri"/>
          <w:b/>
          <w:bCs/>
          <w:color w:val="1A6B3A"/>
          <w:sz w:val="26"/>
          <w:szCs w:val="26"/>
        </w:rPr>
        <w:t xml:space="preserve">7.2 Delivery Guarantee</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At-least-once delivery is guaranteed: if the outbox worker crashes between Step 5 and Step 6, the event will be re-published on restart because published_at is still null.</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Exactly-once delivery is not guaranteed by the outbox — this is intentional. Idempotency on the subscriber side (Section 5) handles duplicates.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The outbox worker is a separate Cloud Run service (scheduler) with a 100ms polling loop. It is not part of any engine service.</w:t>
      </w:r>
    </w:p>
    <w:p>
      <w:pPr>
        <w:spacing w:after="0" w:before="80"/>
      </w:pPr>
    </w:p>
    <w:p>
      <w:pPr>
        <w:pStyle w:val="Heading2"/>
        <w:spacing w:after="120" w:before="320"/>
      </w:pPr>
      <w:r>
        <w:rPr>
          <w:rFonts w:ascii="Calibri" w:cs="Calibri" w:eastAsia="Calibri" w:hAnsi="Calibri"/>
          <w:b/>
          <w:bCs/>
          <w:color w:val="1A6B3A"/>
          <w:sz w:val="26"/>
          <w:szCs w:val="26"/>
        </w:rPr>
        <w:t xml:space="preserve">7.3 Outbox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374151" w:sz="20"/>
              <w:bottom w:val="none"/>
              <w:right w:val="none"/>
            </w:tcBorders>
            <w:shd w:fill="F8F9FA" w:val="clear"/>
            <w:tcMar>
              <w:top w:type="dxa" w:w="160"/>
              <w:left w:type="dxa" w:w="240"/>
              <w:bottom w:type="dxa" w:w="160"/>
              <w:right w:type="dxa" w:w="240"/>
            </w:tcMar>
          </w:tcPr>
          <w:p>
            <w:pPr>
              <w:spacing w:after="20" w:before="60"/>
            </w:pPr>
            <w:r>
              <w:rPr>
                <w:rFonts w:ascii="Calibri" w:cs="Calibri" w:eastAsia="Calibri" w:hAnsi="Calibri"/>
                <w:b/>
                <w:bCs/>
                <w:color w:val="374151"/>
                <w:sz w:val="21"/>
                <w:szCs w:val="21"/>
              </w:rPr>
              <w:t xml:space="preserve">outbox_events table (PostgreSQL)</w:t>
            </w:r>
          </w:p>
          <w:p>
            <w:pPr>
              <w:spacing w:after="20" w:before="0"/>
            </w:pPr>
            <w:r>
              <w:rPr>
                <w:rFonts w:ascii="Calibri" w:cs="Calibri" w:eastAsia="Calibri" w:hAnsi="Calibri"/>
                <w:color w:val="111827"/>
                <w:sz w:val="20"/>
                <w:szCs w:val="20"/>
              </w:rPr>
              <w:t xml:space="preserve">id               UUID PRIMARY KEY DEFAULT gen_random_uuid()</w:t>
            </w:r>
          </w:p>
          <w:p>
            <w:pPr>
              <w:spacing w:after="20" w:before="0"/>
            </w:pPr>
            <w:r>
              <w:rPr>
                <w:rFonts w:ascii="Calibri" w:cs="Calibri" w:eastAsia="Calibri" w:hAnsi="Calibri"/>
                <w:color w:val="111827"/>
                <w:sz w:val="20"/>
                <w:szCs w:val="20"/>
              </w:rPr>
              <w:t xml:space="preserve">topic            TEXT NOT NULL  — Pub/Sub topic name</w:t>
            </w:r>
          </w:p>
          <w:p>
            <w:pPr>
              <w:spacing w:after="20" w:before="0"/>
            </w:pPr>
            <w:r>
              <w:rPr>
                <w:rFonts w:ascii="Calibri" w:cs="Calibri" w:eastAsia="Calibri" w:hAnsi="Calibri"/>
                <w:color w:val="111827"/>
                <w:sz w:val="20"/>
                <w:szCs w:val="20"/>
              </w:rPr>
              <w:t xml:space="preserve">event_type       TEXT NOT NULL  — PascalCase event name</w:t>
            </w:r>
          </w:p>
          <w:p>
            <w:pPr>
              <w:spacing w:after="20" w:before="0"/>
            </w:pPr>
            <w:r>
              <w:rPr>
                <w:rFonts w:ascii="Calibri" w:cs="Calibri" w:eastAsia="Calibri" w:hAnsi="Calibri"/>
                <w:color w:val="111827"/>
                <w:sz w:val="20"/>
                <w:szCs w:val="20"/>
              </w:rPr>
              <w:t xml:space="preserve">payload_json     JSONB NOT NULL — full event envelope including envelope metadata</w:t>
            </w:r>
          </w:p>
          <w:p>
            <w:pPr>
              <w:spacing w:after="20" w:before="0"/>
            </w:pPr>
            <w:r>
              <w:rPr>
                <w:rFonts w:ascii="Calibri" w:cs="Calibri" w:eastAsia="Calibri" w:hAnsi="Calibri"/>
                <w:color w:val="111827"/>
                <w:sz w:val="20"/>
                <w:szCs w:val="20"/>
              </w:rPr>
              <w:t xml:space="preserve">published_at     TIMESTAMPTZ    — null = pending; set = published successfully</w:t>
            </w:r>
          </w:p>
          <w:p>
            <w:pPr>
              <w:spacing w:after="20" w:before="0"/>
            </w:pPr>
            <w:r>
              <w:rPr>
                <w:rFonts w:ascii="Calibri" w:cs="Calibri" w:eastAsia="Calibri" w:hAnsi="Calibri"/>
                <w:color w:val="111827"/>
                <w:sz w:val="20"/>
                <w:szCs w:val="20"/>
              </w:rPr>
              <w:t xml:space="preserve">created_at       TIMESTAMPTZ NOT NULL DEFAULT now()</w:t>
            </w:r>
          </w:p>
          <w:p>
            <w:pPr>
              <w:spacing w:after="20" w:before="0"/>
            </w:pPr>
            <w:r>
              <w:rPr>
                <w:rFonts w:ascii="Calibri" w:cs="Calibri" w:eastAsia="Calibri" w:hAnsi="Calibri"/>
                <w:color w:val="111827"/>
                <w:sz w:val="20"/>
                <w:szCs w:val="20"/>
              </w:rPr>
              <w:t xml:space="preserve">tenant_id        UUID NOT NULL  — multi-tenant isolation</w:t>
            </w:r>
          </w:p>
          <w:p>
            <w:pPr>
              <w:spacing w:after="40" w:before="0"/>
            </w:pPr>
            <w:r>
              <w:rPr>
                <w:rFonts w:ascii="Calibri" w:cs="Calibri" w:eastAsia="Calibri" w:hAnsi="Calibri"/>
                <w:color w:val="6B7280"/>
                <w:sz w:val="20"/>
                <w:szCs w:val="20"/>
              </w:rPr>
              <w:t xml:space="preserve">INDEX: (published_at) WHERE published_at IS NULL — outbox worker query index</w:t>
            </w:r>
          </w:p>
        </w:tc>
      </w:tr>
    </w:tbl>
    <w:p>
      <w:pPr>
        <w:spacing w:after="0" w:before="80"/>
      </w:pPr>
    </w:p>
    <w:p>
      <w:pPr>
        <w:pStyle w:val="Heading2"/>
        <w:spacing w:after="120" w:before="320"/>
      </w:pPr>
      <w:r>
        <w:rPr>
          <w:rFonts w:ascii="Calibri" w:cs="Calibri" w:eastAsia="Calibri" w:hAnsi="Calibri"/>
          <w:b/>
          <w:bCs/>
          <w:color w:val="1A6B3A"/>
          <w:sz w:val="26"/>
          <w:szCs w:val="26"/>
        </w:rPr>
        <w:t xml:space="preserve">7.4 Why Not Kafka or a Message Broker Outbox?</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Green PM v5 uses Pub/Sub, not Kafka. Pub/Sub has no native transactional producer support.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The PostgreSQL outbox is the correct solution for Cloud Run services with a relational database. It uses infrastructure already present in the stack with no additional components.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At v5 scale (&lt; 10,000 events/hour expected at launch), the 100ms polling interval is efficient. The index on (published_at) WHERE published_at IS NULL keeps the query fast on an otherwise small table.</w:t>
      </w:r>
    </w:p>
    <w:p>
      <w:pPr>
        <w:spacing w:after="0" w:before="160"/>
      </w:pPr>
    </w:p>
    <w:p>
      <w:pPr>
        <w:pStyle w:val="Heading1"/>
        <w:spacing w:after="160" w:before="480"/>
      </w:pPr>
      <w:r>
        <w:rPr>
          <w:rFonts w:ascii="Calibri" w:cs="Calibri" w:eastAsia="Calibri" w:hAnsi="Calibri"/>
          <w:b/>
          <w:bCs/>
          <w:color w:val="0F4D28"/>
          <w:sz w:val="40"/>
          <w:szCs w:val="40"/>
        </w:rPr>
        <w:t xml:space="preserve">8. Event Flow: Concrete Cascade Example</w:t>
      </w:r>
    </w:p>
    <w:p>
      <w:pPr>
        <w:spacing w:after="100" w:before="60"/>
      </w:pPr>
      <w:r>
        <w:rPr>
          <w:rFonts w:ascii="Calibri" w:cs="Calibri" w:eastAsia="Calibri" w:hAnsi="Calibri"/>
          <w:color w:val="111827"/>
          <w:sz w:val="22"/>
          <w:szCs w:val="22"/>
        </w:rPr>
        <w:t xml:space="preserve">The following example traces a single real-world event — "Equipment Dispatch Delayed" — through the full Green PM v5 event system. This example demonstrates how a single domain fact ripples through the event bus to update six different intelligence engines and produce a fully refreshed Executive Digital Twin — all without any engine calling another engine directly.</w:t>
      </w:r>
    </w:p>
    <w:p>
      <w:pPr>
        <w:spacing w:after="0" w:before="80"/>
      </w:pPr>
    </w:p>
    <w:p>
      <w:pPr>
        <w:pStyle w:val="Heading2"/>
        <w:spacing w:after="120" w:before="320"/>
      </w:pPr>
      <w:r>
        <w:rPr>
          <w:rFonts w:ascii="Calibri" w:cs="Calibri" w:eastAsia="Calibri" w:hAnsi="Calibri"/>
          <w:b/>
          <w:bCs/>
          <w:color w:val="1A6B3A"/>
          <w:sz w:val="26"/>
          <w:szCs w:val="26"/>
        </w:rPr>
        <w:t xml:space="preserve">8.1 Scenario: Equipment Delayed — Cascading Event Flow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0F766E" w:sz="20"/>
              <w:bottom w:val="none"/>
              <w:right w:val="none"/>
            </w:tcBorders>
            <w:shd w:fill="E6FAF8" w:val="clear"/>
            <w:tcMar>
              <w:top w:type="dxa" w:w="160"/>
              <w:left w:type="dxa" w:w="240"/>
              <w:bottom w:type="dxa" w:w="160"/>
              <w:right w:type="dxa" w:w="240"/>
            </w:tcMar>
          </w:tcPr>
          <w:p>
            <w:pPr>
              <w:spacing w:after="40" w:before="60"/>
            </w:pPr>
            <w:r>
              <w:rPr>
                <w:rFonts w:ascii="Calibri" w:cs="Calibri" w:eastAsia="Calibri" w:hAnsi="Calibri"/>
                <w:b/>
                <w:bCs/>
                <w:color w:val="0F766E"/>
                <w:sz w:val="21"/>
                <w:szCs w:val="21"/>
              </w:rPr>
              <w:t xml:space="preserve">Equipment Delayed — Full Event Cascade</w:t>
            </w:r>
          </w:p>
          <w:p>
            <w:pPr>
              <w:spacing w:after="20" w:before="0"/>
            </w:pPr>
            <w:r>
              <w:rPr>
                <w:rFonts w:ascii="Calibri" w:cs="Calibri" w:eastAsia="Calibri" w:hAnsi="Calibri"/>
                <w:color w:val="374151"/>
                <w:sz w:val="20"/>
                <w:szCs w:val="20"/>
              </w:rPr>
              <w:t xml:space="preserve">Step 1: Supply Chain Service detects an overdue dispatch (FAT completed but vessel not booked by commitment date).</w:t>
            </w:r>
          </w:p>
          <w:p>
            <w:pPr>
              <w:spacing w:after="20" w:before="0"/>
            </w:pPr>
            <w:r>
              <w:rPr>
                <w:rFonts w:ascii="Calibri" w:cs="Calibri" w:eastAsia="Calibri" w:hAnsi="Calibri"/>
                <w:color w:val="374151"/>
                <w:sz w:val="20"/>
                <w:szCs w:val="20"/>
              </w:rPr>
              <w:t xml:space="preserve">         → Publishes: EquipmentDispatched (delayed variant) to equipment.dispatched</w:t>
            </w:r>
          </w:p>
          <w:p>
            <w:pPr>
              <w:spacing w:after="20" w:before="0"/>
            </w:pPr>
            <w:r>
              <w:rPr>
                <w:rFonts w:ascii="Calibri" w:cs="Calibri" w:eastAsia="Calibri" w:hAnsi="Calibri"/>
                <w:color w:val="374151"/>
                <w:sz w:val="20"/>
                <w:szCs w:val="20"/>
              </w:rPr>
              <w:t xml:space="preserve"/>
            </w:r>
          </w:p>
          <w:p>
            <w:pPr>
              <w:spacing w:after="20" w:before="0"/>
            </w:pPr>
            <w:r>
              <w:rPr>
                <w:rFonts w:ascii="Calibri" w:cs="Calibri" w:eastAsia="Calibri" w:hAnsi="Calibri"/>
                <w:color w:val="374151"/>
                <w:sz w:val="20"/>
                <w:szCs w:val="20"/>
              </w:rPr>
              <w:t xml:space="preserve">Step 2: Supply Chain Intelligence Engine subscribes to equipment.dispatched.</w:t>
            </w:r>
          </w:p>
          <w:p>
            <w:pPr>
              <w:spacing w:after="20" w:before="0"/>
            </w:pPr>
            <w:r>
              <w:rPr>
                <w:rFonts w:ascii="Calibri" w:cs="Calibri" w:eastAsia="Calibri" w:hAnsi="Calibri"/>
                <w:color w:val="374151"/>
                <w:sz w:val="20"/>
                <w:szCs w:val="20"/>
              </w:rPr>
              <w:t xml:space="preserve">         → Recomputes material readiness score for the affected package.</w:t>
            </w:r>
          </w:p>
          <w:p>
            <w:pPr>
              <w:spacing w:after="20" w:before="0"/>
            </w:pPr>
            <w:r>
              <w:rPr>
                <w:rFonts w:ascii="Calibri" w:cs="Calibri" w:eastAsia="Calibri" w:hAnsi="Calibri"/>
                <w:color w:val="374151"/>
                <w:sz w:val="20"/>
                <w:szCs w:val="20"/>
              </w:rPr>
              <w:t xml:space="preserve">         → Publishes: MaterialReadinessScoreComputed to supply.chain.readiness.updated</w:t>
            </w:r>
          </w:p>
          <w:p>
            <w:pPr>
              <w:spacing w:after="20" w:before="0"/>
            </w:pPr>
            <w:r>
              <w:rPr>
                <w:rFonts w:ascii="Calibri" w:cs="Calibri" w:eastAsia="Calibri" w:hAnsi="Calibri"/>
                <w:color w:val="374151"/>
                <w:sz w:val="20"/>
                <w:szCs w:val="20"/>
              </w:rPr>
              <w:t xml:space="preserve"/>
            </w:r>
          </w:p>
          <w:p>
            <w:pPr>
              <w:spacing w:after="20" w:before="0"/>
            </w:pPr>
            <w:r>
              <w:rPr>
                <w:rFonts w:ascii="Calibri" w:cs="Calibri" w:eastAsia="Calibri" w:hAnsi="Calibri"/>
                <w:color w:val="374151"/>
                <w:sz w:val="20"/>
                <w:szCs w:val="20"/>
              </w:rPr>
              <w:t xml:space="preserve">Step 3: Readiness Engine subscribes to supply.chain.readiness.updated.</w:t>
            </w:r>
          </w:p>
          <w:p>
            <w:pPr>
              <w:spacing w:after="20" w:before="0"/>
            </w:pPr>
            <w:r>
              <w:rPr>
                <w:rFonts w:ascii="Calibri" w:cs="Calibri" w:eastAsia="Calibri" w:hAnsi="Calibri"/>
                <w:color w:val="374151"/>
                <w:sz w:val="20"/>
                <w:szCs w:val="20"/>
              </w:rPr>
              <w:t xml:space="preserve">         → Recomputes Material Readiness Gate score — gate drops below 70%.</w:t>
            </w:r>
          </w:p>
          <w:p>
            <w:pPr>
              <w:spacing w:after="20" w:before="0"/>
            </w:pPr>
            <w:r>
              <w:rPr>
                <w:rFonts w:ascii="Calibri" w:cs="Calibri" w:eastAsia="Calibri" w:hAnsi="Calibri"/>
                <w:color w:val="374151"/>
                <w:sz w:val="20"/>
                <w:szCs w:val="20"/>
              </w:rPr>
              <w:t xml:space="preserve">         → Publishes: ReadinessGateEvaluated (gate_status = AT_RISK) to readiness.evaluated</w:t>
            </w:r>
          </w:p>
          <w:p>
            <w:pPr>
              <w:spacing w:after="20" w:before="0"/>
            </w:pPr>
            <w:r>
              <w:rPr>
                <w:rFonts w:ascii="Calibri" w:cs="Calibri" w:eastAsia="Calibri" w:hAnsi="Calibri"/>
                <w:color w:val="374151"/>
                <w:sz w:val="20"/>
                <w:szCs w:val="20"/>
              </w:rPr>
              <w:t xml:space="preserve"/>
            </w:r>
          </w:p>
          <w:p>
            <w:pPr>
              <w:spacing w:after="20" w:before="0"/>
            </w:pPr>
            <w:r>
              <w:rPr>
                <w:rFonts w:ascii="Calibri" w:cs="Calibri" w:eastAsia="Calibri" w:hAnsi="Calibri"/>
                <w:color w:val="374151"/>
                <w:sz w:val="20"/>
                <w:szCs w:val="20"/>
              </w:rPr>
              <w:t xml:space="preserve">Step 4: Impact Analysis Engine subscribes to equipment.dispatched.</w:t>
            </w:r>
          </w:p>
          <w:p>
            <w:pPr>
              <w:spacing w:after="20" w:before="0"/>
            </w:pPr>
            <w:r>
              <w:rPr>
                <w:rFonts w:ascii="Calibri" w:cs="Calibri" w:eastAsia="Calibri" w:hAnsi="Calibri"/>
                <w:color w:val="374151"/>
                <w:sz w:val="20"/>
                <w:szCs w:val="20"/>
              </w:rPr>
              <w:t xml:space="preserve">         → Traverses the PIG to find all activities that depend on this equipment.</w:t>
            </w:r>
          </w:p>
          <w:p>
            <w:pPr>
              <w:spacing w:after="20" w:before="0"/>
            </w:pPr>
            <w:r>
              <w:rPr>
                <w:rFonts w:ascii="Calibri" w:cs="Calibri" w:eastAsia="Calibri" w:hAnsi="Calibri"/>
                <w:color w:val="374151"/>
                <w:sz w:val="20"/>
                <w:szCs w:val="20"/>
              </w:rPr>
              <w:t xml:space="preserve">         → Identifies 4 installation activities and 2 commissioning milestones impacted.</w:t>
            </w:r>
          </w:p>
          <w:p>
            <w:pPr>
              <w:spacing w:after="20" w:before="0"/>
            </w:pPr>
            <w:r>
              <w:rPr>
                <w:rFonts w:ascii="Calibri" w:cs="Calibri" w:eastAsia="Calibri" w:hAnsi="Calibri"/>
                <w:color w:val="374151"/>
                <w:sz w:val="20"/>
                <w:szCs w:val="20"/>
              </w:rPr>
              <w:t xml:space="preserve">         → Publishes: ImpactAssessmentCompleted (cascade_depth=2, total_impact_score=HIGH) to change.impact.assessed</w:t>
            </w:r>
          </w:p>
          <w:p>
            <w:pPr>
              <w:spacing w:after="20" w:before="0"/>
            </w:pPr>
            <w:r>
              <w:rPr>
                <w:rFonts w:ascii="Calibri" w:cs="Calibri" w:eastAsia="Calibri" w:hAnsi="Calibri"/>
                <w:color w:val="374151"/>
                <w:sz w:val="20"/>
                <w:szCs w:val="20"/>
              </w:rPr>
              <w:t xml:space="preserve"/>
            </w:r>
          </w:p>
          <w:p>
            <w:pPr>
              <w:spacing w:after="20" w:before="0"/>
            </w:pPr>
            <w:r>
              <w:rPr>
                <w:rFonts w:ascii="Calibri" w:cs="Calibri" w:eastAsia="Calibri" w:hAnsi="Calibri"/>
                <w:color w:val="374151"/>
                <w:sz w:val="20"/>
                <w:szCs w:val="20"/>
              </w:rPr>
              <w:t xml:space="preserve">Step 5: Coordination Engine subscribes to change.impact.assessed.</w:t>
            </w:r>
          </w:p>
          <w:p>
            <w:pPr>
              <w:spacing w:after="20" w:before="0"/>
            </w:pPr>
            <w:r>
              <w:rPr>
                <w:rFonts w:ascii="Calibri" w:cs="Calibri" w:eastAsia="Calibri" w:hAnsi="Calibri"/>
                <w:color w:val="374151"/>
                <w:sz w:val="20"/>
                <w:szCs w:val="20"/>
              </w:rPr>
              <w:t xml:space="preserve">         → Creates 3 coordination items: (1) SCM to confirm revised ETA with vendor,</w:t>
            </w:r>
          </w:p>
          <w:p>
            <w:pPr>
              <w:spacing w:after="20" w:before="0"/>
            </w:pPr>
            <w:r>
              <w:rPr>
                <w:rFonts w:ascii="Calibri" w:cs="Calibri" w:eastAsia="Calibri" w:hAnsi="Calibri"/>
                <w:color w:val="374151"/>
                <w:sz w:val="20"/>
                <w:szCs w:val="20"/>
              </w:rPr>
              <w:t xml:space="preserve">            (2) PM to review float buffer on critical activities, (3) Vendor portal alert.</w:t>
            </w:r>
          </w:p>
          <w:p>
            <w:pPr>
              <w:spacing w:after="20" w:before="0"/>
            </w:pPr>
            <w:r>
              <w:rPr>
                <w:rFonts w:ascii="Calibri" w:cs="Calibri" w:eastAsia="Calibri" w:hAnsi="Calibri"/>
                <w:color w:val="374151"/>
                <w:sz w:val="20"/>
                <w:szCs w:val="20"/>
              </w:rPr>
              <w:t xml:space="preserve">         → Publishes: CoordinationItemCreated × 3 to coordination.created</w:t>
            </w:r>
          </w:p>
          <w:p>
            <w:pPr>
              <w:spacing w:after="20" w:before="0"/>
            </w:pPr>
            <w:r>
              <w:rPr>
                <w:rFonts w:ascii="Calibri" w:cs="Calibri" w:eastAsia="Calibri" w:hAnsi="Calibri"/>
                <w:color w:val="374151"/>
                <w:sz w:val="20"/>
                <w:szCs w:val="20"/>
              </w:rPr>
              <w:t xml:space="preserve"/>
            </w:r>
          </w:p>
          <w:p>
            <w:pPr>
              <w:spacing w:after="20" w:before="0"/>
            </w:pPr>
            <w:r>
              <w:rPr>
                <w:rFonts w:ascii="Calibri" w:cs="Calibri" w:eastAsia="Calibri" w:hAnsi="Calibri"/>
                <w:color w:val="374151"/>
                <w:sz w:val="20"/>
                <w:szCs w:val="20"/>
              </w:rPr>
              <w:t xml:space="preserve">Step 6: Forecasting Engine subscribes to supply.chain.readiness.updated.</w:t>
            </w:r>
          </w:p>
          <w:p>
            <w:pPr>
              <w:spacing w:after="20" w:before="0"/>
            </w:pPr>
            <w:r>
              <w:rPr>
                <w:rFonts w:ascii="Calibri" w:cs="Calibri" w:eastAsia="Calibri" w:hAnsi="Calibri"/>
                <w:color w:val="374151"/>
                <w:sz w:val="20"/>
                <w:szCs w:val="20"/>
              </w:rPr>
              <w:t xml:space="preserve">         → Updates commissioning completion forecast: +12 days at P50, +18 days at P80.</w:t>
            </w:r>
          </w:p>
          <w:p>
            <w:pPr>
              <w:spacing w:after="20" w:before="0"/>
            </w:pPr>
            <w:r>
              <w:rPr>
                <w:rFonts w:ascii="Calibri" w:cs="Calibri" w:eastAsia="Calibri" w:hAnsi="Calibri"/>
                <w:color w:val="374151"/>
                <w:sz w:val="20"/>
                <w:szCs w:val="20"/>
              </w:rPr>
              <w:t xml:space="preserve">         → Publishes: ForecastUpdated (forecast_domain = commissioning) to forecast.updated</w:t>
            </w:r>
          </w:p>
          <w:p>
            <w:pPr>
              <w:spacing w:after="20" w:before="0"/>
            </w:pPr>
            <w:r>
              <w:rPr>
                <w:rFonts w:ascii="Calibri" w:cs="Calibri" w:eastAsia="Calibri" w:hAnsi="Calibri"/>
                <w:color w:val="374151"/>
                <w:sz w:val="20"/>
                <w:szCs w:val="20"/>
              </w:rPr>
              <w:t xml:space="preserve"/>
            </w:r>
          </w:p>
          <w:p>
            <w:pPr>
              <w:spacing w:after="20" w:before="0"/>
            </w:pPr>
            <w:r>
              <w:rPr>
                <w:rFonts w:ascii="Calibri" w:cs="Calibri" w:eastAsia="Calibri" w:hAnsi="Calibri"/>
                <w:color w:val="374151"/>
                <w:sz w:val="20"/>
                <w:szCs w:val="20"/>
              </w:rPr>
              <w:t xml:space="preserve">Step 7: Recommendation Engine subscribes to change.impact.assessed.</w:t>
            </w:r>
          </w:p>
          <w:p>
            <w:pPr>
              <w:spacing w:after="20" w:before="0"/>
            </w:pPr>
            <w:r>
              <w:rPr>
                <w:rFonts w:ascii="Calibri" w:cs="Calibri" w:eastAsia="Calibri" w:hAnsi="Calibri"/>
                <w:color w:val="374151"/>
                <w:sz w:val="20"/>
                <w:szCs w:val="20"/>
              </w:rPr>
              <w:t xml:space="preserve">         → Synthesises impact data against organizational memory patterns.</w:t>
            </w:r>
          </w:p>
          <w:p>
            <w:pPr>
              <w:spacing w:after="20" w:before="0"/>
            </w:pPr>
            <w:r>
              <w:rPr>
                <w:rFonts w:ascii="Calibri" w:cs="Calibri" w:eastAsia="Calibri" w:hAnsi="Calibri"/>
                <w:color w:val="374151"/>
                <w:sz w:val="20"/>
                <w:szCs w:val="20"/>
              </w:rPr>
              <w:t xml:space="preserve">         → Generates 2 recommendations: airfreight critical sub-components; revise float buffers.</w:t>
            </w:r>
          </w:p>
          <w:p>
            <w:pPr>
              <w:spacing w:after="20" w:before="0"/>
            </w:pPr>
            <w:r>
              <w:rPr>
                <w:rFonts w:ascii="Calibri" w:cs="Calibri" w:eastAsia="Calibri" w:hAnsi="Calibri"/>
                <w:color w:val="374151"/>
                <w:sz w:val="20"/>
                <w:szCs w:val="20"/>
              </w:rPr>
              <w:t xml:space="preserve">         → Publishes: RecommendationsGenerated (recommendation_count=2) to recommendation.generated</w:t>
            </w:r>
          </w:p>
          <w:p>
            <w:pPr>
              <w:spacing w:after="20" w:before="0"/>
            </w:pPr>
            <w:r>
              <w:rPr>
                <w:rFonts w:ascii="Calibri" w:cs="Calibri" w:eastAsia="Calibri" w:hAnsi="Calibri"/>
                <w:color w:val="374151"/>
                <w:sz w:val="20"/>
                <w:szCs w:val="20"/>
              </w:rPr>
              <w:t xml:space="preserve"/>
            </w:r>
          </w:p>
          <w:p>
            <w:pPr>
              <w:spacing w:after="20" w:before="0"/>
            </w:pPr>
            <w:r>
              <w:rPr>
                <w:rFonts w:ascii="Calibri" w:cs="Calibri" w:eastAsia="Calibri" w:hAnsi="Calibri"/>
                <w:color w:val="374151"/>
                <w:sz w:val="20"/>
                <w:szCs w:val="20"/>
              </w:rPr>
              <w:t xml:space="preserve">Step 8: Executive Digital Twin subscribes to forecast.updated AND recommendation.generated.</w:t>
            </w:r>
          </w:p>
          <w:p>
            <w:pPr>
              <w:spacing w:after="20" w:before="0"/>
            </w:pPr>
            <w:r>
              <w:rPr>
                <w:rFonts w:ascii="Calibri" w:cs="Calibri" w:eastAsia="Calibri" w:hAnsi="Calibri"/>
                <w:color w:val="374151"/>
                <w:sz w:val="20"/>
                <w:szCs w:val="20"/>
              </w:rPr>
              <w:t xml:space="preserve">         → Refreshes Monday Command Centre: Reality panel updated, Forecast panel updated,</w:t>
            </w:r>
          </w:p>
          <w:p>
            <w:pPr>
              <w:spacing w:after="20" w:before="0"/>
            </w:pPr>
            <w:r>
              <w:rPr>
                <w:rFonts w:ascii="Calibri" w:cs="Calibri" w:eastAsia="Calibri" w:hAnsi="Calibri"/>
                <w:color w:val="374151"/>
                <w:sz w:val="20"/>
                <w:szCs w:val="20"/>
              </w:rPr>
              <w:t xml:space="preserve">            Required Decisions panel shows vendor escalation decision needed by Friday.</w:t>
            </w:r>
          </w:p>
          <w:p>
            <w:pPr>
              <w:spacing w:after="20" w:before="0"/>
            </w:pPr>
            <w:r>
              <w:rPr>
                <w:rFonts w:ascii="Calibri" w:cs="Calibri" w:eastAsia="Calibri" w:hAnsi="Calibri"/>
                <w:color w:val="374151"/>
                <w:sz w:val="20"/>
                <w:szCs w:val="20"/>
              </w:rPr>
              <w:t xml:space="preserve"/>
            </w:r>
          </w:p>
          <w:p>
            <w:pPr>
              <w:spacing w:after="20" w:before="0"/>
            </w:pPr>
            <w:r>
              <w:rPr>
                <w:rFonts w:ascii="Calibri" w:cs="Calibri" w:eastAsia="Calibri" w:hAnsi="Calibri"/>
                <w:color w:val="374151"/>
                <w:sz w:val="20"/>
                <w:szCs w:val="20"/>
              </w:rPr>
              <w:t xml:space="preserve">Total elapsed time from Step 1 to Step 8: &lt; 8 seconds (all async Pub/Sub delivery).</w:t>
            </w:r>
          </w:p>
          <w:p>
            <w:pPr>
              <w:spacing w:after="20" w:before="0"/>
            </w:pPr>
            <w:r>
              <w:rPr>
                <w:rFonts w:ascii="Calibri" w:cs="Calibri" w:eastAsia="Calibri" w:hAnsi="Calibri"/>
                <w:color w:val="374151"/>
                <w:sz w:val="20"/>
                <w:szCs w:val="20"/>
              </w:rPr>
              <w:t xml:space="preserve">Correlation ID: same value across all 9 events published in this chain — full end-to-end trace.</w:t>
            </w:r>
          </w:p>
        </w:tc>
      </w:tr>
    </w:tbl>
    <w:p>
      <w:pPr>
        <w:spacing w:after="0" w:before="120"/>
      </w:pPr>
    </w:p>
    <w:p>
      <w:pPr>
        <w:pStyle w:val="Heading2"/>
        <w:spacing w:after="120" w:before="320"/>
      </w:pPr>
      <w:r>
        <w:rPr>
          <w:rFonts w:ascii="Calibri" w:cs="Calibri" w:eastAsia="Calibri" w:hAnsi="Calibri"/>
          <w:b/>
          <w:bCs/>
          <w:color w:val="1A6B3A"/>
          <w:sz w:val="26"/>
          <w:szCs w:val="26"/>
        </w:rPr>
        <w:t xml:space="preserve">8.2 What This Example Demonstrates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A single domain event (EquipmentDispatched) caused 8 engine reactions across 6 different engines — with zero direct engine-to-engine calls.</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The Executive Digital Twin was updated automatically as a result of a field event — no human needed to trigger a refresh.</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The Coordination Engine ensured that intelligence became action: 3 coordination items with owners and due dates were created automatically.</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The full chain is auditable: every event carries the correlation_id from the originating EquipmentDispatched event.</w:t>
      </w:r>
    </w:p>
    <w:p>
      <w:pPr>
        <w:spacing w:after="60" w:before="60"/>
        <w:ind w:left="720" w:hanging="360"/>
      </w:pPr>
      <w:r>
        <w:rPr>
          <w:rFonts w:ascii="Calibri" w:cs="Calibri" w:eastAsia="Calibri" w:hAnsi="Calibri"/>
          <w:color w:val="1A6B3A"/>
          <w:sz w:val="20"/>
          <w:szCs w:val="20"/>
        </w:rPr>
        <w:t xml:space="preserve">▸  </w:t>
      </w:r>
      <w:r>
        <w:rPr>
          <w:rFonts w:ascii="Calibri" w:cs="Calibri" w:eastAsia="Calibri" w:hAnsi="Calibri"/>
          <w:color w:val="111827"/>
          <w:sz w:val="21"/>
          <w:szCs w:val="21"/>
        </w:rPr>
        <w:t xml:space="preserve">If any engine subscription fails (e.g., Forecasting Engine is temporarily unavailable), Pub/Sub retries delivery independently — other engines are not affected.</w:t>
      </w:r>
    </w:p>
    <w:p>
      <w:pPr>
        <w:spacing w:after="0" w:before="120"/>
      </w:pPr>
    </w:p>
    <w:p>
      <w:pPr>
        <w:pStyle w:val="Heading2"/>
        <w:spacing w:after="120" w:before="320"/>
      </w:pPr>
      <w:r>
        <w:rPr>
          <w:rFonts w:ascii="Calibri" w:cs="Calibri" w:eastAsia="Calibri" w:hAnsi="Calibri"/>
          <w:b/>
          <w:bCs/>
          <w:color w:val="1A6B3A"/>
          <w:sz w:val="26"/>
          <w:szCs w:val="26"/>
        </w:rPr>
        <w:t xml:space="preserve">8.3 Five Core Design Principles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thick" w:color="1A6B3A" w:sz="20"/>
              <w:bottom w:val="none"/>
              <w:right w:val="none"/>
            </w:tcBorders>
            <w:shd w:fill="E8F5EE" w:val="clear"/>
            <w:tcMar>
              <w:top w:type="dxa" w:w="160"/>
              <w:left w:type="dxa" w:w="240"/>
              <w:bottom w:type="dxa" w:w="160"/>
              <w:right w:type="dxa" w:w="240"/>
            </w:tcMar>
          </w:tcPr>
          <w:p>
            <w:pPr>
              <w:spacing w:after="20" w:before="60"/>
            </w:pPr>
            <w:r>
              <w:rPr>
                <w:rFonts w:ascii="Calibri" w:cs="Calibri" w:eastAsia="Calibri" w:hAnsi="Calibri"/>
                <w:b/>
                <w:bCs/>
                <w:color w:val="0F4D28"/>
                <w:sz w:val="22"/>
                <w:szCs w:val="22"/>
              </w:rPr>
              <w:t xml:space="preserve">Event Model Design Principles</w:t>
            </w:r>
          </w:p>
          <w:p>
            <w:pPr>
              <w:spacing w:after="20" w:before="20"/>
            </w:pPr>
            <w:r>
              <w:rPr>
                <w:rFonts w:ascii="Calibri" w:cs="Calibri" w:eastAsia="Calibri" w:hAnsi="Calibri"/>
                <w:b/>
                <w:bCs/>
                <w:color w:val="1A6B3A"/>
                <w:sz w:val="21"/>
                <w:szCs w:val="21"/>
              </w:rPr>
              <w:t xml:space="preserve">1. </w:t>
            </w:r>
            <w:r>
              <w:rPr>
                <w:rFonts w:ascii="Calibri" w:cs="Calibri" w:eastAsia="Calibri" w:hAnsi="Calibri"/>
                <w:b/>
                <w:bCs/>
                <w:color w:val="111827"/>
                <w:sz w:val="21"/>
                <w:szCs w:val="21"/>
              </w:rPr>
              <w:t xml:space="preserve">Events describe what happened, not what to do.</w:t>
            </w:r>
            <w:r>
              <w:rPr>
                <w:rFonts w:ascii="Calibri" w:cs="Calibri" w:eastAsia="Calibri" w:hAnsi="Calibri"/>
                <w:color w:val="374151"/>
                <w:sz w:val="20"/>
                <w:szCs w:val="20"/>
              </w:rPr>
              <w:t xml:space="preserve">  An event is a fact. Engines decide what action to take in response. An event named "RequestForecastUpdate" is a command, not an event — it violates this principle.</w:t>
            </w:r>
          </w:p>
          <w:p>
            <w:pPr>
              <w:spacing w:after="20" w:before="20"/>
            </w:pPr>
            <w:r>
              <w:rPr>
                <w:rFonts w:ascii="Calibri" w:cs="Calibri" w:eastAsia="Calibri" w:hAnsi="Calibri"/>
                <w:b/>
                <w:bCs/>
                <w:color w:val="1A6B3A"/>
                <w:sz w:val="21"/>
                <w:szCs w:val="21"/>
              </w:rPr>
              <w:t xml:space="preserve">2. </w:t>
            </w:r>
            <w:r>
              <w:rPr>
                <w:rFonts w:ascii="Calibri" w:cs="Calibri" w:eastAsia="Calibri" w:hAnsi="Calibri"/>
                <w:b/>
                <w:bCs/>
                <w:color w:val="111827"/>
                <w:sz w:val="21"/>
                <w:szCs w:val="21"/>
              </w:rPr>
              <w:t xml:space="preserve">Engines are consumers, never direct callers of each other.</w:t>
            </w:r>
            <w:r>
              <w:rPr>
                <w:rFonts w:ascii="Calibri" w:cs="Calibri" w:eastAsia="Calibri" w:hAnsi="Calibri"/>
                <w:color w:val="374151"/>
                <w:sz w:val="20"/>
                <w:szCs w:val="20"/>
              </w:rPr>
              <w:t xml:space="preserve">  No engine holds a reference to another engine's Cloud Run URL. All cross-engine communication passes through Pub/Sub topics. This is the non-negotiable rule that keeps the architecture decoupled.</w:t>
            </w:r>
          </w:p>
          <w:p>
            <w:pPr>
              <w:spacing w:after="20" w:before="20"/>
            </w:pPr>
            <w:r>
              <w:rPr>
                <w:rFonts w:ascii="Calibri" w:cs="Calibri" w:eastAsia="Calibri" w:hAnsi="Calibri"/>
                <w:b/>
                <w:bCs/>
                <w:color w:val="1A6B3A"/>
                <w:sz w:val="21"/>
                <w:szCs w:val="21"/>
              </w:rPr>
              <w:t xml:space="preserve">3. </w:t>
            </w:r>
            <w:r>
              <w:rPr>
                <w:rFonts w:ascii="Calibri" w:cs="Calibri" w:eastAsia="Calibri" w:hAnsi="Calibri"/>
                <w:b/>
                <w:bCs/>
                <w:color w:val="111827"/>
                <w:sz w:val="21"/>
                <w:szCs w:val="21"/>
              </w:rPr>
              <w:t xml:space="preserve">Every event is immutable once published.</w:t>
            </w:r>
            <w:r>
              <w:rPr>
                <w:rFonts w:ascii="Calibri" w:cs="Calibri" w:eastAsia="Calibri" w:hAnsi="Calibri"/>
                <w:color w:val="374151"/>
                <w:sz w:val="20"/>
                <w:szCs w:val="20"/>
              </w:rPr>
              <w:t xml:space="preserve">  Published events are facts of history. They are never updated, corrected, or deleted. Corrections are new events (e.g., a revised EvidenceScoreComputed supersedes the previous score — both are preserved in the event log).</w:t>
            </w:r>
          </w:p>
          <w:p>
            <w:pPr>
              <w:spacing w:after="20" w:before="20"/>
            </w:pPr>
            <w:r>
              <w:rPr>
                <w:rFonts w:ascii="Calibri" w:cs="Calibri" w:eastAsia="Calibri" w:hAnsi="Calibri"/>
                <w:b/>
                <w:bCs/>
                <w:color w:val="1A6B3A"/>
                <w:sz w:val="21"/>
                <w:szCs w:val="21"/>
              </w:rPr>
              <w:t xml:space="preserve">4. </w:t>
            </w:r>
            <w:r>
              <w:rPr>
                <w:rFonts w:ascii="Calibri" w:cs="Calibri" w:eastAsia="Calibri" w:hAnsi="Calibri"/>
                <w:b/>
                <w:bCs/>
                <w:color w:val="111827"/>
                <w:sz w:val="21"/>
                <w:szCs w:val="21"/>
              </w:rPr>
              <w:t xml:space="preserve">Correlation ID traces an event chain end-to-end.</w:t>
            </w:r>
            <w:r>
              <w:rPr>
                <w:rFonts w:ascii="Calibri" w:cs="Calibri" w:eastAsia="Calibri" w:hAnsi="Calibri"/>
                <w:color w:val="374151"/>
                <w:sz w:val="20"/>
                <w:szCs w:val="20"/>
              </w:rPr>
              <w:t xml:space="preserve">  Every event in a cascade carries the same correlation_id as the originating event. This enables complete traceability: given any output (e.g., a recommendation), an engineer can query the event log by correlation_id and reconstruct the full chain of cause and effect.</w:t>
            </w:r>
          </w:p>
          <w:p>
            <w:pPr>
              <w:spacing w:after="40" w:before="20"/>
            </w:pPr>
            <w:r>
              <w:rPr>
                <w:rFonts w:ascii="Calibri" w:cs="Calibri" w:eastAsia="Calibri" w:hAnsi="Calibri"/>
                <w:b/>
                <w:bCs/>
                <w:color w:val="1A6B3A"/>
                <w:sz w:val="21"/>
                <w:szCs w:val="21"/>
              </w:rPr>
              <w:t xml:space="preserve">5. </w:t>
            </w:r>
            <w:r>
              <w:rPr>
                <w:rFonts w:ascii="Calibri" w:cs="Calibri" w:eastAsia="Calibri" w:hAnsi="Calibri"/>
                <w:b/>
                <w:bCs/>
                <w:color w:val="111827"/>
                <w:sz w:val="21"/>
                <w:szCs w:val="21"/>
              </w:rPr>
              <w:t xml:space="preserve">DLQ depth = system health metric; monitor always.</w:t>
            </w:r>
            <w:r>
              <w:rPr>
                <w:rFonts w:ascii="Calibri" w:cs="Calibri" w:eastAsia="Calibri" w:hAnsi="Calibri"/>
                <w:color w:val="374151"/>
                <w:sz w:val="20"/>
                <w:szCs w:val="20"/>
              </w:rPr>
              <w:t xml:space="preserve">  A DLQ with depth &gt; 0 means events are being lost. Events lost means intelligence is degraded. DLQ depth is a P1 signal — not a background metric. Alert thresholds must be configured from Day 1 of the v5 deployment.</w:t>
            </w:r>
          </w:p>
        </w:tc>
      </w:tr>
    </w:tbl>
    <w:p>
      <w:pPr>
        <w:spacing w:after="0" w:before="120"/>
      </w:pPr>
    </w:p>
    <w:p>
      <w:pPr>
        <w:pBdr>
          <w:bottom w:val="single" w:color="E5E7EB" w:sz="4"/>
        </w:pBdr>
        <w:spacing w:after="200" w:before="200"/>
      </w:pPr>
    </w:p>
    <w:p>
      <w:pPr>
        <w:spacing w:after="0" w:before="80"/>
      </w:pPr>
    </w:p>
    <w:p>
      <w:pPr>
        <w:spacing w:after="100" w:before="60"/>
      </w:pPr>
      <w:r>
        <w:rPr>
          <w:rFonts w:ascii="Calibri" w:cs="Calibri" w:eastAsia="Calibri" w:hAnsi="Calibri"/>
          <w:color w:val="6B7280"/>
          <w:sz w:val="18"/>
          <w:szCs w:val="18"/>
        </w:rPr>
        <w:t xml:space="preserve">Green PM Engineering Project Intelligence Platform  •  v5 Event Model  •  Document version 1.0  •  </w:t>
      </w:r>
      <w:r>
        <w:rPr>
          <w:rFonts w:ascii="Calibri" w:cs="Calibri" w:eastAsia="Calibri" w:hAnsi="Calibri"/>
          <w:b/>
          <w:bCs/>
          <w:color w:val="6B7280"/>
          <w:sz w:val="18"/>
          <w:szCs w:val="18"/>
        </w:rPr>
        <w:t xml:space="preserve">Confidential —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GreenPM v5 Event Model</dc:title>
  <dc:creator>Green PM</dc:creator>
  <dc:description>Complete event vocabulary, Pub/Sub topic configuration, idempotency strategy, and event flow for Green PM v5.</dc:description>
  <cp:lastModifiedBy>Un-named</cp:lastModifiedBy>
  <cp:revision>1</cp:revision>
  <dcterms:created xsi:type="dcterms:W3CDTF">2026-08-03T12:33:20.745Z</dcterms:created>
  <dcterms:modified xsi:type="dcterms:W3CDTF">2026-08-03T12:33:20.758Z</dcterms:modified>
</cp:coreProperties>
</file>

<file path=docProps/custom.xml><?xml version="1.0" encoding="utf-8"?>
<Properties xmlns="http://schemas.openxmlformats.org/officeDocument/2006/custom-properties" xmlns:vt="http://schemas.openxmlformats.org/officeDocument/2006/docPropsVTypes"/>
</file>