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100" w:before="0"/>
        <w:jc w:val="center"/>
      </w:pPr>
      <w:r>
        <w:rPr>
          <w:rFonts w:ascii="Calibri" w:cs="Calibri" w:eastAsia="Calibri" w:hAnsi="Calibri"/>
          <w:b/>
          <w:bCs/>
          <w:color w:val="1B5E20"/>
          <w:sz w:val="44"/>
          <w:szCs w:val="44"/>
        </w:rPr>
        <w:t xml:space="preserve">GREEN PM</w:t>
      </w:r>
    </w:p>
    <w:p>
      <w:pPr>
        <w:spacing w:after="560" w:before="0"/>
        <w:jc w:val="center"/>
      </w:pPr>
      <w:r>
        <w:rPr>
          <w:rFonts w:ascii="Calibri" w:cs="Calibri" w:eastAsia="Calibri" w:hAnsi="Calibri"/>
          <w:color w:val="757575"/>
          <w:sz w:val="24"/>
          <w:szCs w:val="24"/>
        </w:rPr>
        <w:t xml:space="preserve">Engineering Project Intelligence Platform</w:t>
      </w:r>
    </w:p>
    <w:p>
      <w:pPr>
        <w:spacing w:after="160" w:before="0"/>
        <w:jc w:val="center"/>
      </w:pPr>
      <w:r>
        <w:rPr>
          <w:rFonts w:ascii="Calibri" w:cs="Calibri" w:eastAsia="Calibri" w:hAnsi="Calibri"/>
          <w:b/>
          <w:bCs/>
          <w:color w:val="212121"/>
          <w:sz w:val="56"/>
          <w:szCs w:val="56"/>
        </w:rPr>
        <w:t xml:space="preserve">v5 Engineering Standards</w:t>
      </w:r>
    </w:p>
    <w:p>
      <w:pPr>
        <w:spacing w:after="720" w:before="0"/>
        <w:jc w:val="center"/>
      </w:pPr>
      <w:r>
        <w:rPr>
          <w:rFonts w:ascii="Calibri" w:cs="Calibri" w:eastAsia="Calibri" w:hAnsi="Calibri"/>
          <w:i/>
          <w:iCs/>
          <w:color w:val="757575"/>
          <w:sz w:val="24"/>
          <w:szCs w:val="24"/>
        </w:rPr>
        <w:t xml:space="preserve">Architectural Decision Rules for Every Engineer</w:t>
      </w:r>
    </w:p>
    <w:p>
      <w:pPr>
        <w:spacing w:after="80" w:before="0"/>
        <w:jc w:val="center"/>
      </w:pPr>
      <w:r>
        <w:rPr>
          <w:rFonts w:ascii="Calibri" w:cs="Calibri" w:eastAsia="Calibri" w:hAnsi="Calibri"/>
          <w:color w:val="757575"/>
          <w:sz w:val="22"/>
          <w:szCs w:val="22"/>
        </w:rPr>
        <w:t xml:space="preserve">Version </w:t>
      </w:r>
      <w:r>
        <w:rPr>
          <w:rFonts w:ascii="Calibri" w:cs="Calibri" w:eastAsia="Calibri" w:hAnsi="Calibri"/>
          <w:b/>
          <w:bCs/>
          <w:color w:val="212121"/>
          <w:sz w:val="22"/>
          <w:szCs w:val="22"/>
        </w:rPr>
        <w:t xml:space="preserve">5.0</w:t>
      </w:r>
      <w:r>
        <w:rPr>
          <w:rFonts w:ascii="Calibri" w:cs="Calibri" w:eastAsia="Calibri" w:hAnsi="Calibri"/>
          <w:color w:val="757575"/>
          <w:sz w:val="22"/>
          <w:szCs w:val="22"/>
        </w:rPr>
        <w:t xml:space="preserve">   ·   Status: </w:t>
      </w:r>
      <w:r>
        <w:rPr>
          <w:rFonts w:ascii="Calibri" w:cs="Calibri" w:eastAsia="Calibri" w:hAnsi="Calibri"/>
          <w:b/>
          <w:bCs/>
          <w:color w:val="C62828"/>
          <w:sz w:val="22"/>
          <w:szCs w:val="22"/>
        </w:rPr>
        <w:t xml:space="preserve">FROZEN</w:t>
      </w:r>
      <w:r>
        <w:rPr>
          <w:rFonts w:ascii="Calibri" w:cs="Calibri" w:eastAsia="Calibri" w:hAnsi="Calibri"/>
          <w:color w:val="757575"/>
          <w:sz w:val="22"/>
          <w:szCs w:val="22"/>
        </w:rPr>
        <w:t xml:space="preserve">   ·   Effective Q3 2026</w:t>
      </w:r>
    </w:p>
    <w:p>
      <w:pPr>
        <w:spacing w:after="0" w:before="0"/>
        <w:jc w:val="center"/>
      </w:pPr>
      <w:r>
        <w:rPr>
          <w:rFonts w:ascii="Calibri" w:cs="Calibri" w:eastAsia="Calibri" w:hAnsi="Calibri"/>
          <w:i/>
          <w:iCs/>
          <w:color w:val="757575"/>
          <w:sz w:val="20"/>
          <w:szCs w:val="20"/>
        </w:rPr>
        <w:t xml:space="preserve">Changes require an Architecture Decision Record (ADR) and product owner sign-off</w:t>
      </w:r>
    </w:p>
    <w:p>
      <w:pPr>
        <w:spacing w:after="0" w:before="0"/>
      </w:pPr>
    </w:p>
    <w:p>
      <w:pPr>
        <w:spacing w:after="0" w:before="0"/>
      </w:pPr>
    </w:p>
    <w:p>
      <w:pPr>
        <w:pBdr>
          <w:bottom w:val="single" w:color="BDBDBD" w:sz="6"/>
        </w:pBdr>
        <w:spacing w:after="160" w:before="160"/>
      </w:pPr>
    </w:p>
    <w:p>
      <w:pPr>
        <w:spacing w:after="160" w:before="160"/>
        <w:jc w:val="center"/>
      </w:pPr>
      <w:r>
        <w:rPr>
          <w:rFonts w:ascii="Calibri" w:cs="Calibri" w:eastAsia="Calibri" w:hAnsi="Calibri"/>
          <w:i/>
          <w:iCs/>
          <w:color w:val="1B5E20"/>
          <w:sz w:val="22"/>
          <w:szCs w:val="22"/>
        </w:rPr>
        <w:t xml:space="preserve">“Green PM continuously transforms every project event into synchronized project intelligence and actionable decisions.”</w:t>
      </w:r>
    </w:p>
    <w:p>
      <w:pPr>
        <w:pBdr>
          <w:bottom w:val="single" w:color="BDBDBD" w:sz="6"/>
        </w:pBdr>
        <w:spacing w:after="160" w:before="160"/>
      </w:pPr>
    </w:p>
    <w:p>
      <w:pPr>
        <w:spacing w:after="0" w:before="0"/>
      </w:pPr>
      <w:r>
        <w:br w:type="page"/>
      </w:r>
    </w:p>
    <w:p>
      <w:pPr>
        <w:pBdr>
          <w:bottom w:val="single" w:color="388E3C" w:sz="8"/>
        </w:pBdr>
        <w:spacing w:after="160" w:before="400"/>
      </w:pPr>
      <w:r>
        <w:rPr>
          <w:rFonts w:ascii="Calibri" w:cs="Calibri" w:eastAsia="Calibri" w:hAnsi="Calibri"/>
          <w:b/>
          <w:bCs/>
          <w:color w:val="1B5E20"/>
          <w:sz w:val="34"/>
          <w:szCs w:val="34"/>
        </w:rPr>
        <w:t xml:space="preserve">1. Purpose and Authority</w:t>
      </w:r>
    </w:p>
    <w:p>
      <w:pPr>
        <w:spacing w:after="120" w:before="80" w:line="280"/>
        <w:jc w:val="left"/>
      </w:pPr>
      <w:r>
        <w:rPr>
          <w:rFonts w:ascii="Calibri" w:cs="Calibri" w:eastAsia="Calibri" w:hAnsi="Calibri"/>
          <w:b w:val="false"/>
          <w:bCs w:val="false"/>
          <w:i w:val="false"/>
          <w:iCs w:val="false"/>
          <w:color w:val="212121"/>
          <w:sz w:val="22"/>
          <w:szCs w:val="22"/>
        </w:rPr>
        <w:t xml:space="preserve">This document defines the architectural decision rules that govern every implementation decision in Green PM v5. It is not a coding style guide. It exists to prevent the ten most common failure modes of event-driven, multi-engine platforms. Every rule states: the rule, the reason behind it, and what “wrong” looks like so engineers can self-check during 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88E3C" w:sz="6"/>
              <w:left w:val="thick" w:color="388E3C" w:sz="36"/>
              <w:bottom w:val="single" w:color="388E3C" w:sz="6"/>
              <w:right w:val="single" w:color="388E3C" w:sz="6"/>
            </w:tcBorders>
            <w:shd w:fill="E8F5E9" w:val="clear"/>
            <w:tcMar>
              <w:top w:type="dxa" w:w="120"/>
              <w:left w:type="dxa" w:w="200"/>
              <w:bottom w:type="dxa" w:w="120"/>
              <w:right w:type="dxa" w:w="160"/>
            </w:tcMar>
          </w:tcPr>
          <w:p>
            <w:pPr>
              <w:spacing w:after="80" w:before="0" w:line="260"/>
            </w:pPr>
            <w:r>
              <w:rPr>
                <w:rFonts w:ascii="Calibri" w:cs="Calibri" w:eastAsia="Calibri" w:hAnsi="Calibri"/>
                <w:b/>
                <w:bCs/>
                <w:color w:val="1B5E20"/>
                <w:sz w:val="21"/>
                <w:szCs w:val="21"/>
              </w:rPr>
              <w:t xml:space="preserve">Authority</w:t>
            </w:r>
          </w:p>
          <w:p>
            <w:pPr>
              <w:spacing w:after="40" w:before="0" w:line="260"/>
            </w:pPr>
            <w:r>
              <w:rPr>
                <w:rFonts w:ascii="Calibri" w:cs="Calibri" w:eastAsia="Calibri" w:hAnsi="Calibri"/>
                <w:b w:val="false"/>
                <w:bCs w:val="false"/>
                <w:i w:val="false"/>
                <w:iCs w:val="false"/>
                <w:color w:val="212121"/>
                <w:sz w:val="21"/>
                <w:szCs w:val="21"/>
              </w:rPr>
              <w:t xml:space="preserve">This document is the highest-authority technical reference for Green PM v5 implementation.</w:t>
            </w:r>
          </w:p>
          <w:p>
            <w:pPr>
              <w:spacing w:after="40" w:before="0" w:line="260"/>
            </w:pPr>
            <w:r>
              <w:rPr>
                <w:rFonts w:ascii="Calibri" w:cs="Calibri" w:eastAsia="Calibri" w:hAnsi="Calibri"/>
                <w:b w:val="false"/>
                <w:bCs w:val="false"/>
                <w:i w:val="false"/>
                <w:iCs w:val="false"/>
                <w:color w:val="212121"/>
                <w:sz w:val="21"/>
                <w:szCs w:val="21"/>
              </w:rPr>
              <w:t xml:space="preserve">It takes precedence over local team conventions when they conflict.</w:t>
            </w:r>
          </w:p>
          <w:p>
            <w:pPr>
              <w:spacing w:after="60" w:before="0"/>
            </w:pPr>
          </w:p>
          <w:p>
            <w:pPr>
              <w:spacing w:after="40" w:before="0" w:line="260"/>
            </w:pPr>
            <w:r>
              <w:rPr>
                <w:rFonts w:ascii="Calibri" w:cs="Calibri" w:eastAsia="Calibri" w:hAnsi="Calibri"/>
                <w:b w:val="false"/>
                <w:bCs w:val="false"/>
                <w:i w:val="false"/>
                <w:iCs w:val="false"/>
                <w:color w:val="212121"/>
                <w:sz w:val="21"/>
                <w:szCs w:val="21"/>
              </w:rPr>
              <w:t xml:space="preserve">It is frozen alongside v5.0. Changes require an Architecture Decision Record (ADR) and product owner sign-off.</w:t>
            </w:r>
          </w:p>
          <w:p>
            <w:pPr>
              <w:spacing w:after="60" w:before="0"/>
            </w:pPr>
          </w:p>
          <w:p>
            <w:pPr>
              <w:spacing w:after="0" w:before="0" w:line="260"/>
            </w:pPr>
            <w:r>
              <w:rPr>
                <w:rFonts w:ascii="Calibri" w:cs="Calibri" w:eastAsia="Calibri" w:hAnsi="Calibri"/>
                <w:b w:val="false"/>
                <w:bCs w:val="false"/>
                <w:i w:val="false"/>
                <w:iCs w:val="false"/>
                <w:color w:val="212121"/>
                <w:sz w:val="21"/>
                <w:szCs w:val="21"/>
              </w:rPr>
              <w:t xml:space="preserve">All code reviews must verify compliance with these standards before merge.</w:t>
            </w:r>
          </w:p>
        </w:tc>
      </w:tr>
    </w:tbl>
    <w:p>
      <w:pPr>
        <w:spacing w:after="0" w:before="0"/>
      </w:pPr>
    </w:p>
    <w:p>
      <w:pPr>
        <w:spacing w:after="80" w:before="200"/>
      </w:pPr>
      <w:r>
        <w:rPr>
          <w:rFonts w:ascii="Calibri" w:cs="Calibri" w:eastAsia="Calibri" w:hAnsi="Calibri"/>
          <w:b/>
          <w:bCs/>
          <w:color w:val="212121"/>
          <w:sz w:val="23"/>
          <w:szCs w:val="23"/>
        </w:rPr>
        <w:t xml:space="preserve">The Ten Failure Modes This Document Prevents</w:t>
      </w:r>
    </w:p>
    <w:p>
      <w:pPr>
        <w:pStyle w:val="ListParagraph"/>
        <w:numPr>
          <w:ilvl w:val="0"/>
          <w:numId w:val="2"/>
        </w:numPr>
        <w:spacing w:after="40" w:before="40" w:line="260"/>
      </w:pPr>
      <w:r>
        <w:rPr>
          <w:rFonts w:ascii="Calibri" w:cs="Calibri" w:eastAsia="Calibri" w:hAnsi="Calibri"/>
          <w:b w:val="false"/>
          <w:bCs w:val="false"/>
          <w:i w:val="false"/>
          <w:iCs w:val="false"/>
          <w:color w:val="212121"/>
          <w:sz w:val="21"/>
          <w:szCs w:val="21"/>
        </w:rPr>
        <w:t xml:space="preserve">Engines that own too much — an engine that writes to entity state it does not own creates competing sources of truth.</w:t>
      </w:r>
    </w:p>
    <w:p>
      <w:pPr>
        <w:pStyle w:val="ListParagraph"/>
        <w:numPr>
          <w:ilvl w:val="0"/>
          <w:numId w:val="2"/>
        </w:numPr>
        <w:spacing w:after="40" w:before="40" w:line="260"/>
      </w:pPr>
      <w:r>
        <w:rPr>
          <w:rFonts w:ascii="Calibri" w:cs="Calibri" w:eastAsia="Calibri" w:hAnsi="Calibri"/>
          <w:b w:val="false"/>
          <w:bCs w:val="false"/>
          <w:i w:val="false"/>
          <w:iCs w:val="false"/>
          <w:color w:val="212121"/>
          <w:sz w:val="21"/>
          <w:szCs w:val="21"/>
        </w:rPr>
        <w:t xml:space="preserve">Events that carry too little — a subscriber forced to query back for data defeats the purpose of event-driven design.</w:t>
      </w:r>
    </w:p>
    <w:p>
      <w:pPr>
        <w:pStyle w:val="ListParagraph"/>
        <w:numPr>
          <w:ilvl w:val="0"/>
          <w:numId w:val="2"/>
        </w:numPr>
        <w:spacing w:after="40" w:before="40" w:line="260"/>
      </w:pPr>
      <w:r>
        <w:rPr>
          <w:rFonts w:ascii="Calibri" w:cs="Calibri" w:eastAsia="Calibri" w:hAnsi="Calibri"/>
          <w:b w:val="false"/>
          <w:bCs w:val="false"/>
          <w:i w:val="false"/>
          <w:iCs w:val="false"/>
          <w:color w:val="212121"/>
          <w:sz w:val="21"/>
          <w:szCs w:val="21"/>
        </w:rPr>
        <w:t xml:space="preserve">Services that query each other directly — direct HTTP between engines creates hidden coupling and cascading failures.</w:t>
      </w:r>
    </w:p>
    <w:p>
      <w:pPr>
        <w:pStyle w:val="ListParagraph"/>
        <w:numPr>
          <w:ilvl w:val="0"/>
          <w:numId w:val="2"/>
        </w:numPr>
        <w:spacing w:after="40" w:before="40" w:line="260"/>
      </w:pPr>
      <w:r>
        <w:rPr>
          <w:rFonts w:ascii="Calibri" w:cs="Calibri" w:eastAsia="Calibri" w:hAnsi="Calibri"/>
          <w:b w:val="false"/>
          <w:bCs w:val="false"/>
          <w:i w:val="false"/>
          <w:iCs w:val="false"/>
          <w:color w:val="212121"/>
          <w:sz w:val="21"/>
          <w:szCs w:val="21"/>
        </w:rPr>
        <w:t xml:space="preserve">PIG that goes stale — a Project Intelligence Graph not updated event-driven diverges from reality silently.</w:t>
      </w:r>
    </w:p>
    <w:p>
      <w:pPr>
        <w:pStyle w:val="ListParagraph"/>
        <w:numPr>
          <w:ilvl w:val="0"/>
          <w:numId w:val="2"/>
        </w:numPr>
        <w:spacing w:after="40" w:before="40" w:line="260"/>
      </w:pPr>
      <w:r>
        <w:rPr>
          <w:rFonts w:ascii="Calibri" w:cs="Calibri" w:eastAsia="Calibri" w:hAnsi="Calibri"/>
          <w:b w:val="false"/>
          <w:bCs w:val="false"/>
          <w:i w:val="false"/>
          <w:iCs w:val="false"/>
          <w:color w:val="212121"/>
          <w:sz w:val="21"/>
          <w:szCs w:val="21"/>
        </w:rPr>
        <w:t xml:space="preserve">RLS that silently fails — a tenant isolation policy not tested per feature will eventually expose data cross-tenant.</w:t>
      </w:r>
    </w:p>
    <w:p>
      <w:pPr>
        <w:pStyle w:val="ListParagraph"/>
        <w:numPr>
          <w:ilvl w:val="0"/>
          <w:numId w:val="2"/>
        </w:numPr>
        <w:spacing w:after="40" w:before="40" w:line="260"/>
      </w:pPr>
      <w:r>
        <w:rPr>
          <w:rFonts w:ascii="Calibri" w:cs="Calibri" w:eastAsia="Calibri" w:hAnsi="Calibri"/>
          <w:b w:val="false"/>
          <w:bCs w:val="false"/>
          <w:i w:val="false"/>
          <w:iCs w:val="false"/>
          <w:color w:val="212121"/>
          <w:sz w:val="21"/>
          <w:szCs w:val="21"/>
        </w:rPr>
        <w:t xml:space="preserve">Events published inside transactions — if the DB transaction rolls back after the event is published, the system is permanently inconsistent.</w:t>
      </w:r>
    </w:p>
    <w:p>
      <w:pPr>
        <w:pStyle w:val="ListParagraph"/>
        <w:numPr>
          <w:ilvl w:val="0"/>
          <w:numId w:val="2"/>
        </w:numPr>
        <w:spacing w:after="40" w:before="40" w:line="260"/>
      </w:pPr>
      <w:r>
        <w:rPr>
          <w:rFonts w:ascii="Calibri" w:cs="Calibri" w:eastAsia="Calibri" w:hAnsi="Calibri"/>
          <w:b w:val="false"/>
          <w:bCs w:val="false"/>
          <w:i w:val="false"/>
          <w:iCs w:val="false"/>
          <w:color w:val="212121"/>
          <w:sz w:val="21"/>
          <w:szCs w:val="21"/>
        </w:rPr>
        <w:t xml:space="preserve">UUID v4 primary keys — random UUIDs fragment PostgreSQL B-tree indexes at scale.</w:t>
      </w:r>
    </w:p>
    <w:p>
      <w:pPr>
        <w:pStyle w:val="ListParagraph"/>
        <w:numPr>
          <w:ilvl w:val="0"/>
          <w:numId w:val="2"/>
        </w:numPr>
        <w:spacing w:after="40" w:before="40" w:line="260"/>
      </w:pPr>
      <w:r>
        <w:rPr>
          <w:rFonts w:ascii="Calibri" w:cs="Calibri" w:eastAsia="Calibri" w:hAnsi="Calibri"/>
          <w:b w:val="false"/>
          <w:bCs w:val="false"/>
          <w:i w:val="false"/>
          <w:iCs w:val="false"/>
          <w:color w:val="212121"/>
          <w:sz w:val="21"/>
          <w:szCs w:val="21"/>
        </w:rPr>
        <w:t xml:space="preserve">Mocked databases in integration tests — RLS, partial indexes, and JSONB operators all behave differently from mocks.</w:t>
      </w:r>
    </w:p>
    <w:p>
      <w:pPr>
        <w:pStyle w:val="ListParagraph"/>
        <w:numPr>
          <w:ilvl w:val="0"/>
          <w:numId w:val="2"/>
        </w:numPr>
        <w:spacing w:after="40" w:before="40" w:line="260"/>
      </w:pPr>
      <w:r>
        <w:rPr>
          <w:rFonts w:ascii="Calibri" w:cs="Calibri" w:eastAsia="Calibri" w:hAnsi="Calibri"/>
          <w:b w:val="false"/>
          <w:bCs w:val="false"/>
          <w:i w:val="false"/>
          <w:iCs w:val="false"/>
          <w:color w:val="212121"/>
          <w:sz w:val="21"/>
          <w:szCs w:val="21"/>
        </w:rPr>
        <w:t xml:space="preserve">Unbounded PIG traversal — a graph query without max_depth can run for minutes on a dense project graph.</w:t>
      </w:r>
    </w:p>
    <w:p>
      <w:pPr>
        <w:pStyle w:val="ListParagraph"/>
        <w:numPr>
          <w:ilvl w:val="0"/>
          <w:numId w:val="2"/>
        </w:numPr>
        <w:spacing w:after="40" w:before="40" w:line="260"/>
      </w:pPr>
      <w:r>
        <w:rPr>
          <w:rFonts w:ascii="Calibri" w:cs="Calibri" w:eastAsia="Calibri" w:hAnsi="Calibri"/>
          <w:b w:val="false"/>
          <w:bCs w:val="false"/>
          <w:i w:val="false"/>
          <w:iCs w:val="false"/>
          <w:color w:val="212121"/>
          <w:sz w:val="21"/>
          <w:szCs w:val="21"/>
        </w:rPr>
        <w:t xml:space="preserve">Wrong tenant returning 403 — revealing that an entity exists is a security violation; always return 404.</w:t>
      </w:r>
    </w:p>
    <w:p>
      <w:pPr>
        <w:spacing w:after="0" w:before="0"/>
      </w:pPr>
    </w:p>
    <w:p>
      <w:pPr>
        <w:spacing w:after="80" w:before="200"/>
      </w:pPr>
      <w:r>
        <w:rPr>
          <w:rFonts w:ascii="Calibri" w:cs="Calibri" w:eastAsia="Calibri" w:hAnsi="Calibri"/>
          <w:b/>
          <w:bCs/>
          <w:color w:val="212121"/>
          <w:sz w:val="23"/>
          <w:szCs w:val="23"/>
        </w:rPr>
        <w:t xml:space="preserve">How to Use This Document</w:t>
      </w:r>
    </w:p>
    <w:p>
      <w:pPr>
        <w:spacing w:after="80" w:before="80" w:line="280"/>
        <w:jc w:val="left"/>
      </w:pPr>
      <w:r>
        <w:rPr>
          <w:rFonts w:ascii="Calibri" w:cs="Calibri" w:eastAsia="Calibri" w:hAnsi="Calibri"/>
          <w:b w:val="false"/>
          <w:bCs w:val="false"/>
          <w:i w:val="false"/>
          <w:iCs w:val="false"/>
          <w:color w:val="212121"/>
          <w:sz w:val="22"/>
          <w:szCs w:val="22"/>
        </w:rPr>
        <w:t xml:space="preserve">Before writing any code, identify: (1) what type of thing you are modelling — see Section 2; (2) whether it needs a PIG node — see Section 3; (3) whether it produces events — see Section 4; (4) which service owns it — see Section 5. Sections 6–10 cover ID generation, mutability, consistency, security, and testing.</w:t>
      </w:r>
    </w:p>
    <w:p>
      <w:pPr>
        <w:spacing w:after="0" w:before="0"/>
      </w:pPr>
      <w:r>
        <w:br w:type="page"/>
      </w:r>
    </w:p>
    <w:p>
      <w:pPr>
        <w:pBdr>
          <w:bottom w:val="single" w:color="388E3C" w:sz="8"/>
        </w:pBdr>
        <w:spacing w:after="160" w:before="400"/>
      </w:pPr>
      <w:r>
        <w:rPr>
          <w:rFonts w:ascii="Calibri" w:cs="Calibri" w:eastAsia="Calibri" w:hAnsi="Calibri"/>
          <w:b/>
          <w:bCs/>
          <w:color w:val="1B5E20"/>
          <w:sz w:val="34"/>
          <w:szCs w:val="34"/>
        </w:rPr>
        <w:t xml:space="preserve">2. Entity, Event, and Value Object — The Taxonomy</w:t>
      </w:r>
    </w:p>
    <w:p>
      <w:pPr>
        <w:spacing w:after="120" w:before="80" w:line="280"/>
        <w:jc w:val="left"/>
      </w:pPr>
      <w:r>
        <w:rPr>
          <w:rFonts w:ascii="Calibri" w:cs="Calibri" w:eastAsia="Calibri" w:hAnsi="Calibri"/>
          <w:b w:val="false"/>
          <w:bCs w:val="false"/>
          <w:i w:val="false"/>
          <w:iCs w:val="false"/>
          <w:color w:val="212121"/>
          <w:sz w:val="22"/>
          <w:szCs w:val="22"/>
        </w:rPr>
        <w:t xml:space="preserve">This is the most important section. Before writing any code, classify what you are modelling. The classification determines the DB schema, PIG presence, event behaviour, and ownership rule. Getting this wrong creates compounding rework.</w:t>
      </w:r>
    </w:p>
    <w:p>
      <w:pPr>
        <w:spacing w:after="100" w:before="280"/>
      </w:pPr>
      <w:r>
        <w:rPr>
          <w:rFonts w:ascii="Calibri" w:cs="Calibri" w:eastAsia="Calibri" w:hAnsi="Calibri"/>
          <w:b/>
          <w:bCs/>
          <w:color w:val="388E3C"/>
          <w:sz w:val="26"/>
          <w:szCs w:val="26"/>
        </w:rPr>
        <w:t xml:space="preserve">2.1 Entity</w:t>
      </w:r>
    </w:p>
    <w:p>
      <w:pPr>
        <w:spacing w:after="80" w:before="80" w:line="280"/>
        <w:jc w:val="left"/>
      </w:pPr>
      <w:r>
        <w:rPr>
          <w:rFonts w:ascii="Calibri" w:cs="Calibri" w:eastAsia="Calibri" w:hAnsi="Calibri"/>
          <w:b/>
          <w:bCs/>
          <w:i w:val="false"/>
          <w:iCs w:val="false"/>
          <w:color w:val="212121"/>
          <w:sz w:val="22"/>
          <w:szCs w:val="22"/>
        </w:rPr>
        <w:t xml:space="preserve">Definition: </w:t>
      </w:r>
      <w:r>
        <w:rPr>
          <w:rFonts w:ascii="Calibri" w:cs="Calibri" w:eastAsia="Calibri" w:hAnsi="Calibri"/>
          <w:b w:val="false"/>
          <w:bCs w:val="false"/>
          <w:i w:val="false"/>
          <w:iCs w:val="false"/>
          <w:color w:val="212121"/>
          <w:sz w:val="22"/>
          <w:szCs w:val="22"/>
        </w:rPr>
        <w:t xml:space="preserve">A domain object with persistent identity, a lifecycle, and state that changes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88E3C" w:sz="6"/>
              <w:left w:val="thick" w:color="388E3C" w:sz="36"/>
              <w:bottom w:val="single" w:color="388E3C" w:sz="6"/>
              <w:right w:val="single" w:color="388E3C" w:sz="6"/>
            </w:tcBorders>
            <w:shd w:fill="E8F5E9" w:val="clear"/>
            <w:tcMar>
              <w:top w:type="dxa" w:w="120"/>
              <w:left w:type="dxa" w:w="200"/>
              <w:bottom w:type="dxa" w:w="120"/>
              <w:right w:type="dxa" w:w="160"/>
            </w:tcMar>
          </w:tcPr>
          <w:p>
            <w:pPr>
              <w:spacing w:after="80" w:before="0" w:line="260"/>
            </w:pPr>
            <w:r>
              <w:rPr>
                <w:rFonts w:ascii="Calibri" w:cs="Calibri" w:eastAsia="Calibri" w:hAnsi="Calibri"/>
                <w:b/>
                <w:bCs/>
                <w:color w:val="1B5E20"/>
                <w:sz w:val="21"/>
                <w:szCs w:val="21"/>
              </w:rPr>
              <w:t xml:space="preserve">Entity Rule</w:t>
            </w:r>
          </w:p>
          <w:p>
            <w:pPr>
              <w:spacing w:after="40" w:before="0" w:line="260"/>
            </w:pPr>
            <w:r>
              <w:rPr>
                <w:rFonts w:ascii="Calibri" w:cs="Calibri" w:eastAsia="Calibri" w:hAnsi="Calibri"/>
                <w:b w:val="false"/>
                <w:bCs w:val="false"/>
                <w:i w:val="false"/>
                <w:iCs w:val="false"/>
                <w:color w:val="212121"/>
                <w:sz w:val="21"/>
                <w:szCs w:val="21"/>
              </w:rPr>
              <w:t xml:space="preserve">An entity gets: a UUID v7 primary key · a DB table · a PIG node · a bounded context that owns it.</w:t>
            </w:r>
          </w:p>
          <w:p>
            <w:pPr>
              <w:spacing w:after="0" w:before="0" w:line="260"/>
            </w:pPr>
            <w:r>
              <w:rPr>
                <w:rFonts w:ascii="Calibri" w:cs="Calibri" w:eastAsia="Calibri" w:hAnsi="Calibri"/>
                <w:b w:val="false"/>
                <w:bCs w:val="false"/>
                <w:i w:val="false"/>
                <w:iCs w:val="false"/>
                <w:color w:val="212121"/>
                <w:sz w:val="21"/>
                <w:szCs w:val="21"/>
              </w:rPr>
              <w:t xml:space="preserve">An engine may READ an entity. An engine may NEVER write to an entity it does not own.</w:t>
            </w:r>
          </w:p>
        </w:tc>
      </w:tr>
    </w:tbl>
    <w:p>
      <w:pPr>
        <w:spacing w:after="0" w:before="0"/>
      </w:pPr>
    </w:p>
    <w:p>
      <w:pPr>
        <w:spacing w:after="80" w:before="80" w:line="280"/>
        <w:jc w:val="left"/>
      </w:pPr>
      <w:r>
        <w:rPr>
          <w:rFonts w:ascii="Calibri" w:cs="Calibri" w:eastAsia="Calibri" w:hAnsi="Calibri"/>
          <w:b/>
          <w:bCs/>
          <w:i w:val="false"/>
          <w:iCs w:val="false"/>
          <w:color w:val="1B5E20"/>
          <w:sz w:val="22"/>
          <w:szCs w:val="22"/>
        </w:rPr>
        <w:t xml:space="preserve">Examples: </w:t>
      </w:r>
      <w:r>
        <w:rPr>
          <w:rFonts w:ascii="Calibri" w:cs="Calibri" w:eastAsia="Calibri" w:hAnsi="Calibri"/>
          <w:b w:val="false"/>
          <w:bCs w:val="false"/>
          <w:i w:val="false"/>
          <w:iCs w:val="false"/>
          <w:color w:val="212121"/>
          <w:sz w:val="22"/>
          <w:szCs w:val="22"/>
        </w:rPr>
        <w:t xml:space="preserve">Activity, Drawing, Vendor, Risk, Decision, Change, Equipment, Gate, WBS, Package, Shipment, Commissioning Item</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"I'll add a derived_status column to activities that the Risk Engine writes." — The Risk Engine must write to risks, not activities. The Risk Engine does not own the activities table.</w:t>
      </w:r>
    </w:p>
    <w:p>
      <w:pPr>
        <w:spacing w:after="0" w:before="0"/>
      </w:pPr>
    </w:p>
    <w:p>
      <w:pPr>
        <w:spacing w:after="100" w:before="280"/>
      </w:pPr>
      <w:r>
        <w:rPr>
          <w:rFonts w:ascii="Calibri" w:cs="Calibri" w:eastAsia="Calibri" w:hAnsi="Calibri"/>
          <w:b/>
          <w:bCs/>
          <w:color w:val="388E3C"/>
          <w:sz w:val="26"/>
          <w:szCs w:val="26"/>
        </w:rPr>
        <w:t xml:space="preserve">2.2 Event</w:t>
      </w:r>
    </w:p>
    <w:p>
      <w:pPr>
        <w:spacing w:after="80" w:before="80" w:line="280"/>
        <w:jc w:val="left"/>
      </w:pPr>
      <w:r>
        <w:rPr>
          <w:rFonts w:ascii="Calibri" w:cs="Calibri" w:eastAsia="Calibri" w:hAnsi="Calibri"/>
          <w:b/>
          <w:bCs/>
          <w:i w:val="false"/>
          <w:iCs w:val="false"/>
          <w:color w:val="212121"/>
          <w:sz w:val="22"/>
          <w:szCs w:val="22"/>
        </w:rPr>
        <w:t xml:space="preserve">Definition: </w:t>
      </w:r>
      <w:r>
        <w:rPr>
          <w:rFonts w:ascii="Calibri" w:cs="Calibri" w:eastAsia="Calibri" w:hAnsi="Calibri"/>
          <w:b w:val="false"/>
          <w:bCs w:val="false"/>
          <w:i w:val="false"/>
          <w:iCs w:val="false"/>
          <w:color w:val="212121"/>
          <w:sz w:val="22"/>
          <w:szCs w:val="22"/>
        </w:rPr>
        <w:t xml:space="preserve">A record of something that happened. Immutable after publication. Past tense. Carries enough payload for all subscribers to act without querying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88E3C" w:sz="6"/>
              <w:left w:val="thick" w:color="388E3C" w:sz="36"/>
              <w:bottom w:val="single" w:color="388E3C" w:sz="6"/>
              <w:right w:val="single" w:color="388E3C" w:sz="6"/>
            </w:tcBorders>
            <w:shd w:fill="E8F5E9" w:val="clear"/>
            <w:tcMar>
              <w:top w:type="dxa" w:w="120"/>
              <w:left w:type="dxa" w:w="200"/>
              <w:bottom w:type="dxa" w:w="120"/>
              <w:right w:type="dxa" w:w="160"/>
            </w:tcMar>
          </w:tcPr>
          <w:p>
            <w:pPr>
              <w:spacing w:after="80" w:before="0" w:line="260"/>
            </w:pPr>
            <w:r>
              <w:rPr>
                <w:rFonts w:ascii="Calibri" w:cs="Calibri" w:eastAsia="Calibri" w:hAnsi="Calibri"/>
                <w:b/>
                <w:bCs/>
                <w:color w:val="1B5E20"/>
                <w:sz w:val="21"/>
                <w:szCs w:val="21"/>
              </w:rPr>
              <w:t xml:space="preserve">Event Rule</w:t>
            </w:r>
          </w:p>
          <w:p>
            <w:pPr>
              <w:spacing w:after="40" w:before="0" w:line="260"/>
            </w:pPr>
            <w:r>
              <w:rPr>
                <w:rFonts w:ascii="Calibri" w:cs="Calibri" w:eastAsia="Calibri" w:hAnsi="Calibri"/>
                <w:b w:val="false"/>
                <w:bCs w:val="false"/>
                <w:i w:val="false"/>
                <w:iCs w:val="false"/>
                <w:color w:val="212121"/>
                <w:sz w:val="21"/>
                <w:szCs w:val="21"/>
              </w:rPr>
              <w:t xml:space="preserve">An event is published AFTER the database commit (via Outbox). Never before.</w:t>
            </w:r>
          </w:p>
          <w:p>
            <w:pPr>
              <w:spacing w:after="0" w:before="0" w:line="260"/>
            </w:pPr>
            <w:r>
              <w:rPr>
                <w:rFonts w:ascii="Calibri" w:cs="Calibri" w:eastAsia="Calibri" w:hAnsi="Calibri"/>
                <w:b w:val="false"/>
                <w:bCs w:val="false"/>
                <w:i w:val="false"/>
                <w:iCs w:val="false"/>
                <w:color w:val="212121"/>
                <w:sz w:val="21"/>
                <w:szCs w:val="21"/>
              </w:rPr>
              <w:t xml:space="preserve">An event is never updated or deleted. If wrong, publish a correcting event.</w:t>
            </w:r>
          </w:p>
        </w:tc>
      </w:tr>
    </w:tbl>
    <w:p>
      <w:pPr>
        <w:spacing w:after="0" w:before="0"/>
      </w:pPr>
    </w:p>
    <w:p>
      <w:pPr>
        <w:spacing w:after="80" w:before="80" w:line="280"/>
        <w:jc w:val="left"/>
      </w:pPr>
      <w:r>
        <w:rPr>
          <w:rFonts w:ascii="Calibri" w:cs="Calibri" w:eastAsia="Calibri" w:hAnsi="Calibri"/>
          <w:b/>
          <w:bCs/>
          <w:i w:val="false"/>
          <w:iCs w:val="false"/>
          <w:color w:val="1B5E20"/>
          <w:sz w:val="22"/>
          <w:szCs w:val="22"/>
        </w:rPr>
        <w:t xml:space="preserve">Examples: </w:t>
      </w:r>
      <w:r>
        <w:rPr>
          <w:rFonts w:ascii="Calibri" w:cs="Calibri" w:eastAsia="Calibri" w:hAnsi="Calibri"/>
          <w:b w:val="false"/>
          <w:bCs w:val="false"/>
          <w:i w:val="false"/>
          <w:iCs w:val="false"/>
          <w:color w:val="212121"/>
          <w:sz w:val="22"/>
          <w:szCs w:val="22"/>
        </w:rPr>
        <w:t xml:space="preserve">ActivityDelayed, ChangeApproved, EvidenceScoreComputed, DrawingRevisionIssued, VendorScoreUpdated</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"We'll publish an event and then update the row to match." — The row must be correct first, then the event is published. The event is a record, not an instruction.</w:t>
      </w:r>
    </w:p>
    <w:p>
      <w:pPr>
        <w:spacing w:after="0" w:before="0"/>
      </w:pPr>
    </w:p>
    <w:p>
      <w:pPr>
        <w:spacing w:after="100" w:before="280"/>
      </w:pPr>
      <w:r>
        <w:rPr>
          <w:rFonts w:ascii="Calibri" w:cs="Calibri" w:eastAsia="Calibri" w:hAnsi="Calibri"/>
          <w:b/>
          <w:bCs/>
          <w:color w:val="388E3C"/>
          <w:sz w:val="26"/>
          <w:szCs w:val="26"/>
        </w:rPr>
        <w:t xml:space="preserve">2.3 Value Object</w:t>
      </w:r>
    </w:p>
    <w:p>
      <w:pPr>
        <w:spacing w:after="80" w:before="80" w:line="280"/>
        <w:jc w:val="left"/>
      </w:pPr>
      <w:r>
        <w:rPr>
          <w:rFonts w:ascii="Calibri" w:cs="Calibri" w:eastAsia="Calibri" w:hAnsi="Calibri"/>
          <w:b/>
          <w:bCs/>
          <w:i w:val="false"/>
          <w:iCs w:val="false"/>
          <w:color w:val="212121"/>
          <w:sz w:val="22"/>
          <w:szCs w:val="22"/>
        </w:rPr>
        <w:t xml:space="preserve">Definition: </w:t>
      </w:r>
      <w:r>
        <w:rPr>
          <w:rFonts w:ascii="Calibri" w:cs="Calibri" w:eastAsia="Calibri" w:hAnsi="Calibri"/>
          <w:b w:val="false"/>
          <w:bCs w:val="false"/>
          <w:i w:val="false"/>
          <w:iCs w:val="false"/>
          <w:color w:val="212121"/>
          <w:sz w:val="22"/>
          <w:szCs w:val="22"/>
        </w:rPr>
        <w:t xml:space="preserve">Has no identity, only value. Defined entirely by its attributes. Two value objects with identical attributes are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88E3C" w:sz="6"/>
              <w:left w:val="thick" w:color="388E3C" w:sz="36"/>
              <w:bottom w:val="single" w:color="388E3C" w:sz="6"/>
              <w:right w:val="single" w:color="388E3C" w:sz="6"/>
            </w:tcBorders>
            <w:shd w:fill="E8F5E9" w:val="clear"/>
            <w:tcMar>
              <w:top w:type="dxa" w:w="120"/>
              <w:left w:type="dxa" w:w="200"/>
              <w:bottom w:type="dxa" w:w="120"/>
              <w:right w:type="dxa" w:w="160"/>
            </w:tcMar>
          </w:tcPr>
          <w:p>
            <w:pPr>
              <w:spacing w:after="80" w:before="0" w:line="260"/>
            </w:pPr>
            <w:r>
              <w:rPr>
                <w:rFonts w:ascii="Calibri" w:cs="Calibri" w:eastAsia="Calibri" w:hAnsi="Calibri"/>
                <w:b/>
                <w:bCs/>
                <w:color w:val="1B5E20"/>
                <w:sz w:val="21"/>
                <w:szCs w:val="21"/>
              </w:rPr>
              <w:t xml:space="preserve">Value Object Rule</w:t>
            </w:r>
          </w:p>
          <w:p>
            <w:pPr>
              <w:spacing w:after="0" w:before="0" w:line="260"/>
            </w:pPr>
            <w:r>
              <w:rPr>
                <w:rFonts w:ascii="Calibri" w:cs="Calibri" w:eastAsia="Calibri" w:hAnsi="Calibri"/>
                <w:b w:val="false"/>
                <w:bCs w:val="false"/>
                <w:i w:val="false"/>
                <w:iCs w:val="false"/>
                <w:color w:val="212121"/>
                <w:sz w:val="21"/>
                <w:szCs w:val="21"/>
              </w:rPr>
              <w:t xml:space="preserve">Value objects live in JSONB columns, never in their own tables with FK relationships.</w:t>
            </w:r>
          </w:p>
        </w:tc>
      </w:tr>
    </w:tbl>
    <w:p>
      <w:pPr>
        <w:spacing w:after="0" w:before="0"/>
      </w:pPr>
    </w:p>
    <w:p>
      <w:pPr>
        <w:spacing w:after="80" w:before="80" w:line="280"/>
        <w:jc w:val="left"/>
      </w:pPr>
      <w:r>
        <w:rPr>
          <w:rFonts w:ascii="Calibri" w:cs="Calibri" w:eastAsia="Calibri" w:hAnsi="Calibri"/>
          <w:b/>
          <w:bCs/>
          <w:i w:val="false"/>
          <w:iCs w:val="false"/>
          <w:color w:val="1B5E20"/>
          <w:sz w:val="22"/>
          <w:szCs w:val="22"/>
        </w:rPr>
        <w:t xml:space="preserve">Examples: </w:t>
      </w:r>
      <w:r>
        <w:rPr>
          <w:rFonts w:ascii="Calibri" w:cs="Calibri" w:eastAsia="Calibri" w:hAnsi="Calibri"/>
          <w:b w:val="false"/>
          <w:bCs w:val="false"/>
          <w:i w:val="false"/>
          <w:iCs w:val="false"/>
          <w:color w:val="212121"/>
          <w:sz w:val="22"/>
          <w:szCs w:val="22"/>
        </w:rPr>
        <w:t xml:space="preserve">EvidenceScoreComponents (5-component breakdown), Address, DateRange, MoneyAmount</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"I'll create an evidence_score_components table with a FK to evidence_scores." — This is a value object. Put it in a jsonb column on evidence_scores.</w:t>
      </w:r>
    </w:p>
    <w:p>
      <w:pPr>
        <w:spacing w:after="0" w:before="0"/>
      </w:pPr>
    </w:p>
    <w:p>
      <w:pPr>
        <w:spacing w:after="100" w:before="280"/>
      </w:pPr>
      <w:r>
        <w:rPr>
          <w:rFonts w:ascii="Calibri" w:cs="Calibri" w:eastAsia="Calibri" w:hAnsi="Calibri"/>
          <w:b/>
          <w:bCs/>
          <w:color w:val="388E3C"/>
          <w:sz w:val="26"/>
          <w:szCs w:val="26"/>
        </w:rPr>
        <w:t xml:space="preserve">2.4 Command</w:t>
      </w:r>
    </w:p>
    <w:p>
      <w:pPr>
        <w:spacing w:after="80" w:before="80" w:line="280"/>
        <w:jc w:val="left"/>
      </w:pPr>
      <w:r>
        <w:rPr>
          <w:rFonts w:ascii="Calibri" w:cs="Calibri" w:eastAsia="Calibri" w:hAnsi="Calibri"/>
          <w:b/>
          <w:bCs/>
          <w:i w:val="false"/>
          <w:iCs w:val="false"/>
          <w:color w:val="212121"/>
          <w:sz w:val="22"/>
          <w:szCs w:val="22"/>
        </w:rPr>
        <w:t xml:space="preserve">Definition: </w:t>
      </w:r>
      <w:r>
        <w:rPr>
          <w:rFonts w:ascii="Calibri" w:cs="Calibri" w:eastAsia="Calibri" w:hAnsi="Calibri"/>
          <w:b w:val="false"/>
          <w:bCs w:val="false"/>
          <w:i w:val="false"/>
          <w:iCs w:val="false"/>
          <w:color w:val="212121"/>
          <w:sz w:val="22"/>
          <w:szCs w:val="22"/>
        </w:rPr>
        <w:t xml:space="preserve">An intent to change state. Validated before execution. Rejected if invalid.</w:t>
      </w:r>
    </w:p>
    <w:p>
      <w:pPr>
        <w:spacing w:after="80" w:before="80" w:line="280"/>
        <w:jc w:val="left"/>
      </w:pPr>
      <w:r>
        <w:rPr>
          <w:rFonts w:ascii="Calibri" w:cs="Calibri" w:eastAsia="Calibri" w:hAnsi="Calibri"/>
          <w:b w:val="false"/>
          <w:bCs w:val="false"/>
          <w:i w:val="false"/>
          <w:iCs w:val="false"/>
          <w:color w:val="212121"/>
          <w:sz w:val="22"/>
          <w:szCs w:val="22"/>
        </w:rPr>
        <w:t xml:space="preserve">Commands arrive via API (POST/PUT/DELETE). A Command that succeeds produces an Event. A Command that fails produces no Event and no side effects.</w:t>
      </w:r>
    </w:p>
    <w:p>
      <w:pPr>
        <w:spacing w:after="0" w:before="0"/>
      </w:pPr>
    </w:p>
    <w:p>
      <w:pPr>
        <w:spacing w:after="100" w:before="280"/>
      </w:pPr>
      <w:r>
        <w:rPr>
          <w:rFonts w:ascii="Calibri" w:cs="Calibri" w:eastAsia="Calibri" w:hAnsi="Calibri"/>
          <w:b/>
          <w:bCs/>
          <w:color w:val="388E3C"/>
          <w:sz w:val="26"/>
          <w:szCs w:val="26"/>
        </w:rPr>
        <w:t xml:space="preserve">2.5 Query</w:t>
      </w:r>
    </w:p>
    <w:p>
      <w:pPr>
        <w:spacing w:after="80" w:before="80" w:line="280"/>
        <w:jc w:val="left"/>
      </w:pPr>
      <w:r>
        <w:rPr>
          <w:rFonts w:ascii="Calibri" w:cs="Calibri" w:eastAsia="Calibri" w:hAnsi="Calibri"/>
          <w:b/>
          <w:bCs/>
          <w:i w:val="false"/>
          <w:iCs w:val="false"/>
          <w:color w:val="212121"/>
          <w:sz w:val="22"/>
          <w:szCs w:val="22"/>
        </w:rPr>
        <w:t xml:space="preserve">Definition: </w:t>
      </w:r>
      <w:r>
        <w:rPr>
          <w:rFonts w:ascii="Calibri" w:cs="Calibri" w:eastAsia="Calibri" w:hAnsi="Calibri"/>
          <w:b w:val="false"/>
          <w:bCs w:val="false"/>
          <w:i w:val="false"/>
          <w:iCs w:val="false"/>
          <w:color w:val="212121"/>
          <w:sz w:val="22"/>
          <w:szCs w:val="22"/>
        </w:rPr>
        <w:t xml:space="preserve">Reads state without changing it.</w:t>
      </w:r>
    </w:p>
    <w:p>
      <w:pPr>
        <w:spacing w:after="80" w:before="80" w:line="280"/>
        <w:jc w:val="left"/>
      </w:pPr>
      <w:r>
        <w:rPr>
          <w:rFonts w:ascii="Calibri" w:cs="Calibri" w:eastAsia="Calibri" w:hAnsi="Calibri"/>
          <w:b w:val="false"/>
          <w:bCs w:val="false"/>
          <w:i w:val="false"/>
          <w:iCs w:val="false"/>
          <w:color w:val="212121"/>
          <w:sz w:val="22"/>
          <w:szCs w:val="22"/>
        </w:rPr>
        <w:t xml:space="preserve">Queries never write to the database, never trigger Pub/Sub, never update the PIG. A function that does any of these is not a query.</w:t>
      </w:r>
    </w:p>
    <w:p>
      <w:pPr>
        <w:spacing w:after="0" w:before="0"/>
      </w:pPr>
    </w:p>
    <w:p>
      <w:pPr>
        <w:spacing w:after="80" w:before="200"/>
      </w:pPr>
      <w:r>
        <w:rPr>
          <w:rFonts w:ascii="Calibri" w:cs="Calibri" w:eastAsia="Calibri" w:hAnsi="Calibri"/>
          <w:b/>
          <w:bCs/>
          <w:color w:val="212121"/>
          <w:sz w:val="23"/>
          <w:szCs w:val="23"/>
        </w:rPr>
        <w:t xml:space="preserve">Taxonomy Quick-Reference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400"/>
            <w:tcBorders>
              <w:top w:val="single" w:color="BDBDBD" w:sz="4"/>
              <w:left w:val="single" w:color="BDBDBD" w:sz="4"/>
              <w:bottom w:val="single" w:color="BDBDBD" w:sz="4"/>
              <w:right w:val="single" w:color="BDBDBD" w:sz="4"/>
            </w:tcBorders>
            <w:shd w:fill="1B5E20" w:val="clear"/>
            <w:tcMar>
              <w:top w:type="dxa" w:w="80"/>
              <w:left w:type="dxa" w:w="120"/>
              <w:bottom w:type="dxa" w:w="80"/>
              <w:right w:type="dxa" w:w="80"/>
            </w:tcMar>
          </w:tcPr>
          <w:p>
            <w:pPr>
              <w:spacing w:after="40" w:before="40" w:line="260"/>
            </w:pPr>
            <w:r>
              <w:rPr>
                <w:rFonts w:ascii="Calibri" w:cs="Calibri" w:eastAsia="Calibri" w:hAnsi="Calibri"/>
                <w:b/>
                <w:bCs/>
                <w:color w:val="FFFFFF"/>
                <w:sz w:val="19"/>
                <w:szCs w:val="19"/>
              </w:rPr>
              <w:t xml:space="preserve">Type</w:t>
            </w:r>
          </w:p>
        </w:tc>
        <w:tc>
          <w:tcPr>
            <w:tcW w:type="dxa" w:w="900"/>
            <w:tcBorders>
              <w:top w:val="single" w:color="BDBDBD" w:sz="4"/>
              <w:left w:val="single" w:color="BDBDBD" w:sz="4"/>
              <w:bottom w:val="single" w:color="BDBDBD" w:sz="4"/>
              <w:right w:val="single" w:color="BDBDBD" w:sz="4"/>
            </w:tcBorders>
            <w:shd w:fill="1B5E20" w:val="clear"/>
            <w:tcMar>
              <w:top w:type="dxa" w:w="80"/>
              <w:left w:type="dxa" w:w="120"/>
              <w:bottom w:type="dxa" w:w="80"/>
              <w:right w:type="dxa" w:w="80"/>
            </w:tcMar>
          </w:tcPr>
          <w:p>
            <w:pPr>
              <w:spacing w:after="40" w:before="40" w:line="260"/>
            </w:pPr>
            <w:r>
              <w:rPr>
                <w:rFonts w:ascii="Calibri" w:cs="Calibri" w:eastAsia="Calibri" w:hAnsi="Calibri"/>
                <w:b/>
                <w:bCs/>
                <w:color w:val="FFFFFF"/>
                <w:sz w:val="19"/>
                <w:szCs w:val="19"/>
              </w:rPr>
              <w:t xml:space="preserve">Has UUID</w:t>
            </w:r>
          </w:p>
        </w:tc>
        <w:tc>
          <w:tcPr>
            <w:tcW w:type="dxa" w:w="1100"/>
            <w:tcBorders>
              <w:top w:val="single" w:color="BDBDBD" w:sz="4"/>
              <w:left w:val="single" w:color="BDBDBD" w:sz="4"/>
              <w:bottom w:val="single" w:color="BDBDBD" w:sz="4"/>
              <w:right w:val="single" w:color="BDBDBD" w:sz="4"/>
            </w:tcBorders>
            <w:shd w:fill="1B5E20" w:val="clear"/>
            <w:tcMar>
              <w:top w:type="dxa" w:w="80"/>
              <w:left w:type="dxa" w:w="120"/>
              <w:bottom w:type="dxa" w:w="80"/>
              <w:right w:type="dxa" w:w="80"/>
            </w:tcMar>
          </w:tcPr>
          <w:p>
            <w:pPr>
              <w:spacing w:after="40" w:before="40" w:line="260"/>
            </w:pPr>
            <w:r>
              <w:rPr>
                <w:rFonts w:ascii="Calibri" w:cs="Calibri" w:eastAsia="Calibri" w:hAnsi="Calibri"/>
                <w:b/>
                <w:bCs/>
                <w:color w:val="FFFFFF"/>
                <w:sz w:val="19"/>
                <w:szCs w:val="19"/>
              </w:rPr>
              <w:t xml:space="preserve">Has DB Table</w:t>
            </w:r>
          </w:p>
        </w:tc>
        <w:tc>
          <w:tcPr>
            <w:tcW w:type="dxa" w:w="1100"/>
            <w:tcBorders>
              <w:top w:val="single" w:color="BDBDBD" w:sz="4"/>
              <w:left w:val="single" w:color="BDBDBD" w:sz="4"/>
              <w:bottom w:val="single" w:color="BDBDBD" w:sz="4"/>
              <w:right w:val="single" w:color="BDBDBD" w:sz="4"/>
            </w:tcBorders>
            <w:shd w:fill="1B5E20" w:val="clear"/>
            <w:tcMar>
              <w:top w:type="dxa" w:w="80"/>
              <w:left w:type="dxa" w:w="120"/>
              <w:bottom w:type="dxa" w:w="80"/>
              <w:right w:type="dxa" w:w="80"/>
            </w:tcMar>
          </w:tcPr>
          <w:p>
            <w:pPr>
              <w:spacing w:after="40" w:before="40" w:line="260"/>
            </w:pPr>
            <w:r>
              <w:rPr>
                <w:rFonts w:ascii="Calibri" w:cs="Calibri" w:eastAsia="Calibri" w:hAnsi="Calibri"/>
                <w:b/>
                <w:bCs/>
                <w:color w:val="FFFFFF"/>
                <w:sz w:val="19"/>
                <w:szCs w:val="19"/>
              </w:rPr>
              <w:t xml:space="preserve">Has PIG Node</w:t>
            </w:r>
          </w:p>
        </w:tc>
        <w:tc>
          <w:tcPr>
            <w:tcW w:type="dxa" w:w="1200"/>
            <w:tcBorders>
              <w:top w:val="single" w:color="BDBDBD" w:sz="4"/>
              <w:left w:val="single" w:color="BDBDBD" w:sz="4"/>
              <w:bottom w:val="single" w:color="BDBDBD" w:sz="4"/>
              <w:right w:val="single" w:color="BDBDBD" w:sz="4"/>
            </w:tcBorders>
            <w:shd w:fill="1B5E20" w:val="clear"/>
            <w:tcMar>
              <w:top w:type="dxa" w:w="80"/>
              <w:left w:type="dxa" w:w="120"/>
              <w:bottom w:type="dxa" w:w="80"/>
              <w:right w:type="dxa" w:w="80"/>
            </w:tcMar>
          </w:tcPr>
          <w:p>
            <w:pPr>
              <w:spacing w:after="40" w:before="40" w:line="260"/>
            </w:pPr>
            <w:r>
              <w:rPr>
                <w:rFonts w:ascii="Calibri" w:cs="Calibri" w:eastAsia="Calibri" w:hAnsi="Calibri"/>
                <w:b/>
                <w:bCs/>
                <w:color w:val="FFFFFF"/>
                <w:sz w:val="19"/>
                <w:szCs w:val="19"/>
              </w:rPr>
              <w:t xml:space="preserve">Produces Events</w:t>
            </w:r>
          </w:p>
        </w:tc>
        <w:tc>
          <w:tcPr>
            <w:tcW w:type="dxa" w:w="3660"/>
            <w:tcBorders>
              <w:top w:val="single" w:color="BDBDBD" w:sz="4"/>
              <w:left w:val="single" w:color="BDBDBD" w:sz="4"/>
              <w:bottom w:val="single" w:color="BDBDBD" w:sz="4"/>
              <w:right w:val="single" w:color="BDBDBD" w:sz="4"/>
            </w:tcBorders>
            <w:shd w:fill="1B5E20" w:val="clear"/>
            <w:tcMar>
              <w:top w:type="dxa" w:w="80"/>
              <w:left w:type="dxa" w:w="120"/>
              <w:bottom w:type="dxa" w:w="80"/>
              <w:right w:type="dxa" w:w="80"/>
            </w:tcMar>
          </w:tcPr>
          <w:p>
            <w:pPr>
              <w:spacing w:after="40" w:before="40" w:line="260"/>
            </w:pPr>
            <w:r>
              <w:rPr>
                <w:rFonts w:ascii="Calibri" w:cs="Calibri" w:eastAsia="Calibri" w:hAnsi="Calibri"/>
                <w:b/>
                <w:bCs/>
                <w:color w:val="FFFFFF"/>
                <w:sz w:val="19"/>
                <w:szCs w:val="19"/>
              </w:rPr>
              <w:t xml:space="preserve">Immutable</w:t>
            </w:r>
          </w:p>
        </w:tc>
      </w:tr>
      <w:tr>
        <w:tc>
          <w:tcPr>
            <w:tcW w:type="dxa" w:w="1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Entity</w:t>
            </w:r>
          </w:p>
        </w:tc>
        <w:tc>
          <w:tcPr>
            <w:tcW w:type="dxa" w:w="9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Yes — v7</w:t>
            </w:r>
          </w:p>
        </w:tc>
        <w:tc>
          <w:tcPr>
            <w:tcW w:type="dxa" w:w="11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Yes</w:t>
            </w:r>
          </w:p>
        </w:tc>
        <w:tc>
          <w:tcPr>
            <w:tcW w:type="dxa" w:w="11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Yes</w:t>
            </w:r>
          </w:p>
        </w:tc>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No (engines do)</w:t>
            </w:r>
          </w:p>
        </w:tc>
        <w:tc>
          <w:tcPr>
            <w:tcW w:type="dxa" w:w="36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No — state changes</w:t>
            </w:r>
          </w:p>
        </w:tc>
      </w:tr>
      <w:tr>
        <w:tc>
          <w:tcPr>
            <w:tcW w:type="dxa" w:w="14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Event</w:t>
            </w:r>
          </w:p>
        </w:tc>
        <w:tc>
          <w:tcPr>
            <w:tcW w:type="dxa" w:w="9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Yes — v4</w:t>
            </w:r>
          </w:p>
        </w:tc>
        <w:tc>
          <w:tcPr>
            <w:tcW w:type="dxa" w:w="11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Outbox only</w:t>
            </w:r>
          </w:p>
        </w:tc>
        <w:tc>
          <w:tcPr>
            <w:tcW w:type="dxa" w:w="11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No</w:t>
            </w:r>
          </w:p>
        </w:tc>
        <w:tc>
          <w:tcPr>
            <w:tcW w:type="dxa" w:w="1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It IS an event</w:t>
            </w:r>
          </w:p>
        </w:tc>
        <w:tc>
          <w:tcPr>
            <w:tcW w:type="dxa" w:w="366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Yes — forever</w:t>
            </w:r>
          </w:p>
        </w:tc>
      </w:tr>
      <w:tr>
        <w:tc>
          <w:tcPr>
            <w:tcW w:type="dxa" w:w="1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Value Object</w:t>
            </w:r>
          </w:p>
        </w:tc>
        <w:tc>
          <w:tcPr>
            <w:tcW w:type="dxa" w:w="9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No</w:t>
            </w:r>
          </w:p>
        </w:tc>
        <w:tc>
          <w:tcPr>
            <w:tcW w:type="dxa" w:w="11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No (JSONB)</w:t>
            </w:r>
          </w:p>
        </w:tc>
        <w:tc>
          <w:tcPr>
            <w:tcW w:type="dxa" w:w="11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No</w:t>
            </w:r>
          </w:p>
        </w:tc>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No</w:t>
            </w:r>
          </w:p>
        </w:tc>
        <w:tc>
          <w:tcPr>
            <w:tcW w:type="dxa" w:w="36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Yes — by definition</w:t>
            </w:r>
          </w:p>
        </w:tc>
      </w:tr>
      <w:tr>
        <w:tc>
          <w:tcPr>
            <w:tcW w:type="dxa" w:w="14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Command</w:t>
            </w:r>
          </w:p>
        </w:tc>
        <w:tc>
          <w:tcPr>
            <w:tcW w:type="dxa" w:w="9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No</w:t>
            </w:r>
          </w:p>
        </w:tc>
        <w:tc>
          <w:tcPr>
            <w:tcW w:type="dxa" w:w="11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No</w:t>
            </w:r>
          </w:p>
        </w:tc>
        <w:tc>
          <w:tcPr>
            <w:tcW w:type="dxa" w:w="11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No</w:t>
            </w:r>
          </w:p>
        </w:tc>
        <w:tc>
          <w:tcPr>
            <w:tcW w:type="dxa" w:w="1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If successful</w:t>
            </w:r>
          </w:p>
        </w:tc>
        <w:tc>
          <w:tcPr>
            <w:tcW w:type="dxa" w:w="366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N/A — discarded</w:t>
            </w:r>
          </w:p>
        </w:tc>
      </w:tr>
      <w:tr>
        <w:tc>
          <w:tcPr>
            <w:tcW w:type="dxa" w:w="14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Query</w:t>
            </w:r>
          </w:p>
        </w:tc>
        <w:tc>
          <w:tcPr>
            <w:tcW w:type="dxa" w:w="9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No</w:t>
            </w:r>
          </w:p>
        </w:tc>
        <w:tc>
          <w:tcPr>
            <w:tcW w:type="dxa" w:w="11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No</w:t>
            </w:r>
          </w:p>
        </w:tc>
        <w:tc>
          <w:tcPr>
            <w:tcW w:type="dxa" w:w="11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No</w:t>
            </w:r>
          </w:p>
        </w:tc>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Never</w:t>
            </w:r>
          </w:p>
        </w:tc>
        <w:tc>
          <w:tcPr>
            <w:tcW w:type="dxa" w:w="36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N/A — read-only</w:t>
            </w:r>
          </w:p>
        </w:tc>
      </w:tr>
    </w:tbl>
    <w:p>
      <w:pPr>
        <w:spacing w:after="0" w:before="0"/>
      </w:pPr>
      <w:r>
        <w:br w:type="page"/>
      </w:r>
    </w:p>
    <w:p>
      <w:pPr>
        <w:pBdr>
          <w:bottom w:val="single" w:color="388E3C" w:sz="8"/>
        </w:pBdr>
        <w:spacing w:after="160" w:before="400"/>
      </w:pPr>
      <w:r>
        <w:rPr>
          <w:rFonts w:ascii="Calibri" w:cs="Calibri" w:eastAsia="Calibri" w:hAnsi="Calibri"/>
          <w:b/>
          <w:bCs/>
          <w:color w:val="1B5E20"/>
          <w:sz w:val="34"/>
          <w:szCs w:val="34"/>
        </w:rPr>
        <w:t xml:space="preserve">3. Project Intelligence Graph (PIG) — Rules of Use</w:t>
      </w:r>
    </w:p>
    <w:p>
      <w:pPr>
        <w:spacing w:after="120" w:before="80" w:line="280"/>
        <w:jc w:val="left"/>
      </w:pPr>
      <w:r>
        <w:rPr>
          <w:rFonts w:ascii="Calibri" w:cs="Calibri" w:eastAsia="Calibri" w:hAnsi="Calibri"/>
          <w:b w:val="false"/>
          <w:bCs w:val="false"/>
          <w:i w:val="false"/>
          <w:iCs w:val="false"/>
          <w:color w:val="212121"/>
          <w:sz w:val="22"/>
          <w:szCs w:val="22"/>
        </w:rPr>
        <w:t xml:space="preserve">The PIG is the architectural brain of Green PM v5. Every project entity has a graph_node. Every typed relationship between entities is a graph_edge with a weight (0.0–1.0) and optional expiry. Engines query the PIG — they do not maintain their own relationship models.</w:t>
      </w:r>
    </w:p>
    <w:p>
      <w:pPr>
        <w:spacing w:after="60" w:before="200" w:line="280"/>
      </w:pPr>
      <w:r>
        <w:rPr>
          <w:rFonts w:ascii="Calibri" w:cs="Calibri" w:eastAsia="Calibri" w:hAnsi="Calibri"/>
          <w:b/>
          <w:bCs/>
          <w:color w:val="388E3C"/>
          <w:sz w:val="22"/>
          <w:szCs w:val="22"/>
        </w:rPr>
        <w:t xml:space="preserve">Rule 1:  </w:t>
      </w:r>
      <w:r>
        <w:rPr>
          <w:rFonts w:ascii="Calibri" w:cs="Calibri" w:eastAsia="Calibri" w:hAnsi="Calibri"/>
          <w:b/>
          <w:bCs/>
          <w:color w:val="212121"/>
          <w:sz w:val="22"/>
          <w:szCs w:val="22"/>
        </w:rPr>
        <w:t xml:space="preserve">Engines query PIG, they never own relationships.</w:t>
      </w:r>
    </w:p>
    <w:p>
      <w:pPr>
        <w:spacing w:after="80" w:before="0" w:line="280"/>
        <w:jc w:val="left"/>
      </w:pPr>
      <w:r>
        <w:rPr>
          <w:rFonts w:ascii="Calibri" w:cs="Calibri" w:eastAsia="Calibri" w:hAnsi="Calibri"/>
          <w:b w:val="false"/>
          <w:bCs w:val="false"/>
          <w:i w:val="false"/>
          <w:iCs w:val="false"/>
          <w:color w:val="212121"/>
          <w:sz w:val="22"/>
          <w:szCs w:val="22"/>
        </w:rPr>
        <w:t xml:space="preserve">The Impact Engine does not maintain its own dependency table. It reads BLOCKS edges from graph_edges. If the relationship does not exist in PIG, the engine treats it as not existing — it does not fall back to a local cache or local copy.</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Maintaining a local impact_dependencies table in the Impact Engine service. This creates a second source of truth that will diverge from the PIG silently.</w:t>
      </w:r>
    </w:p>
    <w:p>
      <w:pPr>
        <w:spacing w:after="0" w:before="0"/>
      </w:pPr>
    </w:p>
    <w:p>
      <w:pPr>
        <w:spacing w:after="60" w:before="200" w:line="280"/>
      </w:pPr>
      <w:r>
        <w:rPr>
          <w:rFonts w:ascii="Calibri" w:cs="Calibri" w:eastAsia="Calibri" w:hAnsi="Calibri"/>
          <w:b/>
          <w:bCs/>
          <w:color w:val="388E3C"/>
          <w:sz w:val="22"/>
          <w:szCs w:val="22"/>
        </w:rPr>
        <w:t xml:space="preserve">Rule 2:  </w:t>
      </w:r>
      <w:r>
        <w:rPr>
          <w:rFonts w:ascii="Calibri" w:cs="Calibri" w:eastAsia="Calibri" w:hAnsi="Calibri"/>
          <w:b/>
          <w:bCs/>
          <w:color w:val="212121"/>
          <w:sz w:val="22"/>
          <w:szCs w:val="22"/>
        </w:rPr>
        <w:t xml:space="preserve">PIG is updated via event subscription, never via direct engine write.</w:t>
      </w:r>
    </w:p>
    <w:p>
      <w:pPr>
        <w:spacing w:after="80" w:before="0" w:line="280"/>
        <w:jc w:val="left"/>
      </w:pPr>
      <w:r>
        <w:rPr>
          <w:rFonts w:ascii="Calibri" w:cs="Calibri" w:eastAsia="Calibri" w:hAnsi="Calibri"/>
          <w:b w:val="false"/>
          <w:bCs w:val="false"/>
          <w:i w:val="false"/>
          <w:iCs w:val="false"/>
          <w:color w:val="212121"/>
          <w:sz w:val="22"/>
          <w:szCs w:val="22"/>
        </w:rPr>
        <w:t xml:space="preserve">When an activity is saved, the Core Platform service writes the graph_node synchronously. The PIG Service subscribes to activity.updated and updates the node’s attributes. An engine NEVER calls INSERT INTO graph_nodes directly.</w:t>
      </w:r>
    </w:p>
    <w:p>
      <w:pPr>
        <w:spacing w:after="80" w:before="80" w:line="280"/>
        <w:jc w:val="left"/>
      </w:pPr>
      <w:r>
        <w:rPr>
          <w:rFonts w:ascii="Calibri" w:cs="Calibri" w:eastAsia="Calibri" w:hAnsi="Calibri"/>
          <w:b/>
          <w:bCs/>
          <w:i w:val="false"/>
          <w:iCs w:val="false"/>
          <w:color w:val="E65100"/>
          <w:sz w:val="22"/>
          <w:szCs w:val="22"/>
        </w:rPr>
        <w:t xml:space="preserve">Exception: </w:t>
      </w:r>
      <w:r>
        <w:rPr>
          <w:rFonts w:ascii="Calibri" w:cs="Calibri" w:eastAsia="Calibri" w:hAnsi="Calibri"/>
          <w:b w:val="false"/>
          <w:bCs w:val="false"/>
          <w:i w:val="false"/>
          <w:iCs w:val="false"/>
          <w:color w:val="212121"/>
          <w:sz w:val="22"/>
          <w:szCs w:val="22"/>
        </w:rPr>
        <w:t xml:space="preserve">The Evidence Engine writes VERIFIES/REFERENCES/SATISFIES edges because evidence relationships are created during evidence processing. This is the only engine that writes edges directly, and only edges — never nodes.</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An engine calling graph_nodes INSERT directly from its own service, bypassing the PIG Service and its audit trail.</w:t>
      </w:r>
    </w:p>
    <w:p>
      <w:pPr>
        <w:spacing w:after="0" w:before="0"/>
      </w:pPr>
    </w:p>
    <w:p>
      <w:pPr>
        <w:spacing w:after="60" w:before="200" w:line="280"/>
      </w:pPr>
      <w:r>
        <w:rPr>
          <w:rFonts w:ascii="Calibri" w:cs="Calibri" w:eastAsia="Calibri" w:hAnsi="Calibri"/>
          <w:b/>
          <w:bCs/>
          <w:color w:val="388E3C"/>
          <w:sz w:val="22"/>
          <w:szCs w:val="22"/>
        </w:rPr>
        <w:t xml:space="preserve">Rule 3:  </w:t>
      </w:r>
      <w:r>
        <w:rPr>
          <w:rFonts w:ascii="Calibri" w:cs="Calibri" w:eastAsia="Calibri" w:hAnsi="Calibri"/>
          <w:b/>
          <w:bCs/>
          <w:color w:val="212121"/>
          <w:sz w:val="22"/>
          <w:szCs w:val="22"/>
        </w:rPr>
        <w:t xml:space="preserve">PIG edges have a weight and may have an expiry.</w:t>
      </w:r>
    </w:p>
    <w:p>
      <w:pPr>
        <w:spacing w:after="80" w:before="0" w:line="280"/>
        <w:jc w:val="left"/>
      </w:pPr>
      <w:r>
        <w:rPr>
          <w:rFonts w:ascii="Calibri" w:cs="Calibri" w:eastAsia="Calibri" w:hAnsi="Calibri"/>
          <w:b w:val="false"/>
          <w:bCs w:val="false"/>
          <w:i w:val="false"/>
          <w:iCs w:val="false"/>
          <w:color w:val="212121"/>
          <w:sz w:val="22"/>
          <w:szCs w:val="22"/>
        </w:rPr>
        <w:t xml:space="preserve">Every edge must have a weight between 0.0 and 1.0. Default weight = 1.0. Weight 0.0 means the relationship is effectively inactive but preserved for audit. Edges may have expires_at for time-bounded relationships (e.g., a temporary assignment).</w:t>
      </w:r>
    </w:p>
    <w:p>
      <w:pPr>
        <w:spacing w:after="0" w:before="0"/>
      </w:pPr>
    </w:p>
    <w:p>
      <w:pPr>
        <w:spacing w:after="60" w:before="200" w:line="280"/>
      </w:pPr>
      <w:r>
        <w:rPr>
          <w:rFonts w:ascii="Calibri" w:cs="Calibri" w:eastAsia="Calibri" w:hAnsi="Calibri"/>
          <w:b/>
          <w:bCs/>
          <w:color w:val="388E3C"/>
          <w:sz w:val="22"/>
          <w:szCs w:val="22"/>
        </w:rPr>
        <w:t xml:space="preserve">Rule 4:  </w:t>
      </w:r>
      <w:r>
        <w:rPr>
          <w:rFonts w:ascii="Calibri" w:cs="Calibri" w:eastAsia="Calibri" w:hAnsi="Calibri"/>
          <w:b/>
          <w:bCs/>
          <w:color w:val="212121"/>
          <w:sz w:val="22"/>
          <w:szCs w:val="22"/>
        </w:rPr>
        <w:t xml:space="preserve">Queries over the PIG must specify max_depth.</w:t>
      </w:r>
    </w:p>
    <w:p>
      <w:pPr>
        <w:spacing w:after="80" w:before="0" w:line="280"/>
        <w:jc w:val="left"/>
      </w:pPr>
      <w:r>
        <w:rPr>
          <w:rFonts w:ascii="Calibri" w:cs="Calibri" w:eastAsia="Calibri" w:hAnsi="Calibri"/>
          <w:b w:val="false"/>
          <w:bCs w:val="false"/>
          <w:i w:val="false"/>
          <w:iCs w:val="false"/>
          <w:color w:val="212121"/>
          <w:sz w:val="22"/>
          <w:szCs w:val="22"/>
        </w:rPr>
        <w:t xml:space="preserve">No unbounded graph traversal is permitted in production. All PIG queries sent to the PIG Query Service must include max_depth ≤ 5. The PIG Query Service enforces this at the API layer and rejects queries without it.</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A PIG traversal without max_depth on a dense project graph can run for minutes and bring down the service for all tenants.</w:t>
      </w:r>
    </w:p>
    <w:p>
      <w:pPr>
        <w:spacing w:after="0" w:before="0"/>
      </w:pPr>
    </w:p>
    <w:p>
      <w:pPr>
        <w:spacing w:after="60" w:before="200" w:line="280"/>
      </w:pPr>
      <w:r>
        <w:rPr>
          <w:rFonts w:ascii="Calibri" w:cs="Calibri" w:eastAsia="Calibri" w:hAnsi="Calibri"/>
          <w:b/>
          <w:bCs/>
          <w:color w:val="388E3C"/>
          <w:sz w:val="22"/>
          <w:szCs w:val="22"/>
        </w:rPr>
        <w:t xml:space="preserve">Rule 5:  </w:t>
      </w:r>
      <w:r>
        <w:rPr>
          <w:rFonts w:ascii="Calibri" w:cs="Calibri" w:eastAsia="Calibri" w:hAnsi="Calibri"/>
          <w:b/>
          <w:bCs/>
          <w:color w:val="212121"/>
          <w:sz w:val="22"/>
          <w:szCs w:val="22"/>
        </w:rPr>
        <w:t xml:space="preserve">PIG consistency is tested, not assumed.</w:t>
      </w:r>
    </w:p>
    <w:p>
      <w:pPr>
        <w:spacing w:after="80" w:before="0" w:line="280"/>
        <w:jc w:val="left"/>
      </w:pPr>
      <w:r>
        <w:rPr>
          <w:rFonts w:ascii="Calibri" w:cs="Calibri" w:eastAsia="Calibri" w:hAnsi="Calibri"/>
          <w:b w:val="false"/>
          <w:bCs w:val="false"/>
          <w:i w:val="false"/>
          <w:iCs w:val="false"/>
          <w:color w:val="212121"/>
          <w:sz w:val="22"/>
          <w:szCs w:val="22"/>
        </w:rPr>
        <w:t xml:space="preserve">Every integration test that creates an entity must verify that the corresponding graph_node was created. A test that creates an Activity and does not assert the PIG node is incomplete and will not pass the PR gate.</w:t>
      </w:r>
    </w:p>
    <w:p>
      <w:pPr>
        <w:spacing w:after="0" w:before="0"/>
      </w:pPr>
    </w:p>
    <w:p>
      <w:pPr>
        <w:spacing w:after="80" w:before="200"/>
      </w:pPr>
      <w:r>
        <w:rPr>
          <w:rFonts w:ascii="Calibri" w:cs="Calibri" w:eastAsia="Calibri" w:hAnsi="Calibri"/>
          <w:b/>
          <w:bCs/>
          <w:color w:val="212121"/>
          <w:sz w:val="23"/>
          <w:szCs w:val="23"/>
        </w:rPr>
        <w:t xml:space="preserve">PIG Rule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BDBDBD" w:sz="4"/>
              <w:left w:val="single" w:color="BDBDBD" w:sz="4"/>
              <w:bottom w:val="single" w:color="BDBDBD" w:sz="4"/>
              <w:right w:val="single" w:color="BDBDBD" w:sz="4"/>
            </w:tcBorders>
            <w:shd w:fill="1B5E20" w:val="clear"/>
            <w:tcMar>
              <w:top w:type="dxa" w:w="80"/>
              <w:left w:type="dxa" w:w="120"/>
              <w:bottom w:type="dxa" w:w="80"/>
              <w:right w:type="dxa" w:w="80"/>
            </w:tcMar>
          </w:tcPr>
          <w:p>
            <w:pPr>
              <w:spacing w:after="40" w:before="40" w:line="260"/>
            </w:pPr>
            <w:r>
              <w:rPr>
                <w:rFonts w:ascii="Calibri" w:cs="Calibri" w:eastAsia="Calibri" w:hAnsi="Calibri"/>
                <w:b/>
                <w:bCs/>
                <w:color w:val="FFFFFF"/>
                <w:sz w:val="19"/>
                <w:szCs w:val="19"/>
              </w:rPr>
              <w:t xml:space="preserve">Rule</w:t>
            </w:r>
          </w:p>
        </w:tc>
        <w:tc>
          <w:tcPr>
            <w:tcW w:type="dxa" w:w="4000"/>
            <w:tcBorders>
              <w:top w:val="single" w:color="BDBDBD" w:sz="4"/>
              <w:left w:val="single" w:color="BDBDBD" w:sz="4"/>
              <w:bottom w:val="single" w:color="BDBDBD" w:sz="4"/>
              <w:right w:val="single" w:color="BDBDBD" w:sz="4"/>
            </w:tcBorders>
            <w:shd w:fill="1B5E20" w:val="clear"/>
            <w:tcMar>
              <w:top w:type="dxa" w:w="80"/>
              <w:left w:type="dxa" w:w="120"/>
              <w:bottom w:type="dxa" w:w="80"/>
              <w:right w:type="dxa" w:w="80"/>
            </w:tcMar>
          </w:tcPr>
          <w:p>
            <w:pPr>
              <w:spacing w:after="40" w:before="40" w:line="260"/>
            </w:pPr>
            <w:r>
              <w:rPr>
                <w:rFonts w:ascii="Calibri" w:cs="Calibri" w:eastAsia="Calibri" w:hAnsi="Calibri"/>
                <w:b/>
                <w:bCs/>
                <w:color w:val="FFFFFF"/>
                <w:sz w:val="19"/>
                <w:szCs w:val="19"/>
              </w:rPr>
              <w:t xml:space="preserve">What It Prevents</w:t>
            </w:r>
          </w:p>
        </w:tc>
        <w:tc>
          <w:tcPr>
            <w:tcW w:type="dxa" w:w="2860"/>
            <w:tcBorders>
              <w:top w:val="single" w:color="BDBDBD" w:sz="4"/>
              <w:left w:val="single" w:color="BDBDBD" w:sz="4"/>
              <w:bottom w:val="single" w:color="BDBDBD" w:sz="4"/>
              <w:right w:val="single" w:color="BDBDBD" w:sz="4"/>
            </w:tcBorders>
            <w:shd w:fill="1B5E20" w:val="clear"/>
            <w:tcMar>
              <w:top w:type="dxa" w:w="80"/>
              <w:left w:type="dxa" w:w="120"/>
              <w:bottom w:type="dxa" w:w="80"/>
              <w:right w:type="dxa" w:w="80"/>
            </w:tcMar>
          </w:tcPr>
          <w:p>
            <w:pPr>
              <w:spacing w:after="40" w:before="40" w:line="260"/>
            </w:pPr>
            <w:r>
              <w:rPr>
                <w:rFonts w:ascii="Calibri" w:cs="Calibri" w:eastAsia="Calibri" w:hAnsi="Calibri"/>
                <w:b/>
                <w:bCs/>
                <w:color w:val="FFFFFF"/>
                <w:sz w:val="19"/>
                <w:szCs w:val="19"/>
              </w:rPr>
              <w:t xml:space="preserve">Enforced By</w:t>
            </w:r>
          </w:p>
        </w:tc>
      </w:tr>
      <w:tr>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Rule 1: Engines query PIG only</w:t>
            </w:r>
          </w:p>
        </w:tc>
        <w:tc>
          <w:tcPr>
            <w:tcW w:type="dxa" w:w="4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Competing relationship caches that diverge from reality</w:t>
            </w:r>
          </w:p>
        </w:tc>
        <w:tc>
          <w:tcPr>
            <w:tcW w:type="dxa" w:w="28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Architecture review / code review</w:t>
            </w:r>
          </w:p>
        </w:tc>
      </w:tr>
      <w:tr>
        <w:tc>
          <w:tcPr>
            <w:tcW w:type="dxa" w:w="25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Rule 2: PIG updated via events</w:t>
            </w:r>
          </w:p>
        </w:tc>
        <w:tc>
          <w:tcPr>
            <w:tcW w:type="dxa" w:w="40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Direct writes that bypass PIG audit trail and event history</w:t>
            </w:r>
          </w:p>
        </w:tc>
        <w:tc>
          <w:tcPr>
            <w:tcW w:type="dxa" w:w="286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Service boundary ownership (table ownership)</w:t>
            </w:r>
          </w:p>
        </w:tc>
      </w:tr>
      <w:tr>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Rule 3: Edges have weight + expiry</w:t>
            </w:r>
          </w:p>
        </w:tc>
        <w:tc>
          <w:tcPr>
            <w:tcW w:type="dxa" w:w="4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Relationship history loss; silent deactivation without audit</w:t>
            </w:r>
          </w:p>
        </w:tc>
        <w:tc>
          <w:tcPr>
            <w:tcW w:type="dxa" w:w="28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graph_edges schema (weight NOT NULL, default 1.0)</w:t>
            </w:r>
          </w:p>
        </w:tc>
      </w:tr>
      <w:tr>
        <w:tc>
          <w:tcPr>
            <w:tcW w:type="dxa" w:w="25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Rule 4: max_depth required</w:t>
            </w:r>
          </w:p>
        </w:tc>
        <w:tc>
          <w:tcPr>
            <w:tcW w:type="dxa" w:w="40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Unbounded traversal causing P99 timeouts across all tenants</w:t>
            </w:r>
          </w:p>
        </w:tc>
        <w:tc>
          <w:tcPr>
            <w:tcW w:type="dxa" w:w="286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PIG Query Service API layer validation</w:t>
            </w:r>
          </w:p>
        </w:tc>
      </w:tr>
      <w:tr>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Rule 5: PIG tested in every entity test</w:t>
            </w:r>
          </w:p>
        </w:tc>
        <w:tc>
          <w:tcPr>
            <w:tcW w:type="dxa" w:w="4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Silent PIG drift undetected until production</w:t>
            </w:r>
          </w:p>
        </w:tc>
        <w:tc>
          <w:tcPr>
            <w:tcW w:type="dxa" w:w="28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40" w:line="260"/>
            </w:pPr>
            <w:r>
              <w:rPr>
                <w:rFonts w:ascii="Calibri" w:cs="Calibri" w:eastAsia="Calibri" w:hAnsi="Calibri"/>
                <w:b w:val="false"/>
                <w:bCs w:val="false"/>
                <w:color w:val="212121"/>
                <w:sz w:val="19"/>
                <w:szCs w:val="19"/>
              </w:rPr>
              <w:t xml:space="preserve">CI test gate (pytest coverage requirement)</w:t>
            </w:r>
          </w:p>
        </w:tc>
      </w:tr>
    </w:tbl>
    <w:p>
      <w:pPr>
        <w:spacing w:after="0" w:before="0"/>
      </w:pPr>
      <w:r>
        <w:br w:type="page"/>
      </w:r>
    </w:p>
    <w:p>
      <w:pPr>
        <w:pBdr>
          <w:bottom w:val="single" w:color="388E3C" w:sz="8"/>
        </w:pBdr>
        <w:spacing w:after="160" w:before="400"/>
      </w:pPr>
      <w:r>
        <w:rPr>
          <w:rFonts w:ascii="Calibri" w:cs="Calibri" w:eastAsia="Calibri" w:hAnsi="Calibri"/>
          <w:b/>
          <w:bCs/>
          <w:color w:val="1B5E20"/>
          <w:sz w:val="34"/>
          <w:szCs w:val="34"/>
        </w:rPr>
        <w:t xml:space="preserve">4. Event Design Rules</w:t>
      </w:r>
    </w:p>
    <w:p>
      <w:pPr>
        <w:spacing w:after="120" w:before="80" w:line="280"/>
        <w:jc w:val="left"/>
      </w:pPr>
      <w:r>
        <w:rPr>
          <w:rFonts w:ascii="Calibri" w:cs="Calibri" w:eastAsia="Calibri" w:hAnsi="Calibri"/>
          <w:b w:val="false"/>
          <w:bCs w:val="false"/>
          <w:i w:val="false"/>
          <w:iCs w:val="false"/>
          <w:color w:val="212121"/>
          <w:sz w:val="22"/>
          <w:szCs w:val="22"/>
        </w:rPr>
        <w:t xml:space="preserve">Events are the primary communication medium between engines. Poorly designed events — too thin, too imperative, or published at the wrong moment — are the single most common source of distributed system bugs. These rules are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62828" w:sz="6"/>
              <w:left w:val="thick" w:color="C62828" w:sz="36"/>
              <w:bottom w:val="single" w:color="C62828" w:sz="6"/>
              <w:right w:val="single" w:color="C62828" w:sz="6"/>
            </w:tcBorders>
            <w:shd w:fill="FFEBEE" w:val="clear"/>
            <w:tcMar>
              <w:top w:type="dxa" w:w="120"/>
              <w:left w:type="dxa" w:w="200"/>
              <w:bottom w:type="dxa" w:w="120"/>
              <w:right w:type="dxa" w:w="160"/>
            </w:tcMar>
          </w:tcPr>
          <w:p>
            <w:pPr>
              <w:spacing w:after="80" w:before="0" w:line="260"/>
            </w:pPr>
            <w:r>
              <w:rPr>
                <w:rFonts w:ascii="Calibri" w:cs="Calibri" w:eastAsia="Calibri" w:hAnsi="Calibri"/>
                <w:b/>
                <w:bCs/>
                <w:color w:val="C62828"/>
                <w:sz w:val="21"/>
                <w:szCs w:val="21"/>
              </w:rPr>
              <w:t xml:space="preserve">CRITICAL — Never Publish Events Inside a Database Transaction</w:t>
            </w:r>
          </w:p>
          <w:p>
            <w:pPr>
              <w:spacing w:after="40" w:before="0" w:line="260"/>
            </w:pPr>
            <w:r>
              <w:rPr>
                <w:rFonts w:ascii="Calibri" w:cs="Calibri" w:eastAsia="Calibri" w:hAnsi="Calibri"/>
                <w:b w:val="false"/>
                <w:bCs w:val="false"/>
                <w:i w:val="false"/>
                <w:iCs w:val="false"/>
                <w:color w:val="212121"/>
                <w:sz w:val="21"/>
                <w:szCs w:val="21"/>
              </w:rPr>
              <w:t xml:space="preserve">Publish ONLY via the Outbox pattern: write to outbox_events in the same transaction as the state</w:t>
            </w:r>
          </w:p>
          <w:p>
            <w:pPr>
              <w:spacing w:after="40" w:before="0" w:line="260"/>
            </w:pPr>
            <w:r>
              <w:rPr>
                <w:rFonts w:ascii="Calibri" w:cs="Calibri" w:eastAsia="Calibri" w:hAnsi="Calibri"/>
                <w:b w:val="false"/>
                <w:bCs w:val="false"/>
                <w:i w:val="false"/>
                <w:iCs w:val="false"/>
                <w:color w:val="212121"/>
                <w:sz w:val="21"/>
                <w:szCs w:val="21"/>
              </w:rPr>
              <w:t xml:space="preserve">change, then let the Outbox Worker publish asynchronously. If the transaction rolls back, the event</w:t>
            </w:r>
          </w:p>
          <w:p>
            <w:pPr>
              <w:spacing w:after="40" w:before="0" w:line="260"/>
            </w:pPr>
            <w:r>
              <w:rPr>
                <w:rFonts w:ascii="Calibri" w:cs="Calibri" w:eastAsia="Calibri" w:hAnsi="Calibri"/>
                <w:b w:val="false"/>
                <w:bCs w:val="false"/>
                <w:i w:val="false"/>
                <w:iCs w:val="false"/>
                <w:color w:val="212121"/>
                <w:sz w:val="21"/>
                <w:szCs w:val="21"/>
              </w:rPr>
              <w:t xml:space="preserve">row is also rolled back — no phantom events reach subscribers.</w:t>
            </w:r>
          </w:p>
          <w:p>
            <w:pPr>
              <w:spacing w:after="60" w:before="0"/>
            </w:pPr>
          </w:p>
          <w:p>
            <w:pPr>
              <w:spacing w:after="40" w:before="0" w:line="260"/>
            </w:pPr>
            <w:r>
              <w:rPr>
                <w:rFonts w:ascii="Calibri" w:cs="Calibri" w:eastAsia="Calibri" w:hAnsi="Calibri"/>
                <w:b w:val="false"/>
                <w:bCs w:val="false"/>
                <w:i w:val="false"/>
                <w:iCs w:val="false"/>
                <w:color w:val="212121"/>
                <w:sz w:val="21"/>
                <w:szCs w:val="21"/>
              </w:rPr>
              <w:t xml:space="preserve">Wrong: await pubsub.publish(event) inside an async with session.begin(): block.</w:t>
            </w:r>
          </w:p>
          <w:p>
            <w:pPr>
              <w:spacing w:after="40" w:before="0" w:line="260"/>
            </w:pPr>
            <w:r>
              <w:rPr>
                <w:rFonts w:ascii="Calibri" w:cs="Calibri" w:eastAsia="Calibri" w:hAnsi="Calibri"/>
                <w:b w:val="false"/>
                <w:bCs w:val="false"/>
                <w:i w:val="false"/>
                <w:iCs w:val="false"/>
                <w:color w:val="212121"/>
                <w:sz w:val="21"/>
                <w:szCs w:val="21"/>
              </w:rPr>
              <w:t xml:space="preserve">If the transaction later rolls back, the event is already in Pub/Sub. The system is now permanently</w:t>
            </w:r>
          </w:p>
          <w:p>
            <w:pPr>
              <w:spacing w:after="0" w:before="0" w:line="260"/>
            </w:pPr>
            <w:r>
              <w:rPr>
                <w:rFonts w:ascii="Calibri" w:cs="Calibri" w:eastAsia="Calibri" w:hAnsi="Calibri"/>
                <w:b w:val="false"/>
                <w:bCs w:val="false"/>
                <w:i w:val="false"/>
                <w:iCs w:val="false"/>
                <w:color w:val="212121"/>
                <w:sz w:val="21"/>
                <w:szCs w:val="21"/>
              </w:rPr>
              <w:t xml:space="preserve">inconsistent and there is no recovery path.</w:t>
            </w:r>
          </w:p>
        </w:tc>
      </w:tr>
    </w:tbl>
    <w:p>
      <w:pPr>
        <w:spacing w:after="0" w:before="0"/>
      </w:pPr>
    </w:p>
    <w:p>
      <w:pPr>
        <w:spacing w:after="60" w:before="200" w:line="280"/>
      </w:pPr>
      <w:r>
        <w:rPr>
          <w:rFonts w:ascii="Calibri" w:cs="Calibri" w:eastAsia="Calibri" w:hAnsi="Calibri"/>
          <w:b/>
          <w:bCs/>
          <w:color w:val="388E3C"/>
          <w:sz w:val="22"/>
          <w:szCs w:val="22"/>
        </w:rPr>
        <w:t xml:space="preserve">Rule 1:  </w:t>
      </w:r>
      <w:r>
        <w:rPr>
          <w:rFonts w:ascii="Calibri" w:cs="Calibri" w:eastAsia="Calibri" w:hAnsi="Calibri"/>
          <w:b/>
          <w:bCs/>
          <w:color w:val="212121"/>
          <w:sz w:val="22"/>
          <w:szCs w:val="22"/>
        </w:rPr>
        <w:t xml:space="preserve">Events describe what happened, not what to do.</w:t>
      </w:r>
    </w:p>
    <w:p>
      <w:pPr>
        <w:spacing w:after="80" w:before="80" w:line="280"/>
        <w:jc w:val="left"/>
      </w:pPr>
      <w:r>
        <w:rPr>
          <w:rFonts w:ascii="Calibri" w:cs="Calibri" w:eastAsia="Calibri" w:hAnsi="Calibri"/>
          <w:b/>
          <w:bCs/>
          <w:i w:val="false"/>
          <w:iCs w:val="false"/>
          <w:color w:val="1B5E20"/>
          <w:sz w:val="22"/>
          <w:szCs w:val="22"/>
        </w:rPr>
        <w:t xml:space="preserve">Correct: </w:t>
      </w:r>
      <w:r>
        <w:rPr>
          <w:rFonts w:ascii="Courier New" w:cs="Courier New" w:eastAsia="Courier New" w:hAnsi="Courier New"/>
          <w:color w:val="7B1FA2"/>
          <w:sz w:val="19"/>
          <w:szCs w:val="19"/>
        </w:rPr>
        <w:t xml:space="preserve">ActivityDelayed</w:t>
      </w:r>
      <w:r>
        <w:rPr>
          <w:rFonts w:ascii="Calibri" w:cs="Calibri" w:eastAsia="Calibri" w:hAnsi="Calibri"/>
          <w:b w:val="false"/>
          <w:bCs w:val="false"/>
          <w:i w:val="false"/>
          <w:iCs w:val="false"/>
          <w:color w:val="212121"/>
          <w:sz w:val="22"/>
          <w:szCs w:val="22"/>
        </w:rPr>
        <w:t xml:space="preserve"> — past tense, describes reality.</w:t>
      </w:r>
    </w:p>
    <w:p>
      <w:pPr>
        <w:spacing w:after="80" w:before="80" w:line="280"/>
        <w:jc w:val="left"/>
      </w:pPr>
      <w:r>
        <w:rPr>
          <w:rFonts w:ascii="Calibri" w:cs="Calibri" w:eastAsia="Calibri" w:hAnsi="Calibri"/>
          <w:b/>
          <w:bCs/>
          <w:i w:val="false"/>
          <w:iCs w:val="false"/>
          <w:color w:val="1B5E20"/>
          <w:sz w:val="22"/>
          <w:szCs w:val="22"/>
        </w:rPr>
        <w:t xml:space="preserve">Correct: </w:t>
      </w:r>
      <w:r>
        <w:rPr>
          <w:rFonts w:ascii="Courier New" w:cs="Courier New" w:eastAsia="Courier New" w:hAnsi="Courier New"/>
          <w:color w:val="7B1FA2"/>
          <w:sz w:val="19"/>
          <w:szCs w:val="19"/>
        </w:rPr>
        <w:t xml:space="preserve">DrawingRevisionIssued</w:t>
      </w:r>
      <w:r>
        <w:rPr>
          <w:rFonts w:ascii="Calibri" w:cs="Calibri" w:eastAsia="Calibri" w:hAnsi="Calibri"/>
          <w:b w:val="false"/>
          <w:bCs w:val="false"/>
          <w:i w:val="false"/>
          <w:iCs w:val="false"/>
          <w:color w:val="212121"/>
          <w:sz w:val="22"/>
          <w:szCs w:val="22"/>
        </w:rPr>
        <w:t xml:space="preserve"> — past tense, describes reality.</w:t>
      </w:r>
    </w:p>
    <w:p>
      <w:pPr>
        <w:spacing w:after="80" w:before="80" w:line="280"/>
        <w:jc w:val="left"/>
      </w:pPr>
      <w:r>
        <w:rPr>
          <w:rFonts w:ascii="Calibri" w:cs="Calibri" w:eastAsia="Calibri" w:hAnsi="Calibri"/>
          <w:b/>
          <w:bCs/>
          <w:i w:val="false"/>
          <w:iCs w:val="false"/>
          <w:color w:val="C62828"/>
          <w:sz w:val="22"/>
          <w:szCs w:val="22"/>
        </w:rPr>
        <w:t xml:space="preserve">Wrong: </w:t>
      </w:r>
      <w:r>
        <w:rPr>
          <w:rFonts w:ascii="Courier New" w:cs="Courier New" w:eastAsia="Courier New" w:hAnsi="Courier New"/>
          <w:color w:val="7B1FA2"/>
          <w:sz w:val="19"/>
          <w:szCs w:val="19"/>
        </w:rPr>
        <w:t xml:space="preserve">DelayScheduleUpdate</w:t>
      </w:r>
      <w:r>
        <w:rPr>
          <w:rFonts w:ascii="Calibri" w:cs="Calibri" w:eastAsia="Calibri" w:hAnsi="Calibri"/>
          <w:b w:val="false"/>
          <w:bCs w:val="false"/>
          <w:i w:val="false"/>
          <w:iCs w:val="false"/>
          <w:color w:val="212121"/>
          <w:sz w:val="22"/>
          <w:szCs w:val="22"/>
        </w:rPr>
        <w:t xml:space="preserve"> — imperative; implies a specific receiver must act.</w:t>
      </w:r>
    </w:p>
    <w:p>
      <w:pPr>
        <w:spacing w:after="80" w:before="80" w:line="280"/>
        <w:jc w:val="left"/>
      </w:pPr>
      <w:r>
        <w:rPr>
          <w:rFonts w:ascii="Calibri" w:cs="Calibri" w:eastAsia="Calibri" w:hAnsi="Calibri"/>
          <w:b/>
          <w:bCs/>
          <w:i w:val="false"/>
          <w:iCs w:val="false"/>
          <w:color w:val="C62828"/>
          <w:sz w:val="22"/>
          <w:szCs w:val="22"/>
        </w:rPr>
        <w:t xml:space="preserve">Wrong: </w:t>
      </w:r>
      <w:r>
        <w:rPr>
          <w:rFonts w:ascii="Courier New" w:cs="Courier New" w:eastAsia="Courier New" w:hAnsi="Courier New"/>
          <w:color w:val="7B1FA2"/>
          <w:sz w:val="19"/>
          <w:szCs w:val="19"/>
        </w:rPr>
        <w:t xml:space="preserve">NotifyTeamOfNewDrawing</w:t>
      </w:r>
      <w:r>
        <w:rPr>
          <w:rFonts w:ascii="Calibri" w:cs="Calibri" w:eastAsia="Calibri" w:hAnsi="Calibri"/>
          <w:b w:val="false"/>
          <w:bCs w:val="false"/>
          <w:i w:val="false"/>
          <w:iCs w:val="false"/>
          <w:color w:val="212121"/>
          <w:sz w:val="22"/>
          <w:szCs w:val="22"/>
        </w:rPr>
        <w:t xml:space="preserve"> — imperative; the event should not prescribe who reacts or how.</w:t>
      </w:r>
    </w:p>
    <w:p>
      <w:pPr>
        <w:spacing w:after="0" w:before="0"/>
      </w:pPr>
    </w:p>
    <w:p>
      <w:pPr>
        <w:spacing w:after="60" w:before="200" w:line="280"/>
      </w:pPr>
      <w:r>
        <w:rPr>
          <w:rFonts w:ascii="Calibri" w:cs="Calibri" w:eastAsia="Calibri" w:hAnsi="Calibri"/>
          <w:b/>
          <w:bCs/>
          <w:color w:val="388E3C"/>
          <w:sz w:val="22"/>
          <w:szCs w:val="22"/>
        </w:rPr>
        <w:t xml:space="preserve">Rule 2:  </w:t>
      </w:r>
      <w:r>
        <w:rPr>
          <w:rFonts w:ascii="Calibri" w:cs="Calibri" w:eastAsia="Calibri" w:hAnsi="Calibri"/>
          <w:b/>
          <w:bCs/>
          <w:color w:val="212121"/>
          <w:sz w:val="22"/>
          <w:szCs w:val="22"/>
        </w:rPr>
        <w:t xml:space="preserve">Events carry enough payload for all expected subscribers to act.</w:t>
      </w:r>
    </w:p>
    <w:p>
      <w:pPr>
        <w:spacing w:after="80" w:before="0" w:line="280"/>
        <w:jc w:val="left"/>
      </w:pPr>
      <w:r>
        <w:rPr>
          <w:rFonts w:ascii="Calibri" w:cs="Calibri" w:eastAsia="Calibri" w:hAnsi="Calibri"/>
          <w:b w:val="false"/>
          <w:bCs w:val="false"/>
          <w:i w:val="false"/>
          <w:iCs w:val="false"/>
          <w:color w:val="212121"/>
          <w:sz w:val="22"/>
          <w:szCs w:val="22"/>
        </w:rPr>
        <w:t xml:space="preserve">A subscriber must never need to query back to understand what happened. Include entity IDs, key attribute values, and previous state where a transition is meaningful.</w:t>
      </w:r>
    </w:p>
    <w:p>
      <w:pPr>
        <w:spacing w:after="80" w:before="80" w:line="280"/>
        <w:jc w:val="left"/>
      </w:pPr>
      <w:r>
        <w:rPr>
          <w:rFonts w:ascii="Calibri" w:cs="Calibri" w:eastAsia="Calibri" w:hAnsi="Calibri"/>
          <w:b/>
          <w:bCs/>
          <w:i w:val="false"/>
          <w:iCs w:val="false"/>
          <w:color w:val="212121"/>
          <w:sz w:val="22"/>
          <w:szCs w:val="22"/>
        </w:rPr>
        <w:t xml:space="preserve">Required payload for ActivityDelayed: </w:t>
      </w:r>
      <w:r>
        <w:rPr>
          <w:rFonts w:ascii="Courier New" w:cs="Courier New" w:eastAsia="Courier New" w:hAnsi="Courier New"/>
          <w:color w:val="7B1FA2"/>
          <w:sz w:val="19"/>
          <w:szCs w:val="19"/>
        </w:rPr>
        <w:t xml:space="preserve">activity_id, delay_days, new_planned_finish, old_planned_finish, float_days_consumed, project_id, tenant_id</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ActivityDelayed with only activity_id. Every subscriber must then query the DB for context — defeating event-driven design and creating N fan-out queries on a single event.</w:t>
      </w:r>
    </w:p>
    <w:p>
      <w:pPr>
        <w:spacing w:after="0" w:before="0"/>
      </w:pPr>
    </w:p>
    <w:p>
      <w:pPr>
        <w:spacing w:after="60" w:before="200" w:line="280"/>
      </w:pPr>
      <w:r>
        <w:rPr>
          <w:rFonts w:ascii="Calibri" w:cs="Calibri" w:eastAsia="Calibri" w:hAnsi="Calibri"/>
          <w:b/>
          <w:bCs/>
          <w:color w:val="388E3C"/>
          <w:sz w:val="22"/>
          <w:szCs w:val="22"/>
        </w:rPr>
        <w:t xml:space="preserve">Rule 3:  </w:t>
      </w:r>
      <w:r>
        <w:rPr>
          <w:rFonts w:ascii="Calibri" w:cs="Calibri" w:eastAsia="Calibri" w:hAnsi="Calibri"/>
          <w:b/>
          <w:bCs/>
          <w:color w:val="212121"/>
          <w:sz w:val="22"/>
          <w:szCs w:val="22"/>
        </w:rPr>
        <w:t xml:space="preserve">Event names are past tense. Topic names are lowercase dot-separated.</w:t>
      </w:r>
    </w:p>
    <w:p>
      <w:pPr>
        <w:spacing w:after="80" w:before="80" w:line="280"/>
        <w:jc w:val="left"/>
      </w:pPr>
      <w:r>
        <w:rPr>
          <w:rFonts w:ascii="Calibri" w:cs="Calibri" w:eastAsia="Calibri" w:hAnsi="Calibri"/>
          <w:b/>
          <w:bCs/>
          <w:i w:val="false"/>
          <w:iCs w:val="false"/>
          <w:color w:val="1B5E20"/>
          <w:sz w:val="22"/>
          <w:szCs w:val="22"/>
        </w:rPr>
        <w:t xml:space="preserve">Event class: </w:t>
      </w:r>
      <w:r>
        <w:rPr>
          <w:rFonts w:ascii="Courier New" w:cs="Courier New" w:eastAsia="Courier New" w:hAnsi="Courier New"/>
          <w:color w:val="7B1FA2"/>
          <w:sz w:val="19"/>
          <w:szCs w:val="19"/>
        </w:rPr>
        <w:t xml:space="preserve">EvidenceScoreComputed</w:t>
      </w:r>
      <w:r>
        <w:rPr>
          <w:rFonts w:ascii="Calibri" w:cs="Calibri" w:eastAsia="Calibri" w:hAnsi="Calibri"/>
          <w:sz w:val="22"/>
          <w:szCs w:val="22"/>
        </w:rPr>
        <w:t xml:space="preserve">   ·   </w:t>
      </w:r>
      <w:r>
        <w:rPr>
          <w:rFonts w:ascii="Calibri" w:cs="Calibri" w:eastAsia="Calibri" w:hAnsi="Calibri"/>
          <w:b/>
          <w:bCs/>
          <w:i w:val="false"/>
          <w:iCs w:val="false"/>
          <w:color w:val="1B5E20"/>
          <w:sz w:val="22"/>
          <w:szCs w:val="22"/>
        </w:rPr>
        <w:t xml:space="preserve">Topic: </w:t>
      </w:r>
      <w:r>
        <w:rPr>
          <w:rFonts w:ascii="Courier New" w:cs="Courier New" w:eastAsia="Courier New" w:hAnsi="Courier New"/>
          <w:color w:val="7B1FA2"/>
          <w:sz w:val="19"/>
          <w:szCs w:val="19"/>
        </w:rPr>
        <w:t xml:space="preserve">evidence.score.computed</w:t>
      </w:r>
    </w:p>
    <w:p>
      <w:pPr>
        <w:spacing w:after="80" w:before="80" w:line="280"/>
        <w:jc w:val="left"/>
      </w:pPr>
      <w:r>
        <w:rPr>
          <w:rFonts w:ascii="Calibri" w:cs="Calibri" w:eastAsia="Calibri" w:hAnsi="Calibri"/>
          <w:b/>
          <w:bCs/>
          <w:i w:val="false"/>
          <w:iCs w:val="false"/>
          <w:color w:val="1B5E20"/>
          <w:sz w:val="22"/>
          <w:szCs w:val="22"/>
        </w:rPr>
        <w:t xml:space="preserve">Event class: </w:t>
      </w:r>
      <w:r>
        <w:rPr>
          <w:rFonts w:ascii="Courier New" w:cs="Courier New" w:eastAsia="Courier New" w:hAnsi="Courier New"/>
          <w:color w:val="7B1FA2"/>
          <w:sz w:val="19"/>
          <w:szCs w:val="19"/>
        </w:rPr>
        <w:t xml:space="preserve">CoordinationItemClosed</w:t>
      </w:r>
      <w:r>
        <w:rPr>
          <w:rFonts w:ascii="Calibri" w:cs="Calibri" w:eastAsia="Calibri" w:hAnsi="Calibri"/>
          <w:sz w:val="22"/>
          <w:szCs w:val="22"/>
        </w:rPr>
        <w:t xml:space="preserve">   ·   </w:t>
      </w:r>
      <w:r>
        <w:rPr>
          <w:rFonts w:ascii="Calibri" w:cs="Calibri" w:eastAsia="Calibri" w:hAnsi="Calibri"/>
          <w:b/>
          <w:bCs/>
          <w:i w:val="false"/>
          <w:iCs w:val="false"/>
          <w:color w:val="1B5E20"/>
          <w:sz w:val="22"/>
          <w:szCs w:val="22"/>
        </w:rPr>
        <w:t xml:space="preserve">Topic: </w:t>
      </w:r>
      <w:r>
        <w:rPr>
          <w:rFonts w:ascii="Courier New" w:cs="Courier New" w:eastAsia="Courier New" w:hAnsi="Courier New"/>
          <w:color w:val="7B1FA2"/>
          <w:sz w:val="19"/>
          <w:szCs w:val="19"/>
        </w:rPr>
        <w:t xml:space="preserve">coordination.closed</w:t>
      </w:r>
    </w:p>
    <w:p>
      <w:pPr>
        <w:spacing w:after="80" w:before="80" w:line="280"/>
        <w:jc w:val="left"/>
      </w:pPr>
      <w:r>
        <w:rPr>
          <w:rFonts w:ascii="Calibri" w:cs="Calibri" w:eastAsia="Calibri" w:hAnsi="Calibri"/>
          <w:b/>
          <w:bCs/>
          <w:i w:val="false"/>
          <w:iCs w:val="false"/>
          <w:color w:val="1B5E20"/>
          <w:sz w:val="22"/>
          <w:szCs w:val="22"/>
        </w:rPr>
        <w:t xml:space="preserve">Event class: </w:t>
      </w:r>
      <w:r>
        <w:rPr>
          <w:rFonts w:ascii="Courier New" w:cs="Courier New" w:eastAsia="Courier New" w:hAnsi="Courier New"/>
          <w:color w:val="7B1FA2"/>
          <w:sz w:val="19"/>
          <w:szCs w:val="19"/>
        </w:rPr>
        <w:t xml:space="preserve">VendorScoreUpdated</w:t>
      </w:r>
      <w:r>
        <w:rPr>
          <w:rFonts w:ascii="Calibri" w:cs="Calibri" w:eastAsia="Calibri" w:hAnsi="Calibri"/>
          <w:sz w:val="22"/>
          <w:szCs w:val="22"/>
        </w:rPr>
        <w:t xml:space="preserve">   ·   </w:t>
      </w:r>
      <w:r>
        <w:rPr>
          <w:rFonts w:ascii="Calibri" w:cs="Calibri" w:eastAsia="Calibri" w:hAnsi="Calibri"/>
          <w:b/>
          <w:bCs/>
          <w:i w:val="false"/>
          <w:iCs w:val="false"/>
          <w:color w:val="1B5E20"/>
          <w:sz w:val="22"/>
          <w:szCs w:val="22"/>
        </w:rPr>
        <w:t xml:space="preserve">Topic: </w:t>
      </w:r>
      <w:r>
        <w:rPr>
          <w:rFonts w:ascii="Courier New" w:cs="Courier New" w:eastAsia="Courier New" w:hAnsi="Courier New"/>
          <w:color w:val="7B1FA2"/>
          <w:sz w:val="19"/>
          <w:szCs w:val="19"/>
        </w:rPr>
        <w:t xml:space="preserve">vendor.score.updated</w:t>
      </w:r>
    </w:p>
    <w:p>
      <w:pPr>
        <w:spacing w:after="0" w:before="0"/>
      </w:pPr>
    </w:p>
    <w:p>
      <w:pPr>
        <w:spacing w:after="60" w:before="200" w:line="280"/>
      </w:pPr>
      <w:r>
        <w:rPr>
          <w:rFonts w:ascii="Calibri" w:cs="Calibri" w:eastAsia="Calibri" w:hAnsi="Calibri"/>
          <w:b/>
          <w:bCs/>
          <w:color w:val="388E3C"/>
          <w:sz w:val="22"/>
          <w:szCs w:val="22"/>
        </w:rPr>
        <w:t xml:space="preserve">Rule 4:  </w:t>
      </w:r>
      <w:r>
        <w:rPr>
          <w:rFonts w:ascii="Calibri" w:cs="Calibri" w:eastAsia="Calibri" w:hAnsi="Calibri"/>
          <w:b/>
          <w:bCs/>
          <w:color w:val="212121"/>
          <w:sz w:val="22"/>
          <w:szCs w:val="22"/>
        </w:rPr>
        <w:t xml:space="preserve">Every event envelope includes mandatory fields.</w:t>
      </w:r>
    </w:p>
    <w:p>
      <w:pPr>
        <w:spacing w:after="80" w:before="80" w:line="280"/>
        <w:jc w:val="left"/>
      </w:pPr>
      <w:r>
        <w:rPr>
          <w:rFonts w:ascii="Calibri" w:cs="Calibri" w:eastAsia="Calibri" w:hAnsi="Calibri"/>
          <w:b w:val="false"/>
          <w:bCs w:val="false"/>
          <w:i w:val="false"/>
          <w:iCs w:val="false"/>
          <w:color w:val="212121"/>
          <w:sz w:val="22"/>
          <w:szCs w:val="22"/>
        </w:rPr>
        <w:t xml:space="preserve">Required: </w:t>
      </w:r>
      <w:r>
        <w:rPr>
          <w:rFonts w:ascii="Courier New" w:cs="Courier New" w:eastAsia="Courier New" w:hAnsi="Courier New"/>
          <w:color w:val="7B1FA2"/>
          <w:sz w:val="19"/>
          <w:szCs w:val="19"/>
        </w:rPr>
        <w:t xml:space="preserve">event_id, event_type, schema_version, tenant_id, project_id, correlation_id, causation_id, occurred_at</w:t>
      </w:r>
    </w:p>
    <w:p>
      <w:pPr>
        <w:pStyle w:val="ListParagraph"/>
        <w:numPr>
          <w:ilvl w:val="0"/>
          <w:numId w:val="2"/>
        </w:numPr>
        <w:spacing w:after="40" w:before="40" w:line="260"/>
      </w:pPr>
      <w:r>
        <w:rPr>
          <w:rFonts w:ascii="Calibri" w:cs="Calibri" w:eastAsia="Calibri" w:hAnsi="Calibri"/>
          <w:b/>
          <w:bCs/>
          <w:i w:val="false"/>
          <w:iCs w:val="false"/>
          <w:color w:val="212121"/>
          <w:sz w:val="22"/>
          <w:szCs w:val="22"/>
        </w:rPr>
        <w:t xml:space="preserve">correlation_id: </w:t>
      </w:r>
      <w:r>
        <w:rPr>
          <w:rFonts w:ascii="Calibri" w:cs="Calibri" w:eastAsia="Calibri" w:hAnsi="Calibri"/>
          <w:b w:val="false"/>
          <w:bCs w:val="false"/>
          <w:i w:val="false"/>
          <w:iCs w:val="false"/>
          <w:color w:val="212121"/>
          <w:sz w:val="22"/>
          <w:szCs w:val="22"/>
        </w:rPr>
        <w:t xml:space="preserve">traces an entire event chain end-to-end for debugging and audit</w:t>
      </w:r>
    </w:p>
    <w:p>
      <w:pPr>
        <w:pStyle w:val="ListParagraph"/>
        <w:numPr>
          <w:ilvl w:val="0"/>
          <w:numId w:val="2"/>
        </w:numPr>
        <w:spacing w:after="40" w:before="40" w:line="260"/>
      </w:pPr>
      <w:r>
        <w:rPr>
          <w:rFonts w:ascii="Calibri" w:cs="Calibri" w:eastAsia="Calibri" w:hAnsi="Calibri"/>
          <w:b/>
          <w:bCs/>
          <w:i w:val="false"/>
          <w:iCs w:val="false"/>
          <w:color w:val="212121"/>
          <w:sz w:val="22"/>
          <w:szCs w:val="22"/>
        </w:rPr>
        <w:t xml:space="preserve">causation_id: </w:t>
      </w:r>
      <w:r>
        <w:rPr>
          <w:rFonts w:ascii="Calibri" w:cs="Calibri" w:eastAsia="Calibri" w:hAnsi="Calibri"/>
          <w:b w:val="false"/>
          <w:bCs w:val="false"/>
          <w:i w:val="false"/>
          <w:iCs w:val="false"/>
          <w:color w:val="212121"/>
          <w:sz w:val="22"/>
          <w:szCs w:val="22"/>
        </w:rPr>
        <w:t xml:space="preserve">the event_id of the parent event that triggered this one</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Omitting causation_id because "this is a user-initiated event." User actions originate chains — use the HTTP request_id as correlation_id and set causation_id to null only for true chain origins.</w:t>
      </w:r>
    </w:p>
    <w:p>
      <w:pPr>
        <w:spacing w:after="0" w:before="0"/>
      </w:pPr>
    </w:p>
    <w:p>
      <w:pPr>
        <w:spacing w:after="60" w:before="200" w:line="280"/>
      </w:pPr>
      <w:r>
        <w:rPr>
          <w:rFonts w:ascii="Calibri" w:cs="Calibri" w:eastAsia="Calibri" w:hAnsi="Calibri"/>
          <w:b/>
          <w:bCs/>
          <w:color w:val="388E3C"/>
          <w:sz w:val="22"/>
          <w:szCs w:val="22"/>
        </w:rPr>
        <w:t xml:space="preserve">Rule 5:  </w:t>
      </w:r>
      <w:r>
        <w:rPr>
          <w:rFonts w:ascii="Calibri" w:cs="Calibri" w:eastAsia="Calibri" w:hAnsi="Calibri"/>
          <w:b/>
          <w:bCs/>
          <w:color w:val="212121"/>
          <w:sz w:val="22"/>
          <w:szCs w:val="22"/>
        </w:rPr>
        <w:t xml:space="preserve">Idempotency is the subscriber’s responsibility.</w:t>
      </w:r>
    </w:p>
    <w:p>
      <w:pPr>
        <w:spacing w:after="80" w:before="80" w:line="280"/>
        <w:jc w:val="left"/>
      </w:pPr>
      <w:r>
        <w:rPr>
          <w:rFonts w:ascii="Calibri" w:cs="Calibri" w:eastAsia="Calibri" w:hAnsi="Calibri"/>
          <w:b w:val="false"/>
          <w:bCs w:val="false"/>
          <w:i w:val="false"/>
          <w:iCs w:val="false"/>
          <w:color w:val="212121"/>
          <w:sz w:val="22"/>
          <w:szCs w:val="22"/>
        </w:rPr>
        <w:t xml:space="preserve">Every subscriber checks </w:t>
      </w:r>
      <w:r>
        <w:rPr>
          <w:rFonts w:ascii="Courier New" w:cs="Courier New" w:eastAsia="Courier New" w:hAnsi="Courier New"/>
          <w:color w:val="7B1FA2"/>
          <w:sz w:val="19"/>
          <w:szCs w:val="19"/>
        </w:rPr>
        <w:t xml:space="preserve">idempotency_keys</w:t>
      </w:r>
      <w:r>
        <w:rPr>
          <w:rFonts w:ascii="Calibri" w:cs="Calibri" w:eastAsia="Calibri" w:hAnsi="Calibri"/>
          <w:b w:val="false"/>
          <w:bCs w:val="false"/>
          <w:i w:val="false"/>
          <w:iCs w:val="false"/>
          <w:color w:val="212121"/>
          <w:sz w:val="22"/>
          <w:szCs w:val="22"/>
        </w:rPr>
        <w:t xml:space="preserve"> before processing. Key = </w:t>
      </w:r>
      <w:r>
        <w:rPr>
          <w:rFonts w:ascii="Courier New" w:cs="Courier New" w:eastAsia="Courier New" w:hAnsi="Courier New"/>
          <w:color w:val="7B1FA2"/>
          <w:sz w:val="19"/>
          <w:szCs w:val="19"/>
        </w:rPr>
        <w:t xml:space="preserve">sha256(topic + "::" + event_id)</w:t>
      </w:r>
      <w:r>
        <w:rPr>
          <w:rFonts w:ascii="Calibri" w:cs="Calibri" w:eastAsia="Calibri" w:hAnsi="Calibri"/>
          <w:b w:val="false"/>
          <w:bCs w:val="false"/>
          <w:i w:val="false"/>
          <w:iCs w:val="false"/>
          <w:color w:val="212121"/>
          <w:sz w:val="22"/>
          <w:szCs w:val="22"/>
        </w:rPr>
        <w:t xml:space="preserve">. If the key exists, skip processing, acknowledge the message, do not re-process.</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Assuming Pub/Sub delivers exactly once. It does not. Design every handler for at-least-once delivery or accept data duplication bugs in production.</w:t>
      </w:r>
    </w:p>
    <w:p>
      <w:pPr>
        <w:spacing w:after="0" w:before="0"/>
      </w:pPr>
    </w:p>
    <w:p>
      <w:pPr>
        <w:spacing w:after="60" w:before="200" w:line="280"/>
      </w:pPr>
      <w:r>
        <w:rPr>
          <w:rFonts w:ascii="Calibri" w:cs="Calibri" w:eastAsia="Calibri" w:hAnsi="Calibri"/>
          <w:b/>
          <w:bCs/>
          <w:color w:val="388E3C"/>
          <w:sz w:val="22"/>
          <w:szCs w:val="22"/>
        </w:rPr>
        <w:t xml:space="preserve">Rule 6:  </w:t>
      </w:r>
      <w:r>
        <w:rPr>
          <w:rFonts w:ascii="Calibri" w:cs="Calibri" w:eastAsia="Calibri" w:hAnsi="Calibri"/>
          <w:b/>
          <w:bCs/>
          <w:color w:val="212121"/>
          <w:sz w:val="22"/>
          <w:szCs w:val="22"/>
        </w:rPr>
        <w:t xml:space="preserve">Schema version is required and bumped on breaking changes.</w:t>
      </w:r>
    </w:p>
    <w:p>
      <w:pPr>
        <w:spacing w:after="80" w:before="80" w:line="280"/>
        <w:jc w:val="left"/>
      </w:pPr>
      <w:r>
        <w:rPr>
          <w:rFonts w:ascii="Calibri" w:cs="Calibri" w:eastAsia="Calibri" w:hAnsi="Calibri"/>
          <w:b w:val="false"/>
          <w:bCs w:val="false"/>
          <w:i w:val="false"/>
          <w:iCs w:val="false"/>
          <w:color w:val="212121"/>
          <w:sz w:val="22"/>
          <w:szCs w:val="22"/>
        </w:rPr>
        <w:t xml:space="preserve">Every event carries </w:t>
      </w:r>
      <w:r>
        <w:rPr>
          <w:rFonts w:ascii="Courier New" w:cs="Courier New" w:eastAsia="Courier New" w:hAnsi="Courier New"/>
          <w:color w:val="7B1FA2"/>
          <w:sz w:val="19"/>
          <w:szCs w:val="19"/>
        </w:rPr>
        <w:t xml:space="preserve">schema_version: int</w:t>
      </w:r>
      <w:r>
        <w:rPr>
          <w:rFonts w:ascii="Calibri" w:cs="Calibri" w:eastAsia="Calibri" w:hAnsi="Calibri"/>
          <w:b w:val="false"/>
          <w:bCs w:val="false"/>
          <w:i w:val="false"/>
          <w:iCs w:val="false"/>
          <w:color w:val="212121"/>
          <w:sz w:val="22"/>
          <w:szCs w:val="22"/>
        </w:rPr>
        <w:t xml:space="preserve">. Subscribers MUST check the schema version before deserializing. A breaking payload change requires a new topic or a schema version increment with dual-publish during migration.</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Adding a required field to an existing event payload without bumping schema_version. Downstream subscribers will break silently on deserialization.</w:t>
      </w:r>
    </w:p>
    <w:p>
      <w:pPr>
        <w:spacing w:after="0" w:before="0"/>
      </w:pPr>
      <w:r>
        <w:br w:type="page"/>
      </w:r>
    </w:p>
    <w:p>
      <w:pPr>
        <w:pBdr>
          <w:bottom w:val="single" w:color="388E3C" w:sz="8"/>
        </w:pBdr>
        <w:spacing w:after="160" w:before="400"/>
      </w:pPr>
      <w:r>
        <w:rPr>
          <w:rFonts w:ascii="Calibri" w:cs="Calibri" w:eastAsia="Calibri" w:hAnsi="Calibri"/>
          <w:b/>
          <w:bCs/>
          <w:color w:val="1B5E20"/>
          <w:sz w:val="34"/>
          <w:szCs w:val="34"/>
        </w:rPr>
        <w:t xml:space="preserve">5. Service Boundary Rules</w:t>
      </w:r>
    </w:p>
    <w:p>
      <w:pPr>
        <w:spacing w:after="120" w:before="80" w:line="280"/>
        <w:jc w:val="left"/>
      </w:pPr>
      <w:r>
        <w:rPr>
          <w:rFonts w:ascii="Calibri" w:cs="Calibri" w:eastAsia="Calibri" w:hAnsi="Calibri"/>
          <w:b w:val="false"/>
          <w:bCs w:val="false"/>
          <w:i w:val="false"/>
          <w:iCs w:val="false"/>
          <w:color w:val="212121"/>
          <w:sz w:val="22"/>
          <w:szCs w:val="22"/>
        </w:rPr>
        <w:t xml:space="preserve">Green PM v5 runs as 24 Cloud Run services. The primary failure mode is services that query each other directly, creating hidden coupling and cascading failures. These rules define the only legitimate communication patterns.</w:t>
      </w:r>
    </w:p>
    <w:p>
      <w:pPr>
        <w:spacing w:after="60" w:before="200" w:line="280"/>
      </w:pPr>
      <w:r>
        <w:rPr>
          <w:rFonts w:ascii="Calibri" w:cs="Calibri" w:eastAsia="Calibri" w:hAnsi="Calibri"/>
          <w:b/>
          <w:bCs/>
          <w:color w:val="388E3C"/>
          <w:sz w:val="22"/>
          <w:szCs w:val="22"/>
        </w:rPr>
        <w:t xml:space="preserve">Rule 1:  </w:t>
      </w:r>
      <w:r>
        <w:rPr>
          <w:rFonts w:ascii="Calibri" w:cs="Calibri" w:eastAsia="Calibri" w:hAnsi="Calibri"/>
          <w:b/>
          <w:bCs/>
          <w:color w:val="212121"/>
          <w:sz w:val="22"/>
          <w:szCs w:val="22"/>
        </w:rPr>
        <w:t xml:space="preserve">Services communicate via events, not via direct HTTP calls.</w:t>
      </w:r>
    </w:p>
    <w:p>
      <w:pPr>
        <w:spacing w:after="80" w:before="0" w:line="280"/>
        <w:jc w:val="left"/>
      </w:pPr>
      <w:r>
        <w:rPr>
          <w:rFonts w:ascii="Calibri" w:cs="Calibri" w:eastAsia="Calibri" w:hAnsi="Calibri"/>
          <w:b w:val="false"/>
          <w:bCs w:val="false"/>
          <w:i w:val="false"/>
          <w:iCs w:val="false"/>
          <w:color w:val="212121"/>
          <w:sz w:val="22"/>
          <w:szCs w:val="22"/>
        </w:rPr>
        <w:t xml:space="preserve">An engine never calls another engine’s HTTP API to obtain data. If Engine A needs data from Engine B’s domain, B publishes an event when its state changes, and A subscribes.</w:t>
      </w:r>
    </w:p>
    <w:p>
      <w:pPr>
        <w:spacing w:after="80" w:before="80" w:line="280"/>
        <w:jc w:val="left"/>
      </w:pPr>
      <w:r>
        <w:rPr>
          <w:rFonts w:ascii="Calibri" w:cs="Calibri" w:eastAsia="Calibri" w:hAnsi="Calibri"/>
          <w:b/>
          <w:bCs/>
          <w:i w:val="false"/>
          <w:iCs w:val="false"/>
          <w:color w:val="E65100"/>
          <w:sz w:val="22"/>
          <w:szCs w:val="22"/>
        </w:rPr>
        <w:t xml:space="preserve">Exception: </w:t>
      </w:r>
      <w:r>
        <w:rPr>
          <w:rFonts w:ascii="Calibri" w:cs="Calibri" w:eastAsia="Calibri" w:hAnsi="Calibri"/>
          <w:b w:val="false"/>
          <w:bCs w:val="false"/>
          <w:i w:val="false"/>
          <w:iCs w:val="false"/>
          <w:color w:val="212121"/>
          <w:sz w:val="22"/>
          <w:szCs w:val="22"/>
        </w:rPr>
        <w:t xml:space="preserve">The AI Orchestration Engine may call the API Gateway to synthesize multi-engine responses for user queries. This is a read-only aggregation pattern, not a write path.</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The Risk Engine calling GET /api/activities/:id on the Core Platform service to fetch activity data. Subscribe to activity.updated instead and maintain a local read model.</w:t>
      </w:r>
    </w:p>
    <w:p>
      <w:pPr>
        <w:spacing w:after="0" w:before="0"/>
      </w:pPr>
    </w:p>
    <w:p>
      <w:pPr>
        <w:spacing w:after="60" w:before="200" w:line="280"/>
      </w:pPr>
      <w:r>
        <w:rPr>
          <w:rFonts w:ascii="Calibri" w:cs="Calibri" w:eastAsia="Calibri" w:hAnsi="Calibri"/>
          <w:b/>
          <w:bCs/>
          <w:color w:val="388E3C"/>
          <w:sz w:val="22"/>
          <w:szCs w:val="22"/>
        </w:rPr>
        <w:t xml:space="preserve">Rule 2:  </w:t>
      </w:r>
      <w:r>
        <w:rPr>
          <w:rFonts w:ascii="Calibri" w:cs="Calibri" w:eastAsia="Calibri" w:hAnsi="Calibri"/>
          <w:b/>
          <w:bCs/>
          <w:color w:val="212121"/>
          <w:sz w:val="22"/>
          <w:szCs w:val="22"/>
        </w:rPr>
        <w:t xml:space="preserve">The PIG Query Service is the only legitimate cross-service read path.</w:t>
      </w:r>
    </w:p>
    <w:p>
      <w:pPr>
        <w:spacing w:after="80" w:before="0" w:line="280"/>
        <w:jc w:val="left"/>
      </w:pPr>
      <w:r>
        <w:rPr>
          <w:rFonts w:ascii="Calibri" w:cs="Calibri" w:eastAsia="Calibri" w:hAnsi="Calibri"/>
          <w:b w:val="false"/>
          <w:bCs w:val="false"/>
          <w:i w:val="false"/>
          <w:iCs w:val="false"/>
          <w:color w:val="212121"/>
          <w:sz w:val="22"/>
          <w:szCs w:val="22"/>
        </w:rPr>
        <w:t xml:space="preserve">A service that needs relationship information queries the PIG Query Service. It does not query another service’s database. It does not maintain a local copy of another domain’s entities.</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Reading directly from another service’s PostgreSQL database, even in the same GCP project. This creates an invisible coupling that breaks when the owning service changes its schema.</w:t>
      </w:r>
    </w:p>
    <w:p>
      <w:pPr>
        <w:spacing w:after="0" w:before="0"/>
      </w:pPr>
    </w:p>
    <w:p>
      <w:pPr>
        <w:spacing w:after="60" w:before="200" w:line="280"/>
      </w:pPr>
      <w:r>
        <w:rPr>
          <w:rFonts w:ascii="Calibri" w:cs="Calibri" w:eastAsia="Calibri" w:hAnsi="Calibri"/>
          <w:b/>
          <w:bCs/>
          <w:color w:val="388E3C"/>
          <w:sz w:val="22"/>
          <w:szCs w:val="22"/>
        </w:rPr>
        <w:t xml:space="preserve">Rule 3:  </w:t>
      </w:r>
      <w:r>
        <w:rPr>
          <w:rFonts w:ascii="Calibri" w:cs="Calibri" w:eastAsia="Calibri" w:hAnsi="Calibri"/>
          <w:b/>
          <w:bCs/>
          <w:color w:val="212121"/>
          <w:sz w:val="22"/>
          <w:szCs w:val="22"/>
        </w:rPr>
        <w:t xml:space="preserve">Each Cloud Run service owns exactly one set of tables.</w:t>
      </w:r>
    </w:p>
    <w:p>
      <w:pPr>
        <w:spacing w:after="80" w:before="80" w:line="280"/>
        <w:jc w:val="left"/>
      </w:pPr>
      <w:r>
        <w:rPr>
          <w:rFonts w:ascii="Calibri" w:cs="Calibri" w:eastAsia="Calibri" w:hAnsi="Calibri"/>
          <w:b/>
          <w:bCs/>
          <w:i w:val="false"/>
          <w:iCs w:val="false"/>
          <w:color w:val="212121"/>
          <w:sz w:val="22"/>
          <w:szCs w:val="22"/>
        </w:rPr>
        <w:t xml:space="preserve">Core Platform owns: </w:t>
      </w:r>
      <w:r>
        <w:rPr>
          <w:rFonts w:ascii="Courier New" w:cs="Courier New" w:eastAsia="Courier New" w:hAnsi="Courier New"/>
          <w:color w:val="7B1FA2"/>
          <w:sz w:val="19"/>
          <w:szCs w:val="19"/>
        </w:rPr>
        <w:t xml:space="preserve">tenants, projects, users, user_project_access</w:t>
      </w:r>
    </w:p>
    <w:p>
      <w:pPr>
        <w:spacing w:after="80" w:before="80" w:line="280"/>
        <w:jc w:val="left"/>
      </w:pPr>
      <w:r>
        <w:rPr>
          <w:rFonts w:ascii="Calibri" w:cs="Calibri" w:eastAsia="Calibri" w:hAnsi="Calibri"/>
          <w:b/>
          <w:bCs/>
          <w:i w:val="false"/>
          <w:iCs w:val="false"/>
          <w:color w:val="212121"/>
          <w:sz w:val="22"/>
          <w:szCs w:val="22"/>
        </w:rPr>
        <w:t xml:space="preserve">PIG Service owns: </w:t>
      </w:r>
      <w:r>
        <w:rPr>
          <w:rFonts w:ascii="Courier New" w:cs="Courier New" w:eastAsia="Courier New" w:hAnsi="Courier New"/>
          <w:color w:val="7B1FA2"/>
          <w:sz w:val="19"/>
          <w:szCs w:val="19"/>
        </w:rPr>
        <w:t xml:space="preserve">graph_nodes, graph_edges, graph_edge_types</w:t>
      </w:r>
    </w:p>
    <w:p>
      <w:pPr>
        <w:spacing w:after="80" w:before="80" w:line="280"/>
        <w:jc w:val="left"/>
      </w:pPr>
      <w:r>
        <w:rPr>
          <w:rFonts w:ascii="Calibri" w:cs="Calibri" w:eastAsia="Calibri" w:hAnsi="Calibri"/>
          <w:b/>
          <w:bCs/>
          <w:i w:val="false"/>
          <w:iCs w:val="false"/>
          <w:color w:val="212121"/>
          <w:sz w:val="22"/>
          <w:szCs w:val="22"/>
        </w:rPr>
        <w:t xml:space="preserve">Evidence Engine owns: </w:t>
      </w:r>
      <w:r>
        <w:rPr>
          <w:rFonts w:ascii="Courier New" w:cs="Courier New" w:eastAsia="Courier New" w:hAnsi="Courier New"/>
          <w:color w:val="7B1FA2"/>
          <w:sz w:val="19"/>
          <w:szCs w:val="19"/>
        </w:rPr>
        <w:t xml:space="preserve">evidences, evidence_reviews, evidence_scores</w:t>
      </w:r>
    </w:p>
    <w:p>
      <w:pPr>
        <w:spacing w:after="80" w:before="80" w:line="280"/>
        <w:jc w:val="left"/>
      </w:pPr>
      <w:r>
        <w:rPr>
          <w:rFonts w:ascii="Calibri" w:cs="Calibri" w:eastAsia="Calibri" w:hAnsi="Calibri"/>
          <w:b/>
          <w:bCs/>
          <w:i w:val="false"/>
          <w:iCs w:val="false"/>
          <w:color w:val="212121"/>
          <w:sz w:val="22"/>
          <w:szCs w:val="22"/>
        </w:rPr>
        <w:t xml:space="preserve">Risk Engine owns: </w:t>
      </w:r>
      <w:r>
        <w:rPr>
          <w:rFonts w:ascii="Courier New" w:cs="Courier New" w:eastAsia="Courier New" w:hAnsi="Courier New"/>
          <w:color w:val="7B1FA2"/>
          <w:sz w:val="19"/>
          <w:szCs w:val="19"/>
        </w:rPr>
        <w:t xml:space="preserve">risks, risk_assessments, risk_mitigations</w:t>
      </w:r>
    </w:p>
    <w:p>
      <w:pPr>
        <w:spacing w:after="80" w:before="80" w:line="280"/>
        <w:jc w:val="left"/>
      </w:pPr>
      <w:r>
        <w:rPr>
          <w:rFonts w:ascii="Calibri" w:cs="Calibri" w:eastAsia="Calibri" w:hAnsi="Calibri"/>
          <w:b/>
          <w:bCs/>
          <w:i w:val="false"/>
          <w:iCs w:val="false"/>
          <w:color w:val="212121"/>
          <w:sz w:val="22"/>
          <w:szCs w:val="22"/>
        </w:rPr>
        <w:t xml:space="preserve">Coordination Engine owns: </w:t>
      </w:r>
      <w:r>
        <w:rPr>
          <w:rFonts w:ascii="Courier New" w:cs="Courier New" w:eastAsia="Courier New" w:hAnsi="Courier New"/>
          <w:color w:val="7B1FA2"/>
          <w:sz w:val="19"/>
          <w:szCs w:val="19"/>
        </w:rPr>
        <w:t xml:space="preserve">coordination_items, coordination_closures</w:t>
      </w:r>
    </w:p>
    <w:p>
      <w:pPr>
        <w:spacing w:after="80" w:before="80" w:line="280"/>
        <w:jc w:val="left"/>
      </w:pPr>
      <w:r>
        <w:rPr>
          <w:rFonts w:ascii="Calibri" w:cs="Calibri" w:eastAsia="Calibri" w:hAnsi="Calibri"/>
          <w:b/>
          <w:bCs/>
          <w:i w:val="false"/>
          <w:iCs w:val="false"/>
          <w:color w:val="212121"/>
          <w:sz w:val="22"/>
          <w:szCs w:val="22"/>
        </w:rPr>
        <w:t xml:space="preserve">Readiness Engine owns: </w:t>
      </w:r>
      <w:r>
        <w:rPr>
          <w:rFonts w:ascii="Courier New" w:cs="Courier New" w:eastAsia="Courier New" w:hAnsi="Courier New"/>
          <w:color w:val="7B1FA2"/>
          <w:sz w:val="19"/>
          <w:szCs w:val="19"/>
        </w:rPr>
        <w:t xml:space="preserve">readiness_gates, readiness_scores</w:t>
      </w:r>
    </w:p>
    <w:p>
      <w:pPr>
        <w:spacing w:after="80" w:before="80" w:line="280"/>
        <w:jc w:val="left"/>
      </w:pPr>
      <w:r>
        <w:rPr>
          <w:rFonts w:ascii="Calibri" w:cs="Calibri" w:eastAsia="Calibri" w:hAnsi="Calibri"/>
          <w:b/>
          <w:bCs/>
          <w:i w:val="false"/>
          <w:iCs w:val="false"/>
          <w:color w:val="212121"/>
          <w:sz w:val="22"/>
          <w:szCs w:val="22"/>
        </w:rPr>
        <w:t xml:space="preserve">Simulation Engine owns: </w:t>
      </w:r>
      <w:r>
        <w:rPr>
          <w:rFonts w:ascii="Courier New" w:cs="Courier New" w:eastAsia="Courier New" w:hAnsi="Courier New"/>
          <w:color w:val="7B1FA2"/>
          <w:sz w:val="19"/>
          <w:szCs w:val="19"/>
        </w:rPr>
        <w:t xml:space="preserve">simulation_scenarios, simulation_inputs, simulation_results</w:t>
      </w:r>
    </w:p>
    <w:p>
      <w:pPr>
        <w:spacing w:after="80" w:before="80" w:line="280"/>
        <w:jc w:val="left"/>
      </w:pPr>
      <w:r>
        <w:rPr>
          <w:rFonts w:ascii="Calibri" w:cs="Calibri" w:eastAsia="Calibri" w:hAnsi="Calibri"/>
          <w:b/>
          <w:bCs/>
          <w:i w:val="false"/>
          <w:iCs w:val="false"/>
          <w:color w:val="212121"/>
          <w:sz w:val="22"/>
          <w:szCs w:val="22"/>
        </w:rPr>
        <w:t xml:space="preserve">Org. Memory Engine owns: </w:t>
      </w:r>
      <w:r>
        <w:rPr>
          <w:rFonts w:ascii="Courier New" w:cs="Courier New" w:eastAsia="Courier New" w:hAnsi="Courier New"/>
          <w:color w:val="7B1FA2"/>
          <w:sz w:val="19"/>
          <w:szCs w:val="19"/>
        </w:rPr>
        <w:t xml:space="preserve">memory_records, memory_patterns</w:t>
      </w:r>
    </w:p>
    <w:p>
      <w:pPr>
        <w:spacing w:after="80" w:before="0" w:line="280"/>
        <w:jc w:val="left"/>
      </w:pPr>
      <w:r>
        <w:rPr>
          <w:rFonts w:ascii="Calibri" w:cs="Calibri" w:eastAsia="Calibri" w:hAnsi="Calibri"/>
          <w:b w:val="false"/>
          <w:bCs w:val="false"/>
          <w:i w:val="false"/>
          <w:iCs w:val="false"/>
          <w:color w:val="212121"/>
          <w:sz w:val="22"/>
          <w:szCs w:val="22"/>
        </w:rPr>
        <w:t xml:space="preserve">A service NEVER writes to a table it does not own. Cross-boundary references are by entity UUID only — no FK constraints across service databases.</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The Risk Engine writing a derived_status field to the activities table.</w:t>
      </w:r>
    </w:p>
    <w:p>
      <w:pPr>
        <w:spacing w:after="0" w:before="0"/>
      </w:pPr>
    </w:p>
    <w:p>
      <w:pPr>
        <w:spacing w:after="60" w:before="200" w:line="280"/>
      </w:pPr>
      <w:r>
        <w:rPr>
          <w:rFonts w:ascii="Calibri" w:cs="Calibri" w:eastAsia="Calibri" w:hAnsi="Calibri"/>
          <w:b/>
          <w:bCs/>
          <w:color w:val="388E3C"/>
          <w:sz w:val="22"/>
          <w:szCs w:val="22"/>
        </w:rPr>
        <w:t xml:space="preserve">Rule 4:  </w:t>
      </w:r>
      <w:r>
        <w:rPr>
          <w:rFonts w:ascii="Calibri" w:cs="Calibri" w:eastAsia="Calibri" w:hAnsi="Calibri"/>
          <w:b/>
          <w:bCs/>
          <w:color w:val="212121"/>
          <w:sz w:val="22"/>
          <w:szCs w:val="22"/>
        </w:rPr>
        <w:t xml:space="preserve">No synchronous cross-service writes on the critical path.</w:t>
      </w:r>
    </w:p>
    <w:p>
      <w:pPr>
        <w:spacing w:after="80" w:before="0" w:line="280"/>
        <w:jc w:val="left"/>
      </w:pPr>
      <w:r>
        <w:rPr>
          <w:rFonts w:ascii="Calibri" w:cs="Calibri" w:eastAsia="Calibri" w:hAnsi="Calibri"/>
          <w:b w:val="false"/>
          <w:bCs w:val="false"/>
          <w:i w:val="false"/>
          <w:iCs w:val="false"/>
          <w:color w:val="212121"/>
          <w:sz w:val="22"/>
          <w:szCs w:val="22"/>
        </w:rPr>
        <w:t xml:space="preserve">A user-facing API response must complete within 500ms P99. Any write operation requiring coordination across services must use the Outbox + Pub/Sub pattern. The API acknowledges the command and the downstream service processes asynchronously.</w:t>
      </w:r>
    </w:p>
    <w:p>
      <w:pPr>
        <w:spacing w:after="80" w:before="80" w:line="280"/>
        <w:jc w:val="left"/>
      </w:pPr>
      <w:r>
        <w:rPr>
          <w:rFonts w:ascii="Calibri" w:cs="Calibri" w:eastAsia="Calibri" w:hAnsi="Calibri"/>
          <w:b/>
          <w:bCs/>
          <w:i w:val="false"/>
          <w:iCs w:val="false"/>
          <w:color w:val="E65100"/>
          <w:sz w:val="22"/>
          <w:szCs w:val="22"/>
        </w:rPr>
        <w:t xml:space="preserve">Exception: </w:t>
      </w:r>
      <w:r>
        <w:rPr>
          <w:rFonts w:ascii="Calibri" w:cs="Calibri" w:eastAsia="Calibri" w:hAnsi="Calibri"/>
          <w:b w:val="false"/>
          <w:bCs w:val="false"/>
          <w:i w:val="false"/>
          <w:iCs w:val="false"/>
          <w:color w:val="212121"/>
          <w:sz w:val="22"/>
          <w:szCs w:val="22"/>
        </w:rPr>
        <w:t xml:space="preserve">The PIG node for a new entity is created synchronously in the same request (not via Pub/Sub) to guarantee the entity is immediately queryable. The PIG Service is a direct synchronous dependency of the Core Platform.</w:t>
      </w:r>
    </w:p>
    <w:p>
      <w:pPr>
        <w:spacing w:after="0" w:before="0"/>
      </w:pPr>
      <w:r>
        <w:br w:type="page"/>
      </w:r>
    </w:p>
    <w:p>
      <w:pPr>
        <w:pBdr>
          <w:bottom w:val="single" w:color="388E3C" w:sz="8"/>
        </w:pBdr>
        <w:spacing w:after="160" w:before="400"/>
      </w:pPr>
      <w:r>
        <w:rPr>
          <w:rFonts w:ascii="Calibri" w:cs="Calibri" w:eastAsia="Calibri" w:hAnsi="Calibri"/>
          <w:b/>
          <w:bCs/>
          <w:color w:val="1B5E20"/>
          <w:sz w:val="34"/>
          <w:szCs w:val="34"/>
        </w:rPr>
        <w:t xml:space="preserve">6. ID Generation Rules</w:t>
      </w:r>
    </w:p>
    <w:p>
      <w:pPr>
        <w:spacing w:after="0" w:before="0"/>
      </w:pPr>
    </w:p>
    <w:p>
      <w:pPr>
        <w:spacing w:after="60" w:before="200" w:line="280"/>
      </w:pPr>
      <w:r>
        <w:rPr>
          <w:rFonts w:ascii="Calibri" w:cs="Calibri" w:eastAsia="Calibri" w:hAnsi="Calibri"/>
          <w:b/>
          <w:bCs/>
          <w:color w:val="388E3C"/>
          <w:sz w:val="22"/>
          <w:szCs w:val="22"/>
        </w:rPr>
        <w:t xml:space="preserve">Rule 1:  </w:t>
      </w:r>
      <w:r>
        <w:rPr>
          <w:rFonts w:ascii="Calibri" w:cs="Calibri" w:eastAsia="Calibri" w:hAnsi="Calibri"/>
          <w:b/>
          <w:bCs/>
          <w:color w:val="212121"/>
          <w:sz w:val="22"/>
          <w:szCs w:val="22"/>
        </w:rPr>
        <w:t xml:space="preserve">All entity primary keys are UUID v7 (time-ordered UUID).</w:t>
      </w:r>
    </w:p>
    <w:p>
      <w:pPr>
        <w:spacing w:after="80" w:before="0" w:line="280"/>
        <w:jc w:val="left"/>
      </w:pPr>
      <w:r>
        <w:rPr>
          <w:rFonts w:ascii="Calibri" w:cs="Calibri" w:eastAsia="Calibri" w:hAnsi="Calibri"/>
          <w:b w:val="false"/>
          <w:bCs w:val="false"/>
          <w:i w:val="false"/>
          <w:iCs w:val="false"/>
          <w:color w:val="212121"/>
          <w:sz w:val="22"/>
          <w:szCs w:val="22"/>
        </w:rPr>
        <w:t xml:space="preserve">UUID v7 is time-ordered, which gives PostgreSQL B-tree index performance similar to sequential integers without distributed ID coordination problems. At scale, random UUID v4 PKs cause index fragmentation that degrades write throughput by 2–4x.</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UUID v4 for entity PKs — random distribution fragments PostgreSQL B-tree indexes at scale.</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Integer sequences — cannot be generated independently by multiple services without coordination.</w:t>
      </w:r>
    </w:p>
    <w:p>
      <w:pPr>
        <w:spacing w:after="0" w:before="0"/>
      </w:pPr>
    </w:p>
    <w:p>
      <w:pPr>
        <w:spacing w:after="60" w:before="200" w:line="280"/>
      </w:pPr>
      <w:r>
        <w:rPr>
          <w:rFonts w:ascii="Calibri" w:cs="Calibri" w:eastAsia="Calibri" w:hAnsi="Calibri"/>
          <w:b/>
          <w:bCs/>
          <w:color w:val="388E3C"/>
          <w:sz w:val="22"/>
          <w:szCs w:val="22"/>
        </w:rPr>
        <w:t xml:space="preserve">Rule 2:  </w:t>
      </w:r>
      <w:r>
        <w:rPr>
          <w:rFonts w:ascii="Calibri" w:cs="Calibri" w:eastAsia="Calibri" w:hAnsi="Calibri"/>
          <w:b/>
          <w:bCs/>
          <w:color w:val="212121"/>
          <w:sz w:val="22"/>
          <w:szCs w:val="22"/>
        </w:rPr>
        <w:t xml:space="preserve">All event IDs are UUID v4.</w:t>
      </w:r>
    </w:p>
    <w:p>
      <w:pPr>
        <w:spacing w:after="80" w:before="0" w:line="280"/>
        <w:jc w:val="left"/>
      </w:pPr>
      <w:r>
        <w:rPr>
          <w:rFonts w:ascii="Calibri" w:cs="Calibri" w:eastAsia="Calibri" w:hAnsi="Calibri"/>
          <w:b w:val="false"/>
          <w:bCs w:val="false"/>
          <w:i w:val="false"/>
          <w:iCs w:val="false"/>
          <w:color w:val="212121"/>
          <w:sz w:val="22"/>
          <w:szCs w:val="22"/>
        </w:rPr>
        <w:t xml:space="preserve">Events are generated at the point of publication, not at the point of DB write. UUID v4 is correct here — there is no ordering requirement at the event-id level; ordering is handled by occurred_at.</w:t>
      </w:r>
    </w:p>
    <w:p>
      <w:pPr>
        <w:spacing w:after="0" w:before="0"/>
      </w:pPr>
    </w:p>
    <w:p>
      <w:pPr>
        <w:spacing w:after="60" w:before="200" w:line="280"/>
      </w:pPr>
      <w:r>
        <w:rPr>
          <w:rFonts w:ascii="Calibri" w:cs="Calibri" w:eastAsia="Calibri" w:hAnsi="Calibri"/>
          <w:b/>
          <w:bCs/>
          <w:color w:val="388E3C"/>
          <w:sz w:val="22"/>
          <w:szCs w:val="22"/>
        </w:rPr>
        <w:t xml:space="preserve">Rule 3:  </w:t>
      </w:r>
      <w:r>
        <w:rPr>
          <w:rFonts w:ascii="Calibri" w:cs="Calibri" w:eastAsia="Calibri" w:hAnsi="Calibri"/>
          <w:b/>
          <w:bCs/>
          <w:color w:val="212121"/>
          <w:sz w:val="22"/>
          <w:szCs w:val="22"/>
        </w:rPr>
        <w:t xml:space="preserve">Correlation IDs and Causation IDs are UUID v4.</w:t>
      </w:r>
    </w:p>
    <w:p>
      <w:pPr>
        <w:spacing w:after="80" w:before="0" w:line="280"/>
        <w:jc w:val="left"/>
      </w:pPr>
      <w:r>
        <w:rPr>
          <w:rFonts w:ascii="Calibri" w:cs="Calibri" w:eastAsia="Calibri" w:hAnsi="Calibri"/>
          <w:b w:val="false"/>
          <w:bCs w:val="false"/>
          <w:i w:val="false"/>
          <w:iCs w:val="false"/>
          <w:color w:val="212121"/>
          <w:sz w:val="22"/>
          <w:szCs w:val="22"/>
        </w:rPr>
        <w:t xml:space="preserve">Generated at the chain origin (user request or scheduled trigger). Passed through all downstream events and service calls in the X-Correlation-ID HTTP header. Never generated mid-chain.</w:t>
      </w:r>
    </w:p>
    <w:p>
      <w:pPr>
        <w:spacing w:after="0" w:before="0"/>
      </w:pPr>
    </w:p>
    <w:p>
      <w:pPr>
        <w:spacing w:after="60" w:before="200" w:line="280"/>
      </w:pPr>
      <w:r>
        <w:rPr>
          <w:rFonts w:ascii="Calibri" w:cs="Calibri" w:eastAsia="Calibri" w:hAnsi="Calibri"/>
          <w:b/>
          <w:bCs/>
          <w:color w:val="388E3C"/>
          <w:sz w:val="22"/>
          <w:szCs w:val="22"/>
        </w:rPr>
        <w:t xml:space="preserve">Rule 4:  </w:t>
      </w:r>
      <w:r>
        <w:rPr>
          <w:rFonts w:ascii="Calibri" w:cs="Calibri" w:eastAsia="Calibri" w:hAnsi="Calibri"/>
          <w:b/>
          <w:bCs/>
          <w:color w:val="212121"/>
          <w:sz w:val="22"/>
          <w:szCs w:val="22"/>
        </w:rPr>
        <w:t xml:space="preserve">External-facing IDs are human-readable and separate from the UUID PK.</w:t>
      </w:r>
    </w:p>
    <w:p>
      <w:pPr>
        <w:spacing w:after="80" w:before="80" w:line="280"/>
        <w:jc w:val="left"/>
      </w:pPr>
      <w:r>
        <w:rPr>
          <w:rFonts w:ascii="Calibri" w:cs="Calibri" w:eastAsia="Calibri" w:hAnsi="Calibri"/>
          <w:b/>
          <w:bCs/>
          <w:i w:val="false"/>
          <w:iCs w:val="false"/>
          <w:color w:val="212121"/>
          <w:sz w:val="22"/>
          <w:szCs w:val="22"/>
        </w:rPr>
        <w:t xml:space="preserve">Format: </w:t>
      </w:r>
      <w:r>
        <w:rPr>
          <w:rFonts w:ascii="Courier New" w:cs="Courier New" w:eastAsia="Courier New" w:hAnsi="Courier New"/>
          <w:color w:val="7B1FA2"/>
          <w:sz w:val="19"/>
          <w:szCs w:val="19"/>
        </w:rPr>
        <w:t xml:space="preserve">[PREFIX]-[YYYY]-[NNNN]</w:t>
      </w:r>
      <w:r>
        <w:rPr>
          <w:rFonts w:ascii="Calibri" w:cs="Calibri" w:eastAsia="Calibri" w:hAnsi="Calibri"/>
          <w:b w:val="false"/>
          <w:bCs w:val="false"/>
          <w:i w:val="false"/>
          <w:iCs w:val="false"/>
          <w:color w:val="212121"/>
          <w:sz w:val="22"/>
          <w:szCs w:val="22"/>
        </w:rPr>
        <w:t xml:space="preserve">   e.g., </w:t>
      </w:r>
      <w:r>
        <w:rPr>
          <w:rFonts w:ascii="Courier New" w:cs="Courier New" w:eastAsia="Courier New" w:hAnsi="Courier New"/>
          <w:color w:val="7B1FA2"/>
          <w:sz w:val="19"/>
          <w:szCs w:val="19"/>
        </w:rPr>
        <w:t xml:space="preserve">DWG-2026-0042</w:t>
      </w:r>
      <w:r>
        <w:rPr>
          <w:rFonts w:ascii="Calibri" w:cs="Calibri" w:eastAsia="Calibri" w:hAnsi="Calibri"/>
          <w:b w:val="false"/>
          <w:bCs w:val="false"/>
          <w:i w:val="false"/>
          <w:iCs w:val="false"/>
          <w:color w:val="212121"/>
          <w:sz w:val="22"/>
          <w:szCs w:val="22"/>
        </w:rPr>
        <w:t xml:space="preserve">, </w:t>
      </w:r>
      <w:r>
        <w:rPr>
          <w:rFonts w:ascii="Courier New" w:cs="Courier New" w:eastAsia="Courier New" w:hAnsi="Courier New"/>
          <w:color w:val="7B1FA2"/>
          <w:sz w:val="19"/>
          <w:szCs w:val="19"/>
        </w:rPr>
        <w:t xml:space="preserve">CHG-2026-0015</w:t>
      </w:r>
      <w:r>
        <w:rPr>
          <w:rFonts w:ascii="Calibri" w:cs="Calibri" w:eastAsia="Calibri" w:hAnsi="Calibri"/>
          <w:b w:val="false"/>
          <w:bCs w:val="false"/>
          <w:i w:val="false"/>
          <w:iCs w:val="false"/>
          <w:color w:val="212121"/>
          <w:sz w:val="22"/>
          <w:szCs w:val="22"/>
        </w:rPr>
        <w:t xml:space="preserve">, </w:t>
      </w:r>
      <w:r>
        <w:rPr>
          <w:rFonts w:ascii="Courier New" w:cs="Courier New" w:eastAsia="Courier New" w:hAnsi="Courier New"/>
          <w:color w:val="7B1FA2"/>
          <w:sz w:val="19"/>
          <w:szCs w:val="19"/>
        </w:rPr>
        <w:t xml:space="preserve">RSK-2026-0007</w:t>
      </w:r>
    </w:p>
    <w:p>
      <w:pPr>
        <w:spacing w:after="80" w:before="0" w:line="280"/>
        <w:jc w:val="left"/>
      </w:pPr>
      <w:r>
        <w:rPr>
          <w:rFonts w:ascii="Calibri" w:cs="Calibri" w:eastAsia="Calibri" w:hAnsi="Calibri"/>
          <w:b w:val="false"/>
          <w:bCs w:val="false"/>
          <w:i w:val="false"/>
          <w:iCs w:val="false"/>
          <w:color w:val="212121"/>
          <w:sz w:val="22"/>
          <w:szCs w:val="22"/>
        </w:rPr>
        <w:t xml:space="preserve">These are SEPARATE from the internal UUID PK. The UUID is the join key used in all queries and FK references. The code is the display key shown in the UI and printed on documents.</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Using the human-readable code as the FK in join tables. Always join on UUID. The human-readable code may be updated if renumbered; the UUID never changes.</w:t>
      </w:r>
    </w:p>
    <w:p>
      <w:pPr>
        <w:spacing w:after="0" w:before="0"/>
      </w:pPr>
      <w:r>
        <w:br w:type="page"/>
      </w:r>
    </w:p>
    <w:p>
      <w:pPr>
        <w:pBdr>
          <w:bottom w:val="single" w:color="388E3C" w:sz="8"/>
        </w:pBdr>
        <w:spacing w:after="160" w:before="400"/>
      </w:pPr>
      <w:r>
        <w:rPr>
          <w:rFonts w:ascii="Calibri" w:cs="Calibri" w:eastAsia="Calibri" w:hAnsi="Calibri"/>
          <w:b/>
          <w:bCs/>
          <w:color w:val="1B5E20"/>
          <w:sz w:val="34"/>
          <w:szCs w:val="34"/>
        </w:rPr>
        <w:t xml:space="preserve">7. Mutability and Versioning Rules</w:t>
      </w:r>
    </w:p>
    <w:p>
      <w:pPr>
        <w:spacing w:after="120" w:before="80" w:line="280"/>
        <w:jc w:val="left"/>
      </w:pPr>
      <w:r>
        <w:rPr>
          <w:rFonts w:ascii="Calibri" w:cs="Calibri" w:eastAsia="Calibri" w:hAnsi="Calibri"/>
          <w:b w:val="false"/>
          <w:bCs w:val="false"/>
          <w:i w:val="false"/>
          <w:iCs w:val="false"/>
          <w:color w:val="212121"/>
          <w:sz w:val="22"/>
          <w:szCs w:val="22"/>
        </w:rPr>
        <w:t xml:space="preserve">The EPC project record is a legal and contractual artefact. Immutability rules protect the audit trail that regulators, clients, and insurers may inspect years after project completion.</w:t>
      </w:r>
    </w:p>
    <w:p>
      <w:pPr>
        <w:spacing w:after="60" w:before="200" w:line="280"/>
      </w:pPr>
      <w:r>
        <w:rPr>
          <w:rFonts w:ascii="Calibri" w:cs="Calibri" w:eastAsia="Calibri" w:hAnsi="Calibri"/>
          <w:b/>
          <w:bCs/>
          <w:color w:val="388E3C"/>
          <w:sz w:val="22"/>
          <w:szCs w:val="22"/>
        </w:rPr>
        <w:t xml:space="preserve">Rule 1:  </w:t>
      </w:r>
      <w:r>
        <w:rPr>
          <w:rFonts w:ascii="Calibri" w:cs="Calibri" w:eastAsia="Calibri" w:hAnsi="Calibri"/>
          <w:b/>
          <w:bCs/>
          <w:color w:val="212121"/>
          <w:sz w:val="22"/>
          <w:szCs w:val="22"/>
        </w:rPr>
        <w:t xml:space="preserve">Events are immutable once published to Pub/Sub.</w:t>
      </w:r>
    </w:p>
    <w:p>
      <w:pPr>
        <w:spacing w:after="80" w:before="0" w:line="280"/>
        <w:jc w:val="left"/>
      </w:pPr>
      <w:r>
        <w:rPr>
          <w:rFonts w:ascii="Calibri" w:cs="Calibri" w:eastAsia="Calibri" w:hAnsi="Calibri"/>
          <w:b w:val="false"/>
          <w:bCs w:val="false"/>
          <w:i w:val="false"/>
          <w:iCs w:val="false"/>
          <w:color w:val="212121"/>
          <w:sz w:val="22"/>
          <w:szCs w:val="22"/>
        </w:rPr>
        <w:t xml:space="preserve">Never update an event. Never delete an event from Pub/Sub. If an event was wrong, publish a correcting event (e.g., ActivityDelayRevised) and document the correction in its payload with a reference to the event_id being corrected.</w:t>
      </w:r>
    </w:p>
    <w:p>
      <w:pPr>
        <w:spacing w:after="0" w:before="0"/>
      </w:pPr>
    </w:p>
    <w:p>
      <w:pPr>
        <w:spacing w:after="60" w:before="200" w:line="280"/>
      </w:pPr>
      <w:r>
        <w:rPr>
          <w:rFonts w:ascii="Calibri" w:cs="Calibri" w:eastAsia="Calibri" w:hAnsi="Calibri"/>
          <w:b/>
          <w:bCs/>
          <w:color w:val="388E3C"/>
          <w:sz w:val="22"/>
          <w:szCs w:val="22"/>
        </w:rPr>
        <w:t xml:space="preserve">Rule 2:  </w:t>
      </w:r>
      <w:r>
        <w:rPr>
          <w:rFonts w:ascii="Calibri" w:cs="Calibri" w:eastAsia="Calibri" w:hAnsi="Calibri"/>
          <w:b/>
          <w:bCs/>
          <w:color w:val="212121"/>
          <w:sz w:val="22"/>
          <w:szCs w:val="22"/>
        </w:rPr>
        <w:t xml:space="preserve">Approved decisions are immutable.</w:t>
      </w:r>
    </w:p>
    <w:p>
      <w:pPr>
        <w:spacing w:after="80" w:before="80" w:line="280"/>
        <w:jc w:val="left"/>
      </w:pPr>
      <w:r>
        <w:rPr>
          <w:rFonts w:ascii="Calibri" w:cs="Calibri" w:eastAsia="Calibri" w:hAnsi="Calibri"/>
          <w:b w:val="false"/>
          <w:bCs w:val="false"/>
          <w:i w:val="false"/>
          <w:iCs w:val="false"/>
          <w:color w:val="212121"/>
          <w:sz w:val="22"/>
          <w:szCs w:val="22"/>
        </w:rPr>
        <w:t xml:space="preserve">Once a Decision reaches </w:t>
      </w:r>
      <w:r>
        <w:rPr>
          <w:rFonts w:ascii="Courier New" w:cs="Courier New" w:eastAsia="Courier New" w:hAnsi="Courier New"/>
          <w:color w:val="7B1FA2"/>
          <w:sz w:val="19"/>
          <w:szCs w:val="19"/>
        </w:rPr>
        <w:t xml:space="preserve">status = 'approved'</w:t>
      </w:r>
      <w:r>
        <w:rPr>
          <w:rFonts w:ascii="Calibri" w:cs="Calibri" w:eastAsia="Calibri" w:hAnsi="Calibri"/>
          <w:b w:val="false"/>
          <w:bCs w:val="false"/>
          <w:i w:val="false"/>
          <w:iCs w:val="false"/>
          <w:color w:val="212121"/>
          <w:sz w:val="22"/>
          <w:szCs w:val="22"/>
        </w:rPr>
        <w:t xml:space="preserve">, its </w:t>
      </w:r>
      <w:r>
        <w:rPr>
          <w:rFonts w:ascii="Courier New" w:cs="Courier New" w:eastAsia="Courier New" w:hAnsi="Courier New"/>
          <w:color w:val="7B1FA2"/>
          <w:sz w:val="19"/>
          <w:szCs w:val="19"/>
        </w:rPr>
        <w:t xml:space="preserve">chosen_option_id</w:t>
      </w:r>
      <w:r>
        <w:rPr>
          <w:rFonts w:ascii="Calibri" w:cs="Calibri" w:eastAsia="Calibri" w:hAnsi="Calibri"/>
          <w:b w:val="false"/>
          <w:bCs w:val="false"/>
          <w:i w:val="false"/>
          <w:iCs w:val="false"/>
          <w:color w:val="212121"/>
          <w:sz w:val="22"/>
          <w:szCs w:val="22"/>
        </w:rPr>
        <w:t xml:space="preserve">, </w:t>
      </w:r>
      <w:r>
        <w:rPr>
          <w:rFonts w:ascii="Courier New" w:cs="Courier New" w:eastAsia="Courier New" w:hAnsi="Courier New"/>
          <w:color w:val="7B1FA2"/>
          <w:sz w:val="19"/>
          <w:szCs w:val="19"/>
        </w:rPr>
        <w:t xml:space="preserve">approver_ids</w:t>
      </w:r>
      <w:r>
        <w:rPr>
          <w:rFonts w:ascii="Calibri" w:cs="Calibri" w:eastAsia="Calibri" w:hAnsi="Calibri"/>
          <w:b w:val="false"/>
          <w:bCs w:val="false"/>
          <w:i w:val="false"/>
          <w:iCs w:val="false"/>
          <w:color w:val="212121"/>
          <w:sz w:val="22"/>
          <w:szCs w:val="22"/>
        </w:rPr>
        <w:t xml:space="preserve">, and approval timestamps must not be altered.</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Editing an approved decision record in place. Create a new decision record that supersedes it, and link the two with a SUPERSEDED_BY edge in the PIG.</w:t>
      </w:r>
    </w:p>
    <w:p>
      <w:pPr>
        <w:spacing w:after="0" w:before="0"/>
      </w:pPr>
    </w:p>
    <w:p>
      <w:pPr>
        <w:spacing w:after="60" w:before="200" w:line="280"/>
      </w:pPr>
      <w:r>
        <w:rPr>
          <w:rFonts w:ascii="Calibri" w:cs="Calibri" w:eastAsia="Calibri" w:hAnsi="Calibri"/>
          <w:b/>
          <w:bCs/>
          <w:color w:val="388E3C"/>
          <w:sz w:val="22"/>
          <w:szCs w:val="22"/>
        </w:rPr>
        <w:t xml:space="preserve">Rule 3:  </w:t>
      </w:r>
      <w:r>
        <w:rPr>
          <w:rFonts w:ascii="Calibri" w:cs="Calibri" w:eastAsia="Calibri" w:hAnsi="Calibri"/>
          <w:b/>
          <w:bCs/>
          <w:color w:val="212121"/>
          <w:sz w:val="22"/>
          <w:szCs w:val="22"/>
        </w:rPr>
        <w:t xml:space="preserve">Drawing revisions are immutable.</w:t>
      </w:r>
    </w:p>
    <w:p>
      <w:pPr>
        <w:spacing w:after="80" w:before="0" w:line="280"/>
        <w:jc w:val="left"/>
      </w:pPr>
      <w:r>
        <w:rPr>
          <w:rFonts w:ascii="Calibri" w:cs="Calibri" w:eastAsia="Calibri" w:hAnsi="Calibri"/>
          <w:b w:val="false"/>
          <w:bCs w:val="false"/>
          <w:i w:val="false"/>
          <w:iCs w:val="false"/>
          <w:color w:val="212121"/>
          <w:sz w:val="22"/>
          <w:szCs w:val="22"/>
        </w:rPr>
        <w:t xml:space="preserve">A DrawingRevision once issued is never updated. A new revision supersedes it. The revision record is preserved forever for audit. The SUPERSEDES edge in the PIG is the chain of record for revision history.</w:t>
      </w:r>
    </w:p>
    <w:p>
      <w:pPr>
        <w:spacing w:after="0" w:before="0"/>
      </w:pPr>
    </w:p>
    <w:p>
      <w:pPr>
        <w:spacing w:after="60" w:before="200" w:line="280"/>
      </w:pPr>
      <w:r>
        <w:rPr>
          <w:rFonts w:ascii="Calibri" w:cs="Calibri" w:eastAsia="Calibri" w:hAnsi="Calibri"/>
          <w:b/>
          <w:bCs/>
          <w:color w:val="388E3C"/>
          <w:sz w:val="22"/>
          <w:szCs w:val="22"/>
        </w:rPr>
        <w:t xml:space="preserve">Rule 4:  </w:t>
      </w:r>
      <w:r>
        <w:rPr>
          <w:rFonts w:ascii="Calibri" w:cs="Calibri" w:eastAsia="Calibri" w:hAnsi="Calibri"/>
          <w:b/>
          <w:bCs/>
          <w:color w:val="212121"/>
          <w:sz w:val="22"/>
          <w:szCs w:val="22"/>
        </w:rPr>
        <w:t xml:space="preserve">Entity state fields are mutable; the audit trail is not.</w:t>
      </w:r>
    </w:p>
    <w:p>
      <w:pPr>
        <w:spacing w:after="80" w:before="80" w:line="280"/>
        <w:jc w:val="left"/>
      </w:pPr>
      <w:r>
        <w:rPr>
          <w:rFonts w:ascii="Calibri" w:cs="Calibri" w:eastAsia="Calibri" w:hAnsi="Calibri"/>
          <w:b w:val="false"/>
          <w:bCs w:val="false"/>
          <w:i w:val="false"/>
          <w:iCs w:val="false"/>
          <w:color w:val="212121"/>
          <w:sz w:val="22"/>
          <w:szCs w:val="22"/>
        </w:rPr>
        <w:t xml:space="preserve">An Activity’s status can change from </w:t>
      </w:r>
      <w:r>
        <w:rPr>
          <w:rFonts w:ascii="Courier New" w:cs="Courier New" w:eastAsia="Courier New" w:hAnsi="Courier New"/>
          <w:color w:val="7B1FA2"/>
          <w:sz w:val="19"/>
          <w:szCs w:val="19"/>
        </w:rPr>
        <w:t xml:space="preserve">in_progress</w:t>
      </w:r>
      <w:r>
        <w:rPr>
          <w:rFonts w:ascii="Calibri" w:cs="Calibri" w:eastAsia="Calibri" w:hAnsi="Calibri"/>
          <w:b w:val="false"/>
          <w:bCs w:val="false"/>
          <w:i w:val="false"/>
          <w:iCs w:val="false"/>
          <w:color w:val="212121"/>
          <w:sz w:val="22"/>
          <w:szCs w:val="22"/>
        </w:rPr>
        <w:t xml:space="preserve"> to </w:t>
      </w:r>
      <w:r>
        <w:rPr>
          <w:rFonts w:ascii="Courier New" w:cs="Courier New" w:eastAsia="Courier New" w:hAnsi="Courier New"/>
          <w:color w:val="7B1FA2"/>
          <w:sz w:val="19"/>
          <w:szCs w:val="19"/>
        </w:rPr>
        <w:t xml:space="preserve">delayed</w:t>
      </w:r>
      <w:r>
        <w:rPr>
          <w:rFonts w:ascii="Calibri" w:cs="Calibri" w:eastAsia="Calibri" w:hAnsi="Calibri"/>
          <w:b w:val="false"/>
          <w:bCs w:val="false"/>
          <w:i w:val="false"/>
          <w:iCs w:val="false"/>
          <w:color w:val="212121"/>
          <w:sz w:val="22"/>
          <w:szCs w:val="22"/>
        </w:rPr>
        <w:t xml:space="preserve">. The audit_logs record of that change is immutable. Every state change MUST write to audit_logs in the same transaction.</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A state change that updates the entity row without writing to audit_logs. The change will be invisible in audit queries and cannot be reconstructed from events alone.</w:t>
      </w:r>
    </w:p>
    <w:p>
      <w:pPr>
        <w:spacing w:after="0" w:before="0"/>
      </w:pPr>
    </w:p>
    <w:p>
      <w:pPr>
        <w:spacing w:after="60" w:before="200" w:line="280"/>
      </w:pPr>
      <w:r>
        <w:rPr>
          <w:rFonts w:ascii="Calibri" w:cs="Calibri" w:eastAsia="Calibri" w:hAnsi="Calibri"/>
          <w:b/>
          <w:bCs/>
          <w:color w:val="388E3C"/>
          <w:sz w:val="22"/>
          <w:szCs w:val="22"/>
        </w:rPr>
        <w:t xml:space="preserve">Rule 5:  </w:t>
      </w:r>
      <w:r>
        <w:rPr>
          <w:rFonts w:ascii="Calibri" w:cs="Calibri" w:eastAsia="Calibri" w:hAnsi="Calibri"/>
          <w:b/>
          <w:bCs/>
          <w:color w:val="212121"/>
          <w:sz w:val="22"/>
          <w:szCs w:val="22"/>
        </w:rPr>
        <w:t xml:space="preserve">The PIG uses edge expiry, not deletion, for relationship changes.</w:t>
      </w:r>
    </w:p>
    <w:p>
      <w:pPr>
        <w:spacing w:after="80" w:before="0" w:line="280"/>
        <w:jc w:val="left"/>
      </w:pPr>
      <w:r>
        <w:rPr>
          <w:rFonts w:ascii="Calibri" w:cs="Calibri" w:eastAsia="Calibri" w:hAnsi="Calibri"/>
          <w:b w:val="false"/>
          <w:bCs w:val="false"/>
          <w:i w:val="false"/>
          <w:iCs w:val="false"/>
          <w:color w:val="212121"/>
          <w:sz w:val="22"/>
          <w:szCs w:val="22"/>
        </w:rPr>
        <w:t xml:space="preserve">When a relationship ends (e.g., a person is reassigned), set expires_at on the old edge and create a new edge with the updated assignment. Do not delete graph_edges. The history of relationships is part of the project record.</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DELETE FROM graph_edges WHERE id = :id — this destroys the historical relationship record. Use expires_at instead.</w:t>
      </w:r>
    </w:p>
    <w:p>
      <w:pPr>
        <w:spacing w:after="0" w:before="0"/>
      </w:pPr>
      <w:r>
        <w:br w:type="page"/>
      </w:r>
    </w:p>
    <w:p>
      <w:pPr>
        <w:pBdr>
          <w:bottom w:val="single" w:color="388E3C" w:sz="8"/>
        </w:pBdr>
        <w:spacing w:after="160" w:before="400"/>
      </w:pPr>
      <w:r>
        <w:rPr>
          <w:rFonts w:ascii="Calibri" w:cs="Calibri" w:eastAsia="Calibri" w:hAnsi="Calibri"/>
          <w:b/>
          <w:bCs/>
          <w:color w:val="1B5E20"/>
          <w:sz w:val="34"/>
          <w:szCs w:val="34"/>
        </w:rPr>
        <w:t xml:space="preserve">8. Consistency and Synchronicity Rules</w:t>
      </w:r>
    </w:p>
    <w:p>
      <w:pPr>
        <w:spacing w:after="120" w:before="80" w:line="280"/>
        <w:jc w:val="left"/>
      </w:pPr>
      <w:r>
        <w:rPr>
          <w:rFonts w:ascii="Calibri" w:cs="Calibri" w:eastAsia="Calibri" w:hAnsi="Calibri"/>
          <w:b w:val="false"/>
          <w:bCs w:val="false"/>
          <w:i w:val="false"/>
          <w:iCs w:val="false"/>
          <w:color w:val="212121"/>
          <w:sz w:val="22"/>
          <w:szCs w:val="22"/>
        </w:rPr>
        <w:t xml:space="preserve">Not everything needs to be synchronous. Synchronous operations block the user. Asynchronous operations must have bounded lag. Confusing the two causes either poor UX (everything blocks) or stale data disasters (nothing is fresh). These rules define which is which.</w:t>
      </w:r>
    </w:p>
    <w:p>
      <w:pPr>
        <w:spacing w:after="100" w:before="280"/>
      </w:pPr>
      <w:r>
        <w:rPr>
          <w:rFonts w:ascii="Calibri" w:cs="Calibri" w:eastAsia="Calibri" w:hAnsi="Calibri"/>
          <w:b/>
          <w:bCs/>
          <w:color w:val="388E3C"/>
          <w:sz w:val="26"/>
          <w:szCs w:val="26"/>
        </w:rPr>
        <w:t xml:space="preserve">8.1 Synchronous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0D47A1" w:sz="6"/>
              <w:left w:val="thick" w:color="0D47A1" w:sz="36"/>
              <w:bottom w:val="single" w:color="0D47A1" w:sz="6"/>
              <w:right w:val="single" w:color="0D47A1" w:sz="6"/>
            </w:tcBorders>
            <w:shd w:fill="E3F2FD" w:val="clear"/>
            <w:tcMar>
              <w:top w:type="dxa" w:w="120"/>
              <w:left w:type="dxa" w:w="200"/>
              <w:bottom w:type="dxa" w:w="120"/>
              <w:right w:type="dxa" w:w="160"/>
            </w:tcMar>
          </w:tcPr>
          <w:p>
            <w:pPr>
              <w:spacing w:after="80" w:before="0" w:line="260"/>
            </w:pPr>
            <w:r>
              <w:rPr>
                <w:rFonts w:ascii="Calibri" w:cs="Calibri" w:eastAsia="Calibri" w:hAnsi="Calibri"/>
                <w:b/>
                <w:bCs/>
                <w:color w:val="0D47A1"/>
                <w:sz w:val="21"/>
                <w:szCs w:val="21"/>
              </w:rPr>
              <w:t xml:space="preserve">Synchronous — Must Complete Before API Response Returns</w:t>
            </w:r>
          </w:p>
          <w:p>
            <w:pPr>
              <w:spacing w:after="40" w:before="0" w:line="260"/>
            </w:pPr>
            <w:r>
              <w:rPr>
                <w:rFonts w:ascii="Calibri" w:cs="Calibri" w:eastAsia="Calibri" w:hAnsi="Calibri"/>
                <w:b w:val="false"/>
                <w:bCs w:val="false"/>
                <w:i w:val="false"/>
                <w:iCs w:val="false"/>
                <w:color w:val="212121"/>
                <w:sz w:val="21"/>
                <w:szCs w:val="21"/>
              </w:rPr>
              <w:t xml:space="preserve">Authentication and authorization</w:t>
            </w:r>
          </w:p>
          <w:p>
            <w:pPr>
              <w:spacing w:after="40" w:before="0" w:line="260"/>
            </w:pPr>
            <w:r>
              <w:rPr>
                <w:rFonts w:ascii="Calibri" w:cs="Calibri" w:eastAsia="Calibri" w:hAnsi="Calibri"/>
                <w:b w:val="false"/>
                <w:bCs w:val="false"/>
                <w:i w:val="false"/>
                <w:iCs w:val="false"/>
                <w:color w:val="212121"/>
                <w:sz w:val="21"/>
                <w:szCs w:val="21"/>
              </w:rPr>
              <w:t xml:space="preserve">Immediate read queries (entity detail, list, search)</w:t>
            </w:r>
          </w:p>
          <w:p>
            <w:pPr>
              <w:spacing w:after="40" w:before="0" w:line="260"/>
            </w:pPr>
            <w:r>
              <w:rPr>
                <w:rFonts w:ascii="Calibri" w:cs="Calibri" w:eastAsia="Calibri" w:hAnsi="Calibri"/>
                <w:b w:val="false"/>
                <w:bCs w:val="false"/>
                <w:i w:val="false"/>
                <w:iCs w:val="false"/>
                <w:color w:val="212121"/>
                <w:sz w:val="21"/>
                <w:szCs w:val="21"/>
              </w:rPr>
              <w:t xml:space="preserve">Entity creation, including PIG node creation (PIG Service is a synchronous dependency)</w:t>
            </w:r>
          </w:p>
          <w:p>
            <w:pPr>
              <w:spacing w:after="0" w:before="0" w:line="260"/>
            </w:pPr>
            <w:r>
              <w:rPr>
                <w:rFonts w:ascii="Calibri" w:cs="Calibri" w:eastAsia="Calibri" w:hAnsi="Calibri"/>
                <w:b w:val="false"/>
                <w:bCs w:val="false"/>
                <w:i w:val="false"/>
                <w:iCs w:val="false"/>
                <w:color w:val="212121"/>
                <w:sz w:val="21"/>
                <w:szCs w:val="21"/>
              </w:rPr>
              <w:t xml:space="preserve">User-visible form validation</w:t>
            </w:r>
          </w:p>
        </w:tc>
      </w:tr>
    </w:tbl>
    <w:p>
      <w:pPr>
        <w:spacing w:after="0" w:before="0"/>
      </w:pPr>
    </w:p>
    <w:p>
      <w:pPr>
        <w:spacing w:after="100" w:before="280"/>
      </w:pPr>
      <w:r>
        <w:rPr>
          <w:rFonts w:ascii="Calibri" w:cs="Calibri" w:eastAsia="Calibri" w:hAnsi="Calibri"/>
          <w:b/>
          <w:bCs/>
          <w:color w:val="388E3C"/>
          <w:sz w:val="26"/>
          <w:szCs w:val="26"/>
        </w:rPr>
        <w:t xml:space="preserve">8.2 Eventually Consistent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0D47A1" w:sz="6"/>
              <w:left w:val="thick" w:color="0D47A1" w:sz="36"/>
              <w:bottom w:val="single" w:color="0D47A1" w:sz="6"/>
              <w:right w:val="single" w:color="0D47A1" w:sz="6"/>
            </w:tcBorders>
            <w:shd w:fill="E3F2FD" w:val="clear"/>
            <w:tcMar>
              <w:top w:type="dxa" w:w="120"/>
              <w:left w:type="dxa" w:w="200"/>
              <w:bottom w:type="dxa" w:w="120"/>
              <w:right w:type="dxa" w:w="160"/>
            </w:tcMar>
          </w:tcPr>
          <w:p>
            <w:pPr>
              <w:spacing w:after="80" w:before="0" w:line="260"/>
            </w:pPr>
            <w:r>
              <w:rPr>
                <w:rFonts w:ascii="Calibri" w:cs="Calibri" w:eastAsia="Calibri" w:hAnsi="Calibri"/>
                <w:b/>
                <w:bCs/>
                <w:color w:val="0D47A1"/>
                <w:sz w:val="21"/>
                <w:szCs w:val="21"/>
              </w:rPr>
              <w:t xml:space="preserve">Eventually Consistent — Processed via Pub/Sub After API Returns</w:t>
            </w:r>
          </w:p>
          <w:p>
            <w:pPr>
              <w:spacing w:after="40" w:before="0" w:line="260"/>
            </w:pPr>
            <w:r>
              <w:rPr>
                <w:rFonts w:ascii="Calibri" w:cs="Calibri" w:eastAsia="Calibri" w:hAnsi="Calibri"/>
                <w:b w:val="false"/>
                <w:bCs w:val="false"/>
                <w:i w:val="false"/>
                <w:iCs w:val="false"/>
                <w:color w:val="212121"/>
                <w:sz w:val="21"/>
                <w:szCs w:val="21"/>
              </w:rPr>
              <w:t xml:space="preserve">Evidence score recomputation</w:t>
            </w:r>
          </w:p>
          <w:p>
            <w:pPr>
              <w:spacing w:after="40" w:before="0" w:line="260"/>
            </w:pPr>
            <w:r>
              <w:rPr>
                <w:rFonts w:ascii="Calibri" w:cs="Calibri" w:eastAsia="Calibri" w:hAnsi="Calibri"/>
                <w:b w:val="false"/>
                <w:bCs w:val="false"/>
                <w:i w:val="false"/>
                <w:iCs w:val="false"/>
                <w:color w:val="212121"/>
                <w:sz w:val="21"/>
                <w:szCs w:val="21"/>
              </w:rPr>
              <w:t xml:space="preserve">Critical path recomputation</w:t>
            </w:r>
          </w:p>
          <w:p>
            <w:pPr>
              <w:spacing w:after="40" w:before="0" w:line="260"/>
            </w:pPr>
            <w:r>
              <w:rPr>
                <w:rFonts w:ascii="Calibri" w:cs="Calibri" w:eastAsia="Calibri" w:hAnsi="Calibri"/>
                <w:b w:val="false"/>
                <w:bCs w:val="false"/>
                <w:i w:val="false"/>
                <w:iCs w:val="false"/>
                <w:color w:val="212121"/>
                <w:sz w:val="21"/>
                <w:szCs w:val="21"/>
              </w:rPr>
              <w:t xml:space="preserve">Vendor score updates and reliability predictions</w:t>
            </w:r>
          </w:p>
          <w:p>
            <w:pPr>
              <w:spacing w:after="40" w:before="0" w:line="260"/>
            </w:pPr>
            <w:r>
              <w:rPr>
                <w:rFonts w:ascii="Calibri" w:cs="Calibri" w:eastAsia="Calibri" w:hAnsi="Calibri"/>
                <w:b w:val="false"/>
                <w:bCs w:val="false"/>
                <w:i w:val="false"/>
                <w:iCs w:val="false"/>
                <w:color w:val="212121"/>
                <w:sz w:val="21"/>
                <w:szCs w:val="21"/>
              </w:rPr>
              <w:t xml:space="preserve">Risk score updates and pattern detection</w:t>
            </w:r>
          </w:p>
          <w:p>
            <w:pPr>
              <w:spacing w:after="40" w:before="0" w:line="260"/>
            </w:pPr>
            <w:r>
              <w:rPr>
                <w:rFonts w:ascii="Calibri" w:cs="Calibri" w:eastAsia="Calibri" w:hAnsi="Calibri"/>
                <w:b w:val="false"/>
                <w:bCs w:val="false"/>
                <w:i w:val="false"/>
                <w:iCs w:val="false"/>
                <w:color w:val="212121"/>
                <w:sz w:val="21"/>
                <w:szCs w:val="21"/>
              </w:rPr>
              <w:t xml:space="preserve">Schedule, budget, and quality forecasting</w:t>
            </w:r>
          </w:p>
          <w:p>
            <w:pPr>
              <w:spacing w:after="40" w:before="0" w:line="260"/>
            </w:pPr>
            <w:r>
              <w:rPr>
                <w:rFonts w:ascii="Calibri" w:cs="Calibri" w:eastAsia="Calibri" w:hAnsi="Calibri"/>
                <w:b w:val="false"/>
                <w:bCs w:val="false"/>
                <w:i w:val="false"/>
                <w:iCs w:val="false"/>
                <w:color w:val="212121"/>
                <w:sz w:val="21"/>
                <w:szCs w:val="21"/>
              </w:rPr>
              <w:t xml:space="preserve">Recommendation generation (requires all other scores first)</w:t>
            </w:r>
          </w:p>
          <w:p>
            <w:pPr>
              <w:spacing w:after="40" w:before="0" w:line="260"/>
            </w:pPr>
            <w:r>
              <w:rPr>
                <w:rFonts w:ascii="Calibri" w:cs="Calibri" w:eastAsia="Calibri" w:hAnsi="Calibri"/>
                <w:b w:val="false"/>
                <w:bCs w:val="false"/>
                <w:i w:val="false"/>
                <w:iCs w:val="false"/>
                <w:color w:val="212121"/>
                <w:sz w:val="21"/>
                <w:szCs w:val="21"/>
              </w:rPr>
              <w:t xml:space="preserve">PIG edge propagation beyond the initial node creation</w:t>
            </w:r>
          </w:p>
          <w:p>
            <w:pPr>
              <w:spacing w:after="40" w:before="0" w:line="260"/>
            </w:pPr>
            <w:r>
              <w:rPr>
                <w:rFonts w:ascii="Calibri" w:cs="Calibri" w:eastAsia="Calibri" w:hAnsi="Calibri"/>
                <w:b w:val="false"/>
                <w:bCs w:val="false"/>
                <w:i w:val="false"/>
                <w:iCs w:val="false"/>
                <w:color w:val="212121"/>
                <w:sz w:val="21"/>
                <w:szCs w:val="21"/>
              </w:rPr>
              <w:t xml:space="preserve">Coordination item creation and routing</w:t>
            </w:r>
          </w:p>
          <w:p>
            <w:pPr>
              <w:spacing w:after="0" w:before="0" w:line="260"/>
            </w:pPr>
            <w:r>
              <w:rPr>
                <w:rFonts w:ascii="Calibri" w:cs="Calibri" w:eastAsia="Calibri" w:hAnsi="Calibri"/>
                <w:b w:val="false"/>
                <w:bCs w:val="false"/>
                <w:i w:val="false"/>
                <w:iCs w:val="false"/>
                <w:color w:val="212121"/>
                <w:sz w:val="21"/>
                <w:szCs w:val="21"/>
              </w:rPr>
              <w:t xml:space="preserve">Executive Digital Twin synthesis</w:t>
            </w:r>
          </w:p>
        </w:tc>
      </w:tr>
    </w:tbl>
    <w:p>
      <w:pPr>
        <w:spacing w:after="0" w:before="0"/>
      </w:pPr>
    </w:p>
    <w:p>
      <w:pPr>
        <w:spacing w:after="60" w:before="200" w:line="280"/>
      </w:pPr>
      <w:r>
        <w:rPr>
          <w:rFonts w:ascii="Calibri" w:cs="Calibri" w:eastAsia="Calibri" w:hAnsi="Calibri"/>
          <w:b/>
          <w:bCs/>
          <w:color w:val="388E3C"/>
          <w:sz w:val="22"/>
          <w:szCs w:val="22"/>
        </w:rPr>
        <w:t xml:space="preserve">Rule 3:  </w:t>
      </w:r>
      <w:r>
        <w:rPr>
          <w:rFonts w:ascii="Calibri" w:cs="Calibri" w:eastAsia="Calibri" w:hAnsi="Calibri"/>
          <w:b/>
          <w:bCs/>
          <w:color w:val="212121"/>
          <w:sz w:val="22"/>
          <w:szCs w:val="22"/>
        </w:rPr>
        <w:t xml:space="preserve">Maximum eventual consistency lag SLO is 30 seconds.</w:t>
      </w:r>
    </w:p>
    <w:p>
      <w:pPr>
        <w:spacing w:after="80" w:before="0" w:line="280"/>
        <w:jc w:val="left"/>
      </w:pPr>
      <w:r>
        <w:rPr>
          <w:rFonts w:ascii="Calibri" w:cs="Calibri" w:eastAsia="Calibri" w:hAnsi="Calibri"/>
          <w:b w:val="false"/>
          <w:bCs w:val="false"/>
          <w:i w:val="false"/>
          <w:iCs w:val="false"/>
          <w:color w:val="212121"/>
          <w:sz w:val="22"/>
          <w:szCs w:val="22"/>
        </w:rPr>
        <w:t xml:space="preserve">From the moment an event is published, all downstream engine processing must complete within 30 seconds for P99. Engines that exceed this SLO trigger a PagerDuty alert.</w:t>
      </w:r>
    </w:p>
    <w:p>
      <w:pPr>
        <w:spacing w:after="80" w:before="80" w:line="280"/>
        <w:jc w:val="left"/>
      </w:pPr>
      <w:r>
        <w:rPr>
          <w:rFonts w:ascii="Calibri" w:cs="Calibri" w:eastAsia="Calibri" w:hAnsi="Calibri"/>
          <w:b/>
          <w:bCs/>
          <w:i w:val="false"/>
          <w:iCs w:val="false"/>
          <w:color w:val="E65100"/>
          <w:sz w:val="22"/>
          <w:szCs w:val="22"/>
        </w:rPr>
        <w:t xml:space="preserve">Exception: </w:t>
      </w:r>
      <w:r>
        <w:rPr>
          <w:rFonts w:ascii="Calibri" w:cs="Calibri" w:eastAsia="Calibri" w:hAnsi="Calibri"/>
          <w:b w:val="false"/>
          <w:bCs w:val="false"/>
          <w:i w:val="false"/>
          <w:iCs w:val="false"/>
          <w:color w:val="212121"/>
          <w:sz w:val="22"/>
          <w:szCs w:val="22"/>
        </w:rPr>
        <w:t xml:space="preserve">Simulation Engine (async by design, computation-heavy). May take up to 60 seconds for large projects. The UI shows a "Simulating..." indicator during this window.</w:t>
      </w:r>
    </w:p>
    <w:p>
      <w:pPr>
        <w:spacing w:after="0" w:before="0"/>
      </w:pPr>
    </w:p>
    <w:p>
      <w:pPr>
        <w:spacing w:after="60" w:before="200" w:line="280"/>
      </w:pPr>
      <w:r>
        <w:rPr>
          <w:rFonts w:ascii="Calibri" w:cs="Calibri" w:eastAsia="Calibri" w:hAnsi="Calibri"/>
          <w:b/>
          <w:bCs/>
          <w:color w:val="388E3C"/>
          <w:sz w:val="22"/>
          <w:szCs w:val="22"/>
        </w:rPr>
        <w:t xml:space="preserve">Rule 4:  </w:t>
      </w:r>
      <w:r>
        <w:rPr>
          <w:rFonts w:ascii="Calibri" w:cs="Calibri" w:eastAsia="Calibri" w:hAnsi="Calibri"/>
          <w:b/>
          <w:bCs/>
          <w:color w:val="212121"/>
          <w:sz w:val="22"/>
          <w:szCs w:val="22"/>
        </w:rPr>
        <w:t xml:space="preserve">The UI never shows stale data without a staleness indicator.</w:t>
      </w:r>
    </w:p>
    <w:p>
      <w:pPr>
        <w:spacing w:after="80" w:before="0" w:line="280"/>
        <w:jc w:val="left"/>
      </w:pPr>
      <w:r>
        <w:rPr>
          <w:rFonts w:ascii="Calibri" w:cs="Calibri" w:eastAsia="Calibri" w:hAnsi="Calibri"/>
          <w:b w:val="false"/>
          <w:bCs w:val="false"/>
          <w:i w:val="false"/>
          <w:iCs w:val="false"/>
          <w:color w:val="212121"/>
          <w:sz w:val="22"/>
          <w:szCs w:val="22"/>
        </w:rPr>
        <w:t xml:space="preserve">If a score or forecast was computed more than 1 hour ago, the UI shows a "last updated X minutes ago" indicator. It never presents data as if it were current when it is not.</w:t>
      </w:r>
    </w:p>
    <w:p>
      <w:pPr>
        <w:spacing w:after="0" w:before="0"/>
      </w:pPr>
    </w:p>
    <w:p>
      <w:pPr>
        <w:spacing w:after="60" w:before="200" w:line="280"/>
      </w:pPr>
      <w:r>
        <w:rPr>
          <w:rFonts w:ascii="Calibri" w:cs="Calibri" w:eastAsia="Calibri" w:hAnsi="Calibri"/>
          <w:b/>
          <w:bCs/>
          <w:color w:val="388E3C"/>
          <w:sz w:val="22"/>
          <w:szCs w:val="22"/>
        </w:rPr>
        <w:t xml:space="preserve">Rule 5:  </w:t>
      </w:r>
      <w:r>
        <w:rPr>
          <w:rFonts w:ascii="Calibri" w:cs="Calibri" w:eastAsia="Calibri" w:hAnsi="Calibri"/>
          <w:b/>
          <w:bCs/>
          <w:color w:val="212121"/>
          <w:sz w:val="22"/>
          <w:szCs w:val="22"/>
        </w:rPr>
        <w:t xml:space="preserve">Cross-entity consistency detection is the Synchronization &amp; Consistency Engine’s job.</w:t>
      </w:r>
    </w:p>
    <w:p>
      <w:pPr>
        <w:spacing w:after="80" w:before="0" w:line="280"/>
        <w:jc w:val="left"/>
      </w:pPr>
      <w:r>
        <w:rPr>
          <w:rFonts w:ascii="Calibri" w:cs="Calibri" w:eastAsia="Calibri" w:hAnsi="Calibri"/>
          <w:b w:val="false"/>
          <w:bCs w:val="false"/>
          <w:i w:val="false"/>
          <w:iCs w:val="false"/>
          <w:color w:val="212121"/>
          <w:sz w:val="22"/>
          <w:szCs w:val="22"/>
        </w:rPr>
        <w:t xml:space="preserve">No other engine is responsible for detecting cross-entity contradictions. If two entities appear inconsistent (e.g., Drawing Rev D vs Schedule referencing Rev B), the Sync Engine detects it and publishes ContradictionDetected. Other engines react to that event.</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The Impact Engine independently checking drawing revision consistency. Single responsibility: the Sync Engine owns contradiction detection. Any other engine doing this creates duplicate detection logic that will diverge.</w:t>
      </w:r>
    </w:p>
    <w:p>
      <w:pPr>
        <w:spacing w:after="0" w:before="0"/>
      </w:pPr>
      <w:r>
        <w:br w:type="page"/>
      </w:r>
    </w:p>
    <w:p>
      <w:pPr>
        <w:pBdr>
          <w:bottom w:val="single" w:color="388E3C" w:sz="8"/>
        </w:pBdr>
        <w:spacing w:after="160" w:before="400"/>
      </w:pPr>
      <w:r>
        <w:rPr>
          <w:rFonts w:ascii="Calibri" w:cs="Calibri" w:eastAsia="Calibri" w:hAnsi="Calibri"/>
          <w:b/>
          <w:bCs/>
          <w:color w:val="1B5E20"/>
          <w:sz w:val="34"/>
          <w:szCs w:val="34"/>
        </w:rPr>
        <w:t xml:space="preserve">9. Tenancy and Security Rules</w:t>
      </w:r>
    </w:p>
    <w:p>
      <w:pPr>
        <w:spacing w:after="120" w:before="80" w:line="280"/>
        <w:jc w:val="left"/>
      </w:pPr>
      <w:r>
        <w:rPr>
          <w:rFonts w:ascii="Calibri" w:cs="Calibri" w:eastAsia="Calibri" w:hAnsi="Calibri"/>
          <w:b w:val="false"/>
          <w:bCs w:val="false"/>
          <w:i w:val="false"/>
          <w:iCs w:val="false"/>
          <w:color w:val="212121"/>
          <w:sz w:val="22"/>
          <w:szCs w:val="22"/>
        </w:rPr>
        <w:t xml:space="preserve">Green PM is a multi-tenant SaaS platform. Tenant isolation is enforced at the database layer via Row Level Security. These rules are not optional — a breach of tenant isolation is a critical security incident with legal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E65100" w:sz="6"/>
              <w:left w:val="thick" w:color="E65100" w:sz="36"/>
              <w:bottom w:val="single" w:color="E65100" w:sz="6"/>
              <w:right w:val="single" w:color="E65100" w:sz="6"/>
            </w:tcBorders>
            <w:shd w:fill="FFF8E1" w:val="clear"/>
            <w:tcMar>
              <w:top w:type="dxa" w:w="120"/>
              <w:left w:type="dxa" w:w="200"/>
              <w:bottom w:type="dxa" w:w="120"/>
              <w:right w:type="dxa" w:w="160"/>
            </w:tcMar>
          </w:tcPr>
          <w:p>
            <w:pPr>
              <w:spacing w:after="80" w:before="0" w:line="260"/>
            </w:pPr>
            <w:r>
              <w:rPr>
                <w:rFonts w:ascii="Calibri" w:cs="Calibri" w:eastAsia="Calibri" w:hAnsi="Calibri"/>
                <w:b/>
                <w:bCs/>
                <w:color w:val="E65100"/>
                <w:sz w:val="21"/>
                <w:szCs w:val="21"/>
              </w:rPr>
              <w:t xml:space="preserve">SECURITY RULE — Wrong Tenant Returns 404, Not 403</w:t>
            </w:r>
          </w:p>
          <w:p>
            <w:pPr>
              <w:spacing w:after="40" w:before="0" w:line="260"/>
            </w:pPr>
            <w:r>
              <w:rPr>
                <w:rFonts w:ascii="Calibri" w:cs="Calibri" w:eastAsia="Calibri" w:hAnsi="Calibri"/>
                <w:b w:val="false"/>
                <w:bCs w:val="false"/>
                <w:i w:val="false"/>
                <w:iCs w:val="false"/>
                <w:color w:val="212121"/>
                <w:sz w:val="21"/>
                <w:szCs w:val="21"/>
              </w:rPr>
              <w:t xml:space="preserve">A request for an entity that belongs to a different tenant must return 404 Not Found.</w:t>
            </w:r>
          </w:p>
          <w:p>
            <w:pPr>
              <w:spacing w:after="40" w:before="0" w:line="260"/>
            </w:pPr>
            <w:r>
              <w:rPr>
                <w:rFonts w:ascii="Calibri" w:cs="Calibri" w:eastAsia="Calibri" w:hAnsi="Calibri"/>
                <w:b w:val="false"/>
                <w:bCs w:val="false"/>
                <w:i w:val="false"/>
                <w:iCs w:val="false"/>
                <w:color w:val="212121"/>
                <w:sz w:val="21"/>
                <w:szCs w:val="21"/>
              </w:rPr>
              <w:t xml:space="preserve">Returning 403 Forbidden reveals that the entity exists — which is a security leak.</w:t>
            </w:r>
          </w:p>
          <w:p>
            <w:pPr>
              <w:spacing w:after="40" w:before="0" w:line="260"/>
            </w:pPr>
            <w:r>
              <w:rPr>
                <w:rFonts w:ascii="Calibri" w:cs="Calibri" w:eastAsia="Calibri" w:hAnsi="Calibri"/>
                <w:b w:val="false"/>
                <w:bCs w:val="false"/>
                <w:i w:val="false"/>
                <w:iCs w:val="false"/>
                <w:color w:val="212121"/>
                <w:sz w:val="21"/>
                <w:szCs w:val="21"/>
              </w:rPr>
              <w:t xml:space="preserve">This applies even if the requesting user is authenticated. They must not know whether</w:t>
            </w:r>
          </w:p>
          <w:p>
            <w:pPr>
              <w:spacing w:after="40" w:before="0" w:line="260"/>
            </w:pPr>
            <w:r>
              <w:rPr>
                <w:rFonts w:ascii="Calibri" w:cs="Calibri" w:eastAsia="Calibri" w:hAnsi="Calibri"/>
                <w:b w:val="false"/>
                <w:bCs w:val="false"/>
                <w:i w:val="false"/>
                <w:iCs w:val="false"/>
                <w:color w:val="212121"/>
                <w:sz w:val="21"/>
                <w:szCs w:val="21"/>
              </w:rPr>
              <w:t xml:space="preserve">the resource exists in another tenant’s namespace.</w:t>
            </w:r>
          </w:p>
          <w:p>
            <w:pPr>
              <w:spacing w:after="60" w:before="0"/>
            </w:pPr>
          </w:p>
          <w:p>
            <w:pPr>
              <w:spacing w:after="40" w:before="0" w:line="260"/>
            </w:pPr>
            <w:r>
              <w:rPr>
                <w:rFonts w:ascii="Calibri" w:cs="Calibri" w:eastAsia="Calibri" w:hAnsi="Calibri"/>
                <w:b w:val="false"/>
                <w:bCs w:val="false"/>
                <w:i w:val="false"/>
                <w:iCs w:val="false"/>
                <w:color w:val="212121"/>
                <w:sz w:val="21"/>
                <w:szCs w:val="21"/>
              </w:rPr>
              <w:t xml:space="preserve">This is enforced at the API Gateway layer via RLS returning an empty result set,</w:t>
            </w:r>
          </w:p>
          <w:p>
            <w:pPr>
              <w:spacing w:after="0" w:before="0" w:line="260"/>
            </w:pPr>
            <w:r>
              <w:rPr>
                <w:rFonts w:ascii="Calibri" w:cs="Calibri" w:eastAsia="Calibri" w:hAnsi="Calibri"/>
                <w:b w:val="false"/>
                <w:bCs w:val="false"/>
                <w:i w:val="false"/>
                <w:iCs w:val="false"/>
                <w:color w:val="212121"/>
                <w:sz w:val="21"/>
                <w:szCs w:val="21"/>
              </w:rPr>
              <w:t xml:space="preserve">which the gateway maps to 404. No service-layer code is required.</w:t>
            </w:r>
          </w:p>
        </w:tc>
      </w:tr>
    </w:tbl>
    <w:p>
      <w:pPr>
        <w:spacing w:after="0" w:before="0"/>
      </w:pPr>
    </w:p>
    <w:p>
      <w:pPr>
        <w:spacing w:after="60" w:before="200" w:line="280"/>
      </w:pPr>
      <w:r>
        <w:rPr>
          <w:rFonts w:ascii="Calibri" w:cs="Calibri" w:eastAsia="Calibri" w:hAnsi="Calibri"/>
          <w:b/>
          <w:bCs/>
          <w:color w:val="388E3C"/>
          <w:sz w:val="22"/>
          <w:szCs w:val="22"/>
        </w:rPr>
        <w:t xml:space="preserve">Rule 1:  </w:t>
      </w:r>
      <w:r>
        <w:rPr>
          <w:rFonts w:ascii="Calibri" w:cs="Calibri" w:eastAsia="Calibri" w:hAnsi="Calibri"/>
          <w:b/>
          <w:bCs/>
          <w:color w:val="212121"/>
          <w:sz w:val="22"/>
          <w:szCs w:val="22"/>
        </w:rPr>
        <w:t xml:space="preserve">Every table that holds project or tenant data MUST have tenant_id with RLS enabled.</w:t>
      </w:r>
    </w:p>
    <w:p>
      <w:pPr>
        <w:spacing w:after="80" w:before="80" w:line="280"/>
        <w:jc w:val="left"/>
      </w:pPr>
      <w:r>
        <w:rPr>
          <w:rFonts w:ascii="Calibri" w:cs="Calibri" w:eastAsia="Calibri" w:hAnsi="Calibri"/>
          <w:b w:val="false"/>
          <w:bCs w:val="false"/>
          <w:i w:val="false"/>
          <w:iCs w:val="false"/>
          <w:color w:val="212121"/>
          <w:sz w:val="22"/>
          <w:szCs w:val="22"/>
        </w:rPr>
        <w:t xml:space="preserve">tenant_id must be </w:t>
      </w:r>
      <w:r>
        <w:rPr>
          <w:rFonts w:ascii="Courier New" w:cs="Courier New" w:eastAsia="Courier New" w:hAnsi="Courier New"/>
          <w:color w:val="7B1FA2"/>
          <w:sz w:val="19"/>
          <w:szCs w:val="19"/>
        </w:rPr>
        <w:t xml:space="preserve">NOT NULL</w:t>
      </w:r>
      <w:r>
        <w:rPr>
          <w:rFonts w:ascii="Calibri" w:cs="Calibri" w:eastAsia="Calibri" w:hAnsi="Calibri"/>
          <w:b w:val="false"/>
          <w:bCs w:val="false"/>
          <w:i w:val="false"/>
          <w:iCs w:val="false"/>
          <w:color w:val="212121"/>
          <w:sz w:val="22"/>
          <w:szCs w:val="22"/>
        </w:rPr>
        <w:t xml:space="preserve">. The RLS policy uses </w:t>
      </w:r>
      <w:r>
        <w:rPr>
          <w:rFonts w:ascii="Courier New" w:cs="Courier New" w:eastAsia="Courier New" w:hAnsi="Courier New"/>
          <w:color w:val="7B1FA2"/>
          <w:sz w:val="19"/>
          <w:szCs w:val="19"/>
        </w:rPr>
        <w:t xml:space="preserve">current_setting('app.current_tenant_id')::uuid</w:t>
      </w:r>
      <w:r>
        <w:rPr>
          <w:rFonts w:ascii="Calibri" w:cs="Calibri" w:eastAsia="Calibri" w:hAnsi="Calibri"/>
          <w:b w:val="false"/>
          <w:bCs w:val="false"/>
          <w:i w:val="false"/>
          <w:iCs w:val="false"/>
          <w:color w:val="212121"/>
          <w:sz w:val="22"/>
          <w:szCs w:val="22"/>
        </w:rPr>
        <w:t xml:space="preserve">. No exceptions.</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A new feature table created without tenant_id. RLS will not filter it, exposing all tenant data to every authenticated user.</w:t>
      </w:r>
    </w:p>
    <w:p>
      <w:pPr>
        <w:spacing w:after="0" w:before="0"/>
      </w:pPr>
    </w:p>
    <w:p>
      <w:pPr>
        <w:spacing w:after="60" w:before="200" w:line="280"/>
      </w:pPr>
      <w:r>
        <w:rPr>
          <w:rFonts w:ascii="Calibri" w:cs="Calibri" w:eastAsia="Calibri" w:hAnsi="Calibri"/>
          <w:b/>
          <w:bCs/>
          <w:color w:val="388E3C"/>
          <w:sz w:val="22"/>
          <w:szCs w:val="22"/>
        </w:rPr>
        <w:t xml:space="preserve">Rule 2:  </w:t>
      </w:r>
      <w:r>
        <w:rPr>
          <w:rFonts w:ascii="Calibri" w:cs="Calibri" w:eastAsia="Calibri" w:hAnsi="Calibri"/>
          <w:b/>
          <w:bCs/>
          <w:color w:val="212121"/>
          <w:sz w:val="22"/>
          <w:szCs w:val="22"/>
        </w:rPr>
        <w:t xml:space="preserve">The app.current_tenant_id session variable is set by the API Gateway, not by application code.</w:t>
      </w:r>
    </w:p>
    <w:p>
      <w:pPr>
        <w:spacing w:after="80" w:before="0" w:line="280"/>
        <w:jc w:val="left"/>
      </w:pPr>
      <w:r>
        <w:rPr>
          <w:rFonts w:ascii="Calibri" w:cs="Calibri" w:eastAsia="Calibri" w:hAnsi="Calibri"/>
          <w:b w:val="false"/>
          <w:bCs w:val="false"/>
          <w:i w:val="false"/>
          <w:iCs w:val="false"/>
          <w:color w:val="212121"/>
          <w:sz w:val="22"/>
          <w:szCs w:val="22"/>
        </w:rPr>
        <w:t xml:space="preserve">The API Gateway extracts tenant_id from the JWT claim, sets it via PgBouncer session parameter before executing any query, and clears it after. Application service code never calls SET app.current_tenant_id directly.</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Application service code calling SET app.current_tenant_id directly. With connection pooling, session parameters may leak to the next request if the connection is reused before the parameter is cleared.</w:t>
      </w:r>
    </w:p>
    <w:p>
      <w:pPr>
        <w:spacing w:after="0" w:before="0"/>
      </w:pPr>
    </w:p>
    <w:p>
      <w:pPr>
        <w:spacing w:after="60" w:before="200" w:line="280"/>
      </w:pPr>
      <w:r>
        <w:rPr>
          <w:rFonts w:ascii="Calibri" w:cs="Calibri" w:eastAsia="Calibri" w:hAnsi="Calibri"/>
          <w:b/>
          <w:bCs/>
          <w:color w:val="388E3C"/>
          <w:sz w:val="22"/>
          <w:szCs w:val="22"/>
        </w:rPr>
        <w:t xml:space="preserve">Rule 3:  </w:t>
      </w:r>
      <w:r>
        <w:rPr>
          <w:rFonts w:ascii="Calibri" w:cs="Calibri" w:eastAsia="Calibri" w:hAnsi="Calibri"/>
          <w:b/>
          <w:bCs/>
          <w:color w:val="212121"/>
          <w:sz w:val="22"/>
          <w:szCs w:val="22"/>
        </w:rPr>
        <w:t xml:space="preserve">Wrong tenant = 404, not 403.</w:t>
      </w:r>
    </w:p>
    <w:p>
      <w:pPr>
        <w:spacing w:after="80" w:before="0" w:line="280"/>
        <w:jc w:val="left"/>
      </w:pPr>
      <w:r>
        <w:rPr>
          <w:rFonts w:ascii="Calibri" w:cs="Calibri" w:eastAsia="Calibri" w:hAnsi="Calibri"/>
          <w:b w:val="false"/>
          <w:bCs w:val="false"/>
          <w:i w:val="false"/>
          <w:iCs w:val="false"/>
          <w:color w:val="212121"/>
          <w:sz w:val="22"/>
          <w:szCs w:val="22"/>
        </w:rPr>
        <w:t xml:space="preserve">See callout above. Enforced at the API Gateway layer via RLS. The RLS policy returns an empty result set when tenant_id does not match, which the gateway maps to 404. No additional service-layer code is required.</w:t>
      </w:r>
    </w:p>
    <w:p>
      <w:pPr>
        <w:spacing w:after="0" w:before="0"/>
      </w:pPr>
    </w:p>
    <w:p>
      <w:pPr>
        <w:spacing w:after="60" w:before="200" w:line="280"/>
      </w:pPr>
      <w:r>
        <w:rPr>
          <w:rFonts w:ascii="Calibri" w:cs="Calibri" w:eastAsia="Calibri" w:hAnsi="Calibri"/>
          <w:b/>
          <w:bCs/>
          <w:color w:val="388E3C"/>
          <w:sz w:val="22"/>
          <w:szCs w:val="22"/>
        </w:rPr>
        <w:t xml:space="preserve">Rule 4:  </w:t>
      </w:r>
      <w:r>
        <w:rPr>
          <w:rFonts w:ascii="Calibri" w:cs="Calibri" w:eastAsia="Calibri" w:hAnsi="Calibri"/>
          <w:b/>
          <w:bCs/>
          <w:color w:val="212121"/>
          <w:sz w:val="22"/>
          <w:szCs w:val="22"/>
        </w:rPr>
        <w:t xml:space="preserve">All file uploads go to GCS. No files are stored in the database.</w:t>
      </w:r>
    </w:p>
    <w:p>
      <w:pPr>
        <w:spacing w:after="80" w:before="80" w:line="280"/>
        <w:jc w:val="left"/>
      </w:pPr>
      <w:r>
        <w:rPr>
          <w:rFonts w:ascii="Calibri" w:cs="Calibri" w:eastAsia="Calibri" w:hAnsi="Calibri"/>
          <w:b w:val="false"/>
          <w:bCs w:val="false"/>
          <w:i w:val="false"/>
          <w:iCs w:val="false"/>
          <w:color w:val="212121"/>
          <w:sz w:val="22"/>
          <w:szCs w:val="22"/>
        </w:rPr>
        <w:t xml:space="preserve">The database stores only: </w:t>
      </w:r>
      <w:r>
        <w:rPr>
          <w:rFonts w:ascii="Courier New" w:cs="Courier New" w:eastAsia="Courier New" w:hAnsi="Courier New"/>
          <w:color w:val="7B1FA2"/>
          <w:sz w:val="19"/>
          <w:szCs w:val="19"/>
        </w:rPr>
        <w:t xml:space="preserve">gcp_bucket, gcp_object, content_type, size_bytes</w:t>
      </w:r>
      <w:r>
        <w:rPr>
          <w:rFonts w:ascii="Calibri" w:cs="Calibri" w:eastAsia="Calibri" w:hAnsi="Calibri"/>
          <w:b w:val="false"/>
          <w:bCs w:val="false"/>
          <w:i w:val="false"/>
          <w:iCs w:val="false"/>
          <w:color w:val="212121"/>
          <w:sz w:val="22"/>
          <w:szCs w:val="22"/>
        </w:rPr>
        <w:t xml:space="preserve">. Signed URLs are generated on demand with 15-minute expiry via the Files API.</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Storing file content as bytea or base64 in PostgreSQL. At scale this destroys query performance on the table, makes backups unmanageably large, and prevents CDN caching.</w:t>
      </w:r>
    </w:p>
    <w:p>
      <w:pPr>
        <w:spacing w:after="0" w:before="0"/>
      </w:pPr>
    </w:p>
    <w:p>
      <w:pPr>
        <w:spacing w:after="60" w:before="200" w:line="280"/>
      </w:pPr>
      <w:r>
        <w:rPr>
          <w:rFonts w:ascii="Calibri" w:cs="Calibri" w:eastAsia="Calibri" w:hAnsi="Calibri"/>
          <w:b/>
          <w:bCs/>
          <w:color w:val="388E3C"/>
          <w:sz w:val="22"/>
          <w:szCs w:val="22"/>
        </w:rPr>
        <w:t xml:space="preserve">Rule 5:  </w:t>
      </w:r>
      <w:r>
        <w:rPr>
          <w:rFonts w:ascii="Calibri" w:cs="Calibri" w:eastAsia="Calibri" w:hAnsi="Calibri"/>
          <w:b/>
          <w:bCs/>
          <w:color w:val="212121"/>
          <w:sz w:val="22"/>
          <w:szCs w:val="22"/>
        </w:rPr>
        <w:t xml:space="preserve">No secrets in environment variables in Cloud Run source code.</w:t>
      </w:r>
    </w:p>
    <w:p>
      <w:pPr>
        <w:spacing w:after="80" w:before="0" w:line="280"/>
        <w:jc w:val="left"/>
      </w:pPr>
      <w:r>
        <w:rPr>
          <w:rFonts w:ascii="Calibri" w:cs="Calibri" w:eastAsia="Calibri" w:hAnsi="Calibri"/>
          <w:b w:val="false"/>
          <w:bCs w:val="false"/>
          <w:i w:val="false"/>
          <w:iCs w:val="false"/>
          <w:color w:val="212121"/>
          <w:sz w:val="22"/>
          <w:szCs w:val="22"/>
        </w:rPr>
        <w:t xml:space="preserve">All secrets (DB password, API keys, Claude API key) are retrieved from Google Secret Manager at startup. The application reads them once into a Pydantic Settings object and never re-reads during the request lifecycle.</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Hardcoding API keys in environment variables committed to source control, even in .env.example files. Even example values reveal key format and rotation patterns.</w:t>
      </w:r>
    </w:p>
    <w:p>
      <w:pPr>
        <w:spacing w:after="0" w:before="0"/>
      </w:pPr>
      <w:r>
        <w:br w:type="page"/>
      </w:r>
    </w:p>
    <w:p>
      <w:pPr>
        <w:pBdr>
          <w:bottom w:val="single" w:color="388E3C" w:sz="8"/>
        </w:pBdr>
        <w:spacing w:after="160" w:before="400"/>
      </w:pPr>
      <w:r>
        <w:rPr>
          <w:rFonts w:ascii="Calibri" w:cs="Calibri" w:eastAsia="Calibri" w:hAnsi="Calibri"/>
          <w:b/>
          <w:bCs/>
          <w:color w:val="1B5E20"/>
          <w:sz w:val="34"/>
          <w:szCs w:val="34"/>
        </w:rPr>
        <w:t xml:space="preserve">10. Testing Rules</w:t>
      </w:r>
    </w:p>
    <w:p>
      <w:pPr>
        <w:spacing w:after="120" w:before="80" w:line="280"/>
        <w:jc w:val="left"/>
      </w:pPr>
      <w:r>
        <w:rPr>
          <w:rFonts w:ascii="Calibri" w:cs="Calibri" w:eastAsia="Calibri" w:hAnsi="Calibri"/>
          <w:b w:val="false"/>
          <w:bCs w:val="false"/>
          <w:i w:val="false"/>
          <w:iCs w:val="false"/>
          <w:color w:val="212121"/>
          <w:sz w:val="22"/>
          <w:szCs w:val="22"/>
        </w:rPr>
        <w:t xml:space="preserve">Tests are the primary mechanism for verifying architectural compliance. A test that mocks the database, skips RLS verification, or exercises only the happy path is not a sufficient integration test and will not pass the PR gate.</w:t>
      </w:r>
    </w:p>
    <w:p>
      <w:pPr>
        <w:spacing w:after="60" w:before="200" w:line="280"/>
      </w:pPr>
      <w:r>
        <w:rPr>
          <w:rFonts w:ascii="Calibri" w:cs="Calibri" w:eastAsia="Calibri" w:hAnsi="Calibri"/>
          <w:b/>
          <w:bCs/>
          <w:color w:val="388E3C"/>
          <w:sz w:val="22"/>
          <w:szCs w:val="22"/>
        </w:rPr>
        <w:t xml:space="preserve">Rule 1:  </w:t>
      </w:r>
      <w:r>
        <w:rPr>
          <w:rFonts w:ascii="Calibri" w:cs="Calibri" w:eastAsia="Calibri" w:hAnsi="Calibri"/>
          <w:b/>
          <w:bCs/>
          <w:color w:val="212121"/>
          <w:sz w:val="22"/>
          <w:szCs w:val="22"/>
        </w:rPr>
        <w:t xml:space="preserve">The database is never mocked in integration tests.</w:t>
      </w:r>
    </w:p>
    <w:p>
      <w:pPr>
        <w:spacing w:after="80" w:before="0" w:line="280"/>
        <w:jc w:val="left"/>
      </w:pPr>
      <w:r>
        <w:rPr>
          <w:rFonts w:ascii="Calibri" w:cs="Calibri" w:eastAsia="Calibri" w:hAnsi="Calibri"/>
          <w:b w:val="false"/>
          <w:bCs w:val="false"/>
          <w:i w:val="false"/>
          <w:iCs w:val="false"/>
          <w:color w:val="212121"/>
          <w:sz w:val="22"/>
          <w:szCs w:val="22"/>
        </w:rPr>
        <w:t xml:space="preserve">Use a real PostgreSQL 15 container (via pytest fixture). This is required because RLS policies, partial indexes, FK constraints, and JSONB operators all behave differently from mock objects. A mock that passes tests does not prove the query works.</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Using unittest.mock.patch to mock database calls in an "integration" test. If the DB is mocked, it is a unit test. Name it correctly and add a real integration test alongside it.</w:t>
      </w:r>
    </w:p>
    <w:p>
      <w:pPr>
        <w:spacing w:after="0" w:before="0"/>
      </w:pPr>
    </w:p>
    <w:p>
      <w:pPr>
        <w:spacing w:after="60" w:before="200" w:line="280"/>
      </w:pPr>
      <w:r>
        <w:rPr>
          <w:rFonts w:ascii="Calibri" w:cs="Calibri" w:eastAsia="Calibri" w:hAnsi="Calibri"/>
          <w:b/>
          <w:bCs/>
          <w:color w:val="388E3C"/>
          <w:sz w:val="22"/>
          <w:szCs w:val="22"/>
        </w:rPr>
        <w:t xml:space="preserve">Rule 2:  </w:t>
      </w:r>
      <w:r>
        <w:rPr>
          <w:rFonts w:ascii="Calibri" w:cs="Calibri" w:eastAsia="Calibri" w:hAnsi="Calibri"/>
          <w:b/>
          <w:bCs/>
          <w:color w:val="212121"/>
          <w:sz w:val="22"/>
          <w:szCs w:val="22"/>
        </w:rPr>
        <w:t xml:space="preserve">Every engine algorithm has invariant tests.</w:t>
      </w:r>
    </w:p>
    <w:p>
      <w:pPr>
        <w:spacing w:after="80" w:before="0" w:line="280"/>
        <w:jc w:val="left"/>
      </w:pPr>
      <w:r>
        <w:rPr>
          <w:rFonts w:ascii="Calibri" w:cs="Calibri" w:eastAsia="Calibri" w:hAnsi="Calibri"/>
          <w:b w:val="false"/>
          <w:bCs w:val="false"/>
          <w:i w:val="false"/>
          <w:iCs w:val="false"/>
          <w:color w:val="212121"/>
          <w:sz w:val="22"/>
          <w:szCs w:val="22"/>
        </w:rPr>
        <w:t xml:space="preserve">An invariant test verifies a mathematical or logical property that must hold for ALL inputs, not just the happy path. These are written before the implementation — they define what "correct" means.</w:t>
      </w:r>
    </w:p>
    <w:p>
      <w:pPr>
        <w:spacing w:after="80" w:before="80" w:line="280"/>
        <w:jc w:val="left"/>
      </w:pPr>
      <w:r>
        <w:rPr>
          <w:rFonts w:ascii="Calibri" w:cs="Calibri" w:eastAsia="Calibri" w:hAnsi="Calibri"/>
          <w:b/>
          <w:bCs/>
          <w:i w:val="false"/>
          <w:iCs w:val="false"/>
          <w:color w:val="212121"/>
          <w:sz w:val="22"/>
          <w:szCs w:val="22"/>
        </w:rPr>
        <w:t xml:space="preserve">Evidence Score invariants (examples): </w:t>
      </w:r>
    </w:p>
    <w:p>
      <w:pPr>
        <w:pStyle w:val="ListParagraph"/>
        <w:numPr>
          <w:ilvl w:val="0"/>
          <w:numId w:val="2"/>
        </w:numPr>
        <w:spacing w:after="40" w:before="40" w:line="260"/>
      </w:pPr>
      <w:r>
        <w:rPr>
          <w:rFonts w:ascii="Calibri" w:cs="Calibri" w:eastAsia="Calibri" w:hAnsi="Calibri"/>
          <w:b w:val="false"/>
          <w:bCs w:val="false"/>
          <w:i w:val="false"/>
          <w:iCs w:val="false"/>
          <w:color w:val="212121"/>
          <w:sz w:val="22"/>
          <w:szCs w:val="22"/>
        </w:rPr>
        <w:t xml:space="preserve">Bounded: </w:t>
      </w:r>
      <w:r>
        <w:rPr>
          <w:rFonts w:ascii="Courier New" w:cs="Courier New" w:eastAsia="Courier New" w:hAnsi="Courier New"/>
          <w:color w:val="7B1FA2"/>
          <w:sz w:val="19"/>
          <w:szCs w:val="19"/>
        </w:rPr>
        <w:t xml:space="preserve">0.0 ≤ score ≤ 1.0</w:t>
      </w:r>
      <w:r>
        <w:rPr>
          <w:rFonts w:ascii="Calibri" w:cs="Calibri" w:eastAsia="Calibri" w:hAnsi="Calibri"/>
          <w:b w:val="false"/>
          <w:bCs w:val="false"/>
          <w:i w:val="false"/>
          <w:iCs w:val="false"/>
          <w:color w:val="212121"/>
          <w:sz w:val="22"/>
          <w:szCs w:val="22"/>
        </w:rPr>
        <w:t xml:space="preserve"> for all valid inputs</w:t>
      </w:r>
    </w:p>
    <w:p>
      <w:pPr>
        <w:pStyle w:val="ListParagraph"/>
        <w:numPr>
          <w:ilvl w:val="0"/>
          <w:numId w:val="2"/>
        </w:numPr>
        <w:spacing w:after="40" w:before="40" w:line="260"/>
      </w:pPr>
      <w:r>
        <w:rPr>
          <w:rFonts w:ascii="Calibri" w:cs="Calibri" w:eastAsia="Calibri" w:hAnsi="Calibri"/>
          <w:b w:val="false"/>
          <w:bCs w:val="false"/>
          <w:i w:val="false"/>
          <w:iCs w:val="false"/>
          <w:color w:val="212121"/>
          <w:sz w:val="22"/>
          <w:szCs w:val="22"/>
        </w:rPr>
        <w:t xml:space="preserve">Monotone recency: more recent evidence produces a score ≥ older evidence, all else equal</w:t>
      </w:r>
    </w:p>
    <w:p>
      <w:pPr>
        <w:pStyle w:val="ListParagraph"/>
        <w:numPr>
          <w:ilvl w:val="0"/>
          <w:numId w:val="2"/>
        </w:numPr>
        <w:spacing w:after="40" w:before="40" w:line="260"/>
      </w:pPr>
      <w:r>
        <w:rPr>
          <w:rFonts w:ascii="Calibri" w:cs="Calibri" w:eastAsia="Calibri" w:hAnsi="Calibri"/>
          <w:b w:val="false"/>
          <w:bCs w:val="false"/>
          <w:i w:val="false"/>
          <w:iCs w:val="false"/>
          <w:color w:val="212121"/>
          <w:sz w:val="22"/>
          <w:szCs w:val="22"/>
        </w:rPr>
        <w:t xml:space="preserve">Idempotent recompute: running the algorithm twice on the same input returns the same score</w:t>
      </w:r>
    </w:p>
    <w:p>
      <w:pPr>
        <w:pStyle w:val="ListParagraph"/>
        <w:numPr>
          <w:ilvl w:val="0"/>
          <w:numId w:val="2"/>
        </w:numPr>
        <w:spacing w:after="40" w:before="40" w:line="260"/>
      </w:pPr>
      <w:r>
        <w:rPr>
          <w:rFonts w:ascii="Calibri" w:cs="Calibri" w:eastAsia="Calibri" w:hAnsi="Calibri"/>
          <w:b w:val="false"/>
          <w:bCs w:val="false"/>
          <w:i w:val="false"/>
          <w:iCs w:val="false"/>
          <w:color w:val="212121"/>
          <w:sz w:val="22"/>
          <w:szCs w:val="22"/>
        </w:rPr>
        <w:t xml:space="preserve">5 components sum to 1.0: </w:t>
      </w:r>
      <w:r>
        <w:rPr>
          <w:rFonts w:ascii="Courier New" w:cs="Courier New" w:eastAsia="Courier New" w:hAnsi="Courier New"/>
          <w:color w:val="7B1FA2"/>
          <w:sz w:val="19"/>
          <w:szCs w:val="19"/>
        </w:rPr>
        <w:t xml:space="preserve">source_count_weight + recency_weight + corroboration_weight + diversity_weight + reliability_weight = 1.0</w:t>
      </w:r>
    </w:p>
    <w:p>
      <w:pPr>
        <w:spacing w:after="0" w:before="0"/>
      </w:pPr>
    </w:p>
    <w:p>
      <w:pPr>
        <w:spacing w:after="60" w:before="200" w:line="280"/>
      </w:pPr>
      <w:r>
        <w:rPr>
          <w:rFonts w:ascii="Calibri" w:cs="Calibri" w:eastAsia="Calibri" w:hAnsi="Calibri"/>
          <w:b/>
          <w:bCs/>
          <w:color w:val="388E3C"/>
          <w:sz w:val="22"/>
          <w:szCs w:val="22"/>
        </w:rPr>
        <w:t xml:space="preserve">Rule 3:  </w:t>
      </w:r>
      <w:r>
        <w:rPr>
          <w:rFonts w:ascii="Calibri" w:cs="Calibri" w:eastAsia="Calibri" w:hAnsi="Calibri"/>
          <w:b/>
          <w:bCs/>
          <w:color w:val="212121"/>
          <w:sz w:val="22"/>
          <w:szCs w:val="22"/>
        </w:rPr>
        <w:t xml:space="preserve">RLS isolation is a required test, not an optional one.</w:t>
      </w:r>
    </w:p>
    <w:p>
      <w:pPr>
        <w:spacing w:after="80" w:before="0" w:line="280"/>
        <w:jc w:val="left"/>
      </w:pPr>
      <w:r>
        <w:rPr>
          <w:rFonts w:ascii="Calibri" w:cs="Calibri" w:eastAsia="Calibri" w:hAnsi="Calibri"/>
          <w:b w:val="false"/>
          <w:bCs w:val="false"/>
          <w:i w:val="false"/>
          <w:iCs w:val="false"/>
          <w:color w:val="212121"/>
          <w:sz w:val="22"/>
          <w:szCs w:val="22"/>
        </w:rPr>
        <w:t xml:space="preserve">Every feature that touches a tenant-isolated table must have a test that creates data for two tenants and verifies that neither can see the other’s data.</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A test that creates data and verifies it is readable, but does not verify that a second tenant cannot read it. This passes on day one and fails silently when RLS is misconfigured by a future migration.</w:t>
      </w:r>
    </w:p>
    <w:p>
      <w:pPr>
        <w:spacing w:after="0" w:before="0"/>
      </w:pPr>
    </w:p>
    <w:p>
      <w:pPr>
        <w:spacing w:after="60" w:before="200" w:line="280"/>
      </w:pPr>
      <w:r>
        <w:rPr>
          <w:rFonts w:ascii="Calibri" w:cs="Calibri" w:eastAsia="Calibri" w:hAnsi="Calibri"/>
          <w:b/>
          <w:bCs/>
          <w:color w:val="388E3C"/>
          <w:sz w:val="22"/>
          <w:szCs w:val="22"/>
        </w:rPr>
        <w:t xml:space="preserve">Rule 4:  </w:t>
      </w:r>
      <w:r>
        <w:rPr>
          <w:rFonts w:ascii="Calibri" w:cs="Calibri" w:eastAsia="Calibri" w:hAnsi="Calibri"/>
          <w:b/>
          <w:bCs/>
          <w:color w:val="212121"/>
          <w:sz w:val="22"/>
          <w:szCs w:val="22"/>
        </w:rPr>
        <w:t xml:space="preserve">API contract tests run on every PR.</w:t>
      </w:r>
    </w:p>
    <w:p>
      <w:pPr>
        <w:spacing w:after="80" w:before="80" w:line="280"/>
        <w:jc w:val="left"/>
      </w:pPr>
      <w:r>
        <w:rPr>
          <w:rFonts w:ascii="Calibri" w:cs="Calibri" w:eastAsia="Calibri" w:hAnsi="Calibri"/>
          <w:b w:val="false"/>
          <w:bCs w:val="false"/>
          <w:i w:val="false"/>
          <w:iCs w:val="false"/>
          <w:color w:val="212121"/>
          <w:sz w:val="22"/>
          <w:szCs w:val="22"/>
        </w:rPr>
        <w:t xml:space="preserve">schemathesis generates and runs property-based API tests from the OpenAPI spec. A route that diverges from the spec fails the CI gate. Contract tests cannot be waived. They are not optional for "minor" routes.</w:t>
      </w:r>
    </w:p>
    <w:p>
      <w:pPr>
        <w:spacing w:after="0" w:before="0"/>
      </w:pPr>
    </w:p>
    <w:p>
      <w:pPr>
        <w:spacing w:after="60" w:before="200" w:line="280"/>
      </w:pPr>
      <w:r>
        <w:rPr>
          <w:rFonts w:ascii="Calibri" w:cs="Calibri" w:eastAsia="Calibri" w:hAnsi="Calibri"/>
          <w:b/>
          <w:bCs/>
          <w:color w:val="388E3C"/>
          <w:sz w:val="22"/>
          <w:szCs w:val="22"/>
        </w:rPr>
        <w:t xml:space="preserve">Rule 5:  </w:t>
      </w:r>
      <w:r>
        <w:rPr>
          <w:rFonts w:ascii="Calibri" w:cs="Calibri" w:eastAsia="Calibri" w:hAnsi="Calibri"/>
          <w:b/>
          <w:bCs/>
          <w:color w:val="212121"/>
          <w:sz w:val="22"/>
          <w:szCs w:val="22"/>
        </w:rPr>
        <w:t xml:space="preserve">Load tests are run at phase boundaries, not only at release.</w:t>
      </w:r>
    </w:p>
    <w:p>
      <w:pPr>
        <w:spacing w:after="80" w:before="0" w:line="280"/>
        <w:jc w:val="left"/>
      </w:pPr>
      <w:r>
        <w:rPr>
          <w:rFonts w:ascii="Calibri" w:cs="Calibri" w:eastAsia="Calibri" w:hAnsi="Calibri"/>
          <w:b w:val="false"/>
          <w:bCs w:val="false"/>
          <w:i w:val="false"/>
          <w:iCs w:val="false"/>
          <w:color w:val="212121"/>
          <w:sz w:val="22"/>
          <w:szCs w:val="22"/>
        </w:rPr>
        <w:t xml:space="preserve">Before each phase begins, the load baseline from the previous phase must be re-run to verify no regression.</w:t>
      </w:r>
    </w:p>
    <w:p>
      <w:pPr>
        <w:spacing w:after="80" w:before="80" w:line="280"/>
        <w:jc w:val="left"/>
      </w:pPr>
      <w:r>
        <w:rPr>
          <w:rFonts w:ascii="Calibri" w:cs="Calibri" w:eastAsia="Calibri" w:hAnsi="Calibri"/>
          <w:b/>
          <w:bCs/>
          <w:i w:val="false"/>
          <w:iCs w:val="false"/>
          <w:color w:val="212121"/>
          <w:sz w:val="22"/>
          <w:szCs w:val="22"/>
        </w:rPr>
        <w:t xml:space="preserve">Regression threshold: </w:t>
      </w:r>
      <w:r>
        <w:rPr>
          <w:rFonts w:ascii="Calibri" w:cs="Calibri" w:eastAsia="Calibri" w:hAnsi="Calibri"/>
          <w:b w:val="false"/>
          <w:bCs w:val="false"/>
          <w:i w:val="false"/>
          <w:iCs w:val="false"/>
          <w:color w:val="212121"/>
          <w:sz w:val="22"/>
          <w:szCs w:val="22"/>
        </w:rPr>
        <w:t xml:space="preserve">A 20% latency regression from baseline blocks the phase from starting. This prevents six weeks of accumulated regressions from being discovered at release.</w:t>
      </w:r>
    </w:p>
    <w:p>
      <w:pPr>
        <w:spacing w:after="60" w:before="40" w:line="280"/>
        <w:jc w:val="left"/>
      </w:pPr>
      <w:r>
        <w:rPr>
          <w:rFonts w:ascii="Calibri" w:cs="Calibri" w:eastAsia="Calibri" w:hAnsi="Calibri"/>
          <w:b/>
          <w:bCs/>
          <w:i w:val="false"/>
          <w:iCs w:val="false"/>
          <w:color w:val="C62828"/>
          <w:sz w:val="22"/>
          <w:szCs w:val="22"/>
        </w:rPr>
        <w:t xml:space="preserve">Wrong: </w:t>
      </w:r>
      <w:r>
        <w:rPr>
          <w:rFonts w:ascii="Calibri" w:cs="Calibri" w:eastAsia="Calibri" w:hAnsi="Calibri"/>
          <w:b w:val="false"/>
          <w:bCs w:val="false"/>
          <w:i/>
          <w:iCs/>
          <w:color w:val="212121"/>
          <w:sz w:val="21"/>
          <w:szCs w:val="21"/>
        </w:rPr>
        <w:t xml:space="preserve">Running load tests only at release. By then the source of the regression spans hundreds of PRs and is weeks of investigation to isolate.</w:t>
      </w:r>
    </w:p>
    <w:p>
      <w:pPr>
        <w:spacing w:after="0" w:before="0"/>
      </w:pPr>
      <w:r>
        <w:br w:type="page"/>
      </w:r>
    </w:p>
    <w:p>
      <w:pPr>
        <w:pBdr>
          <w:bottom w:val="single" w:color="388E3C" w:sz="8"/>
        </w:pBdr>
        <w:spacing w:after="160" w:before="400"/>
      </w:pPr>
      <w:r>
        <w:rPr>
          <w:rFonts w:ascii="Calibri" w:cs="Calibri" w:eastAsia="Calibri" w:hAnsi="Calibri"/>
          <w:b/>
          <w:bCs/>
          <w:color w:val="1B5E20"/>
          <w:sz w:val="34"/>
          <w:szCs w:val="34"/>
        </w:rPr>
        <w:t xml:space="preserve">11. Glossary of Terms</w:t>
      </w:r>
    </w:p>
    <w:p>
      <w:pPr>
        <w:spacing w:after="120" w:before="80" w:line="280"/>
        <w:jc w:val="left"/>
      </w:pPr>
      <w:r>
        <w:rPr>
          <w:rFonts w:ascii="Calibri" w:cs="Calibri" w:eastAsia="Calibri" w:hAnsi="Calibri"/>
          <w:b w:val="false"/>
          <w:bCs w:val="false"/>
          <w:i w:val="false"/>
          <w:iCs w:val="false"/>
          <w:color w:val="212121"/>
          <w:sz w:val="22"/>
          <w:szCs w:val="22"/>
        </w:rPr>
        <w:t xml:space="preserve">Terms as used in this codebase. Usage outside these definitions is a signal that a concept is being misapplied. When in doubt, refer to the definition, not to intuition.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single" w:color="BDBDBD" w:sz="4"/>
              <w:left w:val="single" w:color="BDBDBD" w:sz="4"/>
              <w:bottom w:val="single" w:color="BDBDBD" w:sz="4"/>
              <w:right w:val="single" w:color="BDBDBD" w:sz="4"/>
            </w:tcBorders>
            <w:shd w:fill="1B5E20" w:val="clear"/>
            <w:tcMar>
              <w:top w:type="dxa" w:w="80"/>
              <w:left w:type="dxa" w:w="120"/>
              <w:bottom w:type="dxa" w:w="80"/>
              <w:right w:type="dxa" w:w="80"/>
            </w:tcMar>
          </w:tcPr>
          <w:p>
            <w:pPr>
              <w:spacing w:after="40" w:before="0" w:line="260"/>
            </w:pPr>
            <w:r>
              <w:rPr>
                <w:rFonts w:ascii="Calibri" w:cs="Calibri" w:eastAsia="Calibri" w:hAnsi="Calibri"/>
                <w:b/>
                <w:bCs/>
                <w:color w:val="FFFFFF"/>
                <w:sz w:val="19"/>
                <w:szCs w:val="19"/>
              </w:rPr>
              <w:t xml:space="preserve">Term</w:t>
            </w:r>
          </w:p>
        </w:tc>
        <w:tc>
          <w:tcPr>
            <w:tcW w:type="dxa" w:w="3000"/>
            <w:tcBorders>
              <w:top w:val="single" w:color="BDBDBD" w:sz="4"/>
              <w:left w:val="single" w:color="BDBDBD" w:sz="4"/>
              <w:bottom w:val="single" w:color="BDBDBD" w:sz="4"/>
              <w:right w:val="single" w:color="BDBDBD" w:sz="4"/>
            </w:tcBorders>
            <w:shd w:fill="1B5E20" w:val="clear"/>
            <w:tcMar>
              <w:top w:type="dxa" w:w="80"/>
              <w:left w:type="dxa" w:w="120"/>
              <w:bottom w:type="dxa" w:w="80"/>
              <w:right w:type="dxa" w:w="80"/>
            </w:tcMar>
          </w:tcPr>
          <w:p>
            <w:pPr>
              <w:spacing w:after="40" w:before="0" w:line="260"/>
            </w:pPr>
            <w:r>
              <w:rPr>
                <w:rFonts w:ascii="Calibri" w:cs="Calibri" w:eastAsia="Calibri" w:hAnsi="Calibri"/>
                <w:b/>
                <w:bCs/>
                <w:color w:val="FFFFFF"/>
                <w:sz w:val="19"/>
                <w:szCs w:val="19"/>
              </w:rPr>
              <w:t xml:space="preserve">Definition</w:t>
            </w:r>
          </w:p>
        </w:tc>
        <w:tc>
          <w:tcPr>
            <w:tcW w:type="dxa" w:w="2500"/>
            <w:tcBorders>
              <w:top w:val="single" w:color="BDBDBD" w:sz="4"/>
              <w:left w:val="single" w:color="BDBDBD" w:sz="4"/>
              <w:bottom w:val="single" w:color="BDBDBD" w:sz="4"/>
              <w:right w:val="single" w:color="BDBDBD" w:sz="4"/>
            </w:tcBorders>
            <w:shd w:fill="1B5E20" w:val="clear"/>
            <w:tcMar>
              <w:top w:type="dxa" w:w="80"/>
              <w:left w:type="dxa" w:w="120"/>
              <w:bottom w:type="dxa" w:w="80"/>
              <w:right w:type="dxa" w:w="80"/>
            </w:tcMar>
          </w:tcPr>
          <w:p>
            <w:pPr>
              <w:spacing w:after="40" w:before="0" w:line="260"/>
            </w:pPr>
            <w:r>
              <w:rPr>
                <w:rFonts w:ascii="Calibri" w:cs="Calibri" w:eastAsia="Calibri" w:hAnsi="Calibri"/>
                <w:b/>
                <w:bCs/>
                <w:color w:val="FFFFFF"/>
                <w:sz w:val="19"/>
                <w:szCs w:val="19"/>
              </w:rPr>
              <w:t xml:space="preserve">Correct Example</w:t>
            </w:r>
          </w:p>
        </w:tc>
        <w:tc>
          <w:tcPr>
            <w:tcW w:type="dxa" w:w="2660"/>
            <w:tcBorders>
              <w:top w:val="single" w:color="BDBDBD" w:sz="4"/>
              <w:left w:val="single" w:color="BDBDBD" w:sz="4"/>
              <w:bottom w:val="single" w:color="BDBDBD" w:sz="4"/>
              <w:right w:val="single" w:color="BDBDBD" w:sz="4"/>
            </w:tcBorders>
            <w:shd w:fill="1B5E20" w:val="clear"/>
            <w:tcMar>
              <w:top w:type="dxa" w:w="80"/>
              <w:left w:type="dxa" w:w="120"/>
              <w:bottom w:type="dxa" w:w="80"/>
              <w:right w:type="dxa" w:w="80"/>
            </w:tcMar>
          </w:tcPr>
          <w:p>
            <w:pPr>
              <w:spacing w:after="40" w:before="0" w:line="260"/>
            </w:pPr>
            <w:r>
              <w:rPr>
                <w:rFonts w:ascii="Calibri" w:cs="Calibri" w:eastAsia="Calibri" w:hAnsi="Calibri"/>
                <w:b/>
                <w:bCs/>
                <w:color w:val="FFFFFF"/>
                <w:sz w:val="19"/>
                <w:szCs w:val="19"/>
              </w:rPr>
              <w:t xml:space="preserve">Wrong Usage</w:t>
            </w:r>
          </w:p>
        </w:tc>
      </w:tr>
      <w:t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Engine</w:t>
            </w:r>
          </w:p>
        </w:tc>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An autonomous processing unit that subscribes to events, computes domain-specific intelligence, and publishes results. Must pass the Discipline Test: (1) serves many domains, not one; (2) materially increases delivery probability.</w:t>
            </w:r>
          </w:p>
        </w:tc>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Evidence Engine, Risk Engine, Readiness Engine, Simulation Engine</w:t>
            </w:r>
          </w:p>
        </w:tc>
        <w:tc>
          <w:tcPr>
            <w:tcW w:type="dxa" w:w="26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 module that handles UI routes or CRUD for a single entity type. That is a feature, not an engine.</w:t>
            </w:r>
          </w:p>
        </w:tc>
      </w:tr>
      <w:tr>
        <w:tc>
          <w:tcPr>
            <w:tcW w:type="dxa" w:w="1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PIG</w:t>
            </w:r>
          </w:p>
        </w:tc>
        <w:tc>
          <w:tcPr>
            <w:tcW w:type="dxa" w:w="30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Project Intelligence Graph — the live, persistent property graph of all project entities (nodes) and their typed, weighted relationships (edges). Implemented as graph_nodes + graph_edges PostgreSQL tables.</w:t>
            </w:r>
          </w:p>
        </w:tc>
        <w:tc>
          <w:tcPr>
            <w:tcW w:type="dxa" w:w="25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The Impact Engine reads BLOCKS edges from graph_edges to determine cascade impact</w:t>
            </w:r>
          </w:p>
        </w:tc>
        <w:tc>
          <w:tcPr>
            <w:tcW w:type="dxa" w:w="266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 service-owned relationship cache or local adjacency list maintained by an engine</w:t>
            </w:r>
          </w:p>
        </w:tc>
      </w:tr>
      <w:t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Entity</w:t>
            </w:r>
          </w:p>
        </w:tc>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 persistent domain object with a UUID v7 PK, a DB table, a PIG node, and a bounded context that owns it. Has a lifecycle and state that changes over time.</w:t>
            </w:r>
          </w:p>
        </w:tc>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Activity, Drawing, Risk, Vendor, Decision, Change, Equipment</w:t>
            </w:r>
          </w:p>
        </w:tc>
        <w:tc>
          <w:tcPr>
            <w:tcW w:type="dxa" w:w="26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An event payload, a config record, a value object, or a computed score</w:t>
            </w:r>
          </w:p>
        </w:tc>
      </w:tr>
      <w:tr>
        <w:tc>
          <w:tcPr>
            <w:tcW w:type="dxa" w:w="1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Event</w:t>
            </w:r>
          </w:p>
        </w:tc>
        <w:tc>
          <w:tcPr>
            <w:tcW w:type="dxa" w:w="30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An immutable record of something that happened. Past tense. Carries full context. Published via Outbox after DB commit. Never updated or deleted.</w:t>
            </w:r>
          </w:p>
        </w:tc>
        <w:tc>
          <w:tcPr>
            <w:tcW w:type="dxa" w:w="25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ActivityDelayed, DrawingRevisionIssued, EvidenceScoreComputed</w:t>
            </w:r>
          </w:p>
        </w:tc>
        <w:tc>
          <w:tcPr>
            <w:tcW w:type="dxa" w:w="266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 command ("UpdateSchedule"), a status update request, or a real-time UI push message</w:t>
            </w:r>
          </w:p>
        </w:tc>
      </w:tr>
      <w:t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Workspace</w:t>
            </w:r>
          </w:p>
        </w:tc>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 UI aggregation of all PIG-connected information for one entity. No navigation required — everything is surfaced in one view via PIG traversal.</w:t>
            </w:r>
          </w:p>
        </w:tc>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Activity Workspace showing schedule position + evidence + risks + changes + drawings + coordination</w:t>
            </w:r>
          </w:p>
        </w:tc>
        <w:tc>
          <w:tcPr>
            <w:tcW w:type="dxa" w:w="26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 CRUD form for editing a single entity’s fields. That is a form, not a workspace.</w:t>
            </w:r>
          </w:p>
        </w:tc>
      </w:tr>
      <w:tr>
        <w:tc>
          <w:tcPr>
            <w:tcW w:type="dxa" w:w="1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Outbox</w:t>
            </w:r>
          </w:p>
        </w:tc>
        <w:tc>
          <w:tcPr>
            <w:tcW w:type="dxa" w:w="30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The transactional pattern for guaranteed event delivery. Events are written to outbox_events in the same DB transaction as the state change, then published asynchronously by the Outbox Worker. Prevents phantom events on transaction rollback.</w:t>
            </w:r>
          </w:p>
        </w:tc>
        <w:tc>
          <w:tcPr>
            <w:tcW w:type="dxa" w:w="25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outbox_events table + Outbox Worker Cloud Run service</w:t>
            </w:r>
          </w:p>
        </w:tc>
        <w:tc>
          <w:tcPr>
            <w:tcW w:type="dxa" w:w="266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Direct pubsub.publish() calls from within application or engine code</w:t>
            </w:r>
          </w:p>
        </w:tc>
      </w:tr>
      <w:t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Tenant</w:t>
            </w:r>
          </w:p>
        </w:tc>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An isolated organizational boundary — one EPC firm with its own data partition, enforced by RLS on tenant_id. All tables with project or user data are partitioned by tenant.</w:t>
            </w:r>
          </w:p>
        </w:tc>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GreenflIQ internal project (tenant A) vs Client Corp project (tenant B) — neither can see the other</w:t>
            </w:r>
          </w:p>
        </w:tc>
        <w:tc>
          <w:tcPr>
            <w:tcW w:type="dxa" w:w="26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 user, a project team, or an organizational unit within the same firm</w:t>
            </w:r>
          </w:p>
        </w:tc>
      </w:tr>
      <w:tr>
        <w:tc>
          <w:tcPr>
            <w:tcW w:type="dxa" w:w="1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Idempotency Key</w:t>
            </w:r>
          </w:p>
        </w:tc>
        <w:tc>
          <w:tcPr>
            <w:tcW w:type="dxa" w:w="30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 deduplication key preventing double-processing of Pub/Sub messages delivered more than once. Format: sha256(topic + "::" + event_id). Stored in idempotency_keys table. Checked before every handler executes.</w:t>
            </w:r>
          </w:p>
        </w:tc>
        <w:tc>
          <w:tcPr>
            <w:tcW w:type="dxa" w:w="25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sha256("activity.delayed::550e8400-e29b-41d4-a716-446655440000")</w:t>
            </w:r>
          </w:p>
        </w:tc>
        <w:tc>
          <w:tcPr>
            <w:tcW w:type="dxa" w:w="266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 retry counter or a timestamp-based dedup check — both allow duplicate processing within their window</w:t>
            </w:r>
          </w:p>
        </w:tc>
      </w:tr>
      <w:tr>
        <w:tc>
          <w:tcPr>
            <w:tcW w:type="dxa" w:w="1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Executive Digital Twin</w:t>
            </w:r>
          </w:p>
        </w:tc>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 weekly synthesized summary of project reality, forecasts, and required decisions. Distinct from PIG: PIG stores operational facts; EDT summarises them for executive consumption in three panels: Reality, Forecast, Required Decisions.</w:t>
            </w:r>
          </w:p>
        </w:tc>
        <w:tc>
          <w:tcPr>
            <w:tcW w:type="dxa" w:w="2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Monday morning Project Command Centre delivery powered by Forecasting + Recommendation + Decision Engines</w:t>
            </w:r>
          </w:p>
        </w:tc>
        <w:tc>
          <w:tcPr>
            <w:tcW w:type="dxa" w:w="26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 real-time dashboard, a PIG query result, or a live monitoring view</w:t>
            </w:r>
          </w:p>
        </w:tc>
      </w:tr>
      <w:tr>
        <w:tc>
          <w:tcPr>
            <w:tcW w:type="dxa" w:w="1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Coordination Item</w:t>
            </w:r>
          </w:p>
        </w:tc>
        <w:tc>
          <w:tcPr>
            <w:tcW w:type="dxa" w:w="30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 trackable action item with acknowledgment, execution, and verification lifecycle. Created by the Coordination Engine for every significant project event. The close loop that converts intelligence into verified action.</w:t>
            </w:r>
          </w:p>
        </w:tc>
        <w:tc>
          <w:tcPr>
            <w:tcW w:type="dxa" w:w="25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 drawing-delay coordination item assigned to procurement lead, tracked through acknowledgment → action → verification → closure</w:t>
            </w:r>
          </w:p>
        </w:tc>
        <w:tc>
          <w:tcPr>
            <w:tcW w:type="dxa" w:w="266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80"/>
            </w:tcMar>
          </w:tcPr>
          <w:p>
            <w:pPr>
              <w:spacing w:after="40" w:before="0" w:line="260"/>
            </w:pPr>
            <w:r>
              <w:rPr>
                <w:rFonts w:ascii="Calibri" w:cs="Calibri" w:eastAsia="Calibri" w:hAnsi="Calibri"/>
                <w:b w:val="false"/>
                <w:bCs w:val="false"/>
                <w:color w:val="212121"/>
                <w:sz w:val="19"/>
                <w:szCs w:val="19"/>
              </w:rPr>
              <w:t xml:space="preserve">A task in an external task management tool not lifecycle-tracked by Green PM</w:t>
            </w:r>
          </w:p>
        </w:tc>
      </w:tr>
    </w:tbl>
    <w:p>
      <w:pPr>
        <w:spacing w:after="0" w:before="0"/>
      </w:pPr>
    </w:p>
    <w:p>
      <w:pPr>
        <w:spacing w:after="0" w:before="0"/>
      </w:pPr>
    </w:p>
    <w:p>
      <w:pPr>
        <w:pBdr>
          <w:bottom w:val="single" w:color="BDBDBD" w:sz="6"/>
        </w:pBdr>
        <w:spacing w:after="160" w:before="160"/>
      </w:pPr>
    </w:p>
    <w:p>
      <w:pPr>
        <w:spacing w:after="80" w:before="120"/>
        <w:jc w:val="center"/>
      </w:pPr>
      <w:r>
        <w:rPr>
          <w:rFonts w:ascii="Calibri" w:cs="Calibri" w:eastAsia="Calibri" w:hAnsi="Calibri"/>
          <w:color w:val="757575"/>
          <w:sz w:val="18"/>
          <w:szCs w:val="18"/>
        </w:rPr>
        <w:t xml:space="preserve">GreenPM_v5_Engineering_Standards.docx</w:t>
      </w:r>
      <w:r>
        <w:rPr>
          <w:rFonts w:ascii="Calibri" w:cs="Calibri" w:eastAsia="Calibri" w:hAnsi="Calibri"/>
          <w:color w:val="757575"/>
          <w:sz w:val="18"/>
          <w:szCs w:val="18"/>
        </w:rPr>
        <w:t xml:space="preserve">   ·   Version 5.0   ·   Status: FROZEN   ·   </w:t>
      </w:r>
      <w:r>
        <w:rPr>
          <w:rFonts w:ascii="Calibri" w:cs="Calibri" w:eastAsia="Calibri" w:hAnsi="Calibri"/>
          <w:i/>
          <w:iCs/>
          <w:color w:val="757575"/>
          <w:sz w:val="18"/>
          <w:szCs w:val="18"/>
        </w:rPr>
        <w:t xml:space="preserve">Changes require ADR + product owner sign-off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GreenPM v5 Engineering Standards</dc:title>
  <dc:creator>Green PM</dc:creator>
  <dc:description>Architectural decision rules for Green PM v5 implementation</dc:description>
  <cp:lastModifiedBy>Un-named</cp:lastModifiedBy>
  <cp:revision>1</cp:revision>
  <dcterms:created xsi:type="dcterms:W3CDTF">2026-08-03T15:28:01.399Z</dcterms:created>
  <dcterms:modified xsi:type="dcterms:W3CDTF">2026-08-03T15:28:01.412Z</dcterms:modified>
</cp:coreProperties>
</file>

<file path=docProps/custom.xml><?xml version="1.0" encoding="utf-8"?>
<Properties xmlns="http://schemas.openxmlformats.org/officeDocument/2006/custom-properties" xmlns:vt="http://schemas.openxmlformats.org/officeDocument/2006/docPropsVTypes"/>
</file>