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B5E20"/>
          <w:sz w:val="32"/>
          <w:szCs w:val="32"/>
        </w:rPr>
        <w:t xml:space="preserve">Green PM v5</w:t>
      </w:r>
    </w:p>
    <w:p>
      <w:pPr>
        <w:spacing w:after="200"/>
      </w:pPr>
      <w:r>
        <w:rPr>
          <w:rFonts w:ascii="Calibri" w:cs="Calibri" w:eastAsia="Calibri" w:hAnsi="Calibri"/>
          <w:b/>
          <w:bCs/>
          <w:color w:val="1B5E20"/>
          <w:sz w:val="44"/>
          <w:szCs w:val="44"/>
        </w:rPr>
        <w:t xml:space="preserve">Engineering Evidence Platform</w:t>
      </w:r>
    </w:p>
    <w:p>
      <w:pPr>
        <w:spacing w:after="80"/>
      </w:pPr>
      <w:r>
        <w:rPr>
          <w:rFonts w:ascii="Calibri" w:cs="Calibri" w:eastAsia="Calibri" w:hAnsi="Calibri"/>
          <w:i/>
          <w:iCs/>
          <w:color w:val="757575"/>
          <w:sz w:val="20"/>
          <w:szCs w:val="20"/>
        </w:rPr>
        <w:t xml:space="preserve">Technical Reference Document  |  Version 5.0  |  August 2026</w:t>
      </w:r>
    </w:p>
    <w:p>
      <w:pPr>
        <w:spacing w:after="80"/>
      </w:pPr>
      <w:r>
        <w:rPr>
          <w:rFonts w:ascii="Calibri" w:cs="Calibri" w:eastAsia="Calibri" w:hAnsi="Calibri"/>
          <w:i/>
          <w:iCs/>
          <w:color w:val="757575"/>
          <w:sz w:val="20"/>
          <w:szCs w:val="20"/>
        </w:rPr>
        <w:t xml:space="preserve">Classification: Internal — Engineering &amp; PMO Teams</w:t>
      </w:r>
    </w:p>
    <w:p>
      <w:pPr>
        <w:spacing w:after="160"/>
      </w:pPr>
    </w:p>
    <w:p>
      <w:pPr>
        <w:pStyle w:val="Heading1"/>
        <w:spacing w:after="160" w:before="400"/>
      </w:pPr>
      <w:r>
        <w:rPr>
          <w:rFonts w:ascii="Calibri" w:cs="Calibri" w:eastAsia="Calibri" w:hAnsi="Calibri"/>
          <w:b/>
          <w:bCs/>
          <w:color w:val="1B5E20"/>
          <w:sz w:val="28"/>
          <w:szCs w:val="28"/>
        </w:rPr>
        <w:t xml:space="preserve">1. The 12 Evidence Capture Types</w:t>
      </w:r>
    </w:p>
    <w:p>
      <w:pPr>
        <w:spacing w:after="140" w:line="280"/>
      </w:pPr>
      <w:r>
        <w:rPr>
          <w:rFonts w:ascii="Calibri" w:cs="Calibri" w:eastAsia="Calibri" w:hAnsi="Calibri"/>
          <w:color w:val="212121"/>
          <w:sz w:val="22"/>
          <w:szCs w:val="22"/>
        </w:rPr>
        <w:t xml:space="preserve">Green PM v5 recognises twelve distinct evidence capture types. Each type has a defined capture method, an AI processing pipeline, a source reliability signal, and a set of PIG edges it creates. The Evidence Engine ingests all twelve types through the same event-driven pipeline but processes them differently based on type.</w:t>
      </w:r>
    </w:p>
    <w:p>
      <w:pPr>
        <w:spacing w:after="140" w:line="280"/>
      </w:pPr>
      <w:r>
        <w:rPr>
          <w:rFonts w:ascii="Calibri" w:cs="Calibri" w:eastAsia="Calibri" w:hAnsi="Calibri"/>
          <w:color w:val="212121"/>
          <w:sz w:val="22"/>
          <w:szCs w:val="22"/>
        </w:rPr>
        <w:t xml:space="preserve">Source reliability signals are pre-assigned by evidence type, not by individual source. A Test Certificate is always high-reliability because it is the output of a formal test process. A Voice Progress Note is medium-reliability because it is self-reported and unverified. The Confidence Score (Section 3) adjusts for context; the reliability signal is the baseline.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1560"/>
        <w:gridCol w:w="1500"/>
      </w:tblGrid>
      <w:tr>
        <w:trPr>
          <w:tblHeader/>
        </w:trPr>
        <w:tc>
          <w:tcPr>
            <w:tcW w:type="dxa" w:w="180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Evidence Type</w:t>
            </w:r>
          </w:p>
        </w:tc>
        <w:tc>
          <w:tcPr>
            <w:tcW w:type="dxa" w:w="200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Capture Method</w:t>
            </w:r>
          </w:p>
        </w:tc>
        <w:tc>
          <w:tcPr>
            <w:tcW w:type="dxa" w:w="250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AI Processing</w:t>
            </w:r>
          </w:p>
        </w:tc>
        <w:tc>
          <w:tcPr>
            <w:tcW w:type="dxa" w:w="156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Reliability Signal</w:t>
            </w:r>
          </w:p>
        </w:tc>
        <w:tc>
          <w:tcPr>
            <w:tcW w:type="dxa" w:w="150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PIG Edge Created</w:t>
            </w:r>
          </w:p>
        </w:tc>
      </w:tr>
      <w:tr>
        <w:tc>
          <w:tcPr>
            <w:tcW w:type="dxa" w:w="18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Construction Photo</w:t>
            </w:r>
          </w:p>
        </w:tc>
        <w:tc>
          <w:tcPr>
            <w:tcW w:type="dxa" w:w="20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Mobile upload</w:t>
            </w:r>
          </w:p>
        </w:tc>
        <w:tc>
          <w:tcPr>
            <w:tcW w:type="dxa" w:w="25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Google Vision API: object detection, progress estimation, text detection (drawing numbers), safe search filter</w:t>
            </w:r>
          </w:p>
        </w:tc>
        <w:tc>
          <w:tcPr>
            <w:tcW w:type="dxa" w:w="156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Medium</w:t>
            </w:r>
          </w:p>
        </w:tc>
        <w:tc>
          <w:tcPr>
            <w:tcW w:type="dxa" w:w="15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VERIFIES</w:t>
            </w:r>
          </w:p>
        </w:tc>
      </w:tr>
      <w:tr>
        <w:tc>
          <w:tcPr>
            <w:tcW w:type="dxa" w:w="18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Voice Progress Note</w:t>
            </w:r>
          </w:p>
        </w:tc>
        <w:tc>
          <w:tcPr>
            <w:tcW w:type="dxa" w:w="20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Mobile audio record</w:t>
            </w:r>
          </w:p>
        </w:tc>
        <w:tc>
          <w:tcPr>
            <w:tcW w:type="dxa" w:w="25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Cloud STT with enhanced construction vocabulary model; language detection; Claude API action item extraction</w:t>
            </w:r>
          </w:p>
        </w:tc>
        <w:tc>
          <w:tcPr>
            <w:tcW w:type="dxa" w:w="156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Medium</w:t>
            </w:r>
          </w:p>
        </w:tc>
        <w:tc>
          <w:tcPr>
            <w:tcW w:type="dxa" w:w="15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VERIFIES</w:t>
            </w:r>
          </w:p>
        </w:tc>
      </w:tr>
      <w:tr>
        <w:tc>
          <w:tcPr>
            <w:tcW w:type="dxa" w:w="18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Progress Report</w:t>
            </w:r>
          </w:p>
        </w:tc>
        <w:tc>
          <w:tcPr>
            <w:tcW w:type="dxa" w:w="20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Document upload or API import</w:t>
            </w:r>
          </w:p>
        </w:tc>
        <w:tc>
          <w:tcPr>
            <w:tcW w:type="dxa" w:w="25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OCR if scanned document; structured field extraction for progress percentages</w:t>
            </w:r>
          </w:p>
        </w:tc>
        <w:tc>
          <w:tcPr>
            <w:tcW w:type="dxa" w:w="156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High</w:t>
            </w:r>
          </w:p>
        </w:tc>
        <w:tc>
          <w:tcPr>
            <w:tcW w:type="dxa" w:w="15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VERIFIES</w:t>
            </w:r>
          </w:p>
        </w:tc>
      </w:tr>
      <w:tr>
        <w:tc>
          <w:tcPr>
            <w:tcW w:type="dxa" w:w="18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Site Diary</w:t>
            </w:r>
          </w:p>
        </w:tc>
        <w:tc>
          <w:tcPr>
            <w:tcW w:type="dxa" w:w="20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Text entry or API</w:t>
            </w:r>
          </w:p>
        </w:tc>
        <w:tc>
          <w:tcPr>
            <w:tcW w:type="dxa" w:w="25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None — stored as-is</w:t>
            </w:r>
          </w:p>
        </w:tc>
        <w:tc>
          <w:tcPr>
            <w:tcW w:type="dxa" w:w="156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Medium</w:t>
            </w:r>
          </w:p>
        </w:tc>
        <w:tc>
          <w:tcPr>
            <w:tcW w:type="dxa" w:w="15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VERIFIES</w:t>
            </w:r>
          </w:p>
        </w:tc>
      </w:tr>
      <w:tr>
        <w:tc>
          <w:tcPr>
            <w:tcW w:type="dxa" w:w="18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Inspection Record</w:t>
            </w:r>
          </w:p>
        </w:tc>
        <w:tc>
          <w:tcPr>
            <w:tcW w:type="dxa" w:w="20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Structured form or document upload</w:t>
            </w:r>
          </w:p>
        </w:tc>
        <w:tc>
          <w:tcPr>
            <w:tcW w:type="dxa" w:w="25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None — form data is structured at capture</w:t>
            </w:r>
          </w:p>
        </w:tc>
        <w:tc>
          <w:tcPr>
            <w:tcW w:type="dxa" w:w="156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High</w:t>
            </w:r>
          </w:p>
        </w:tc>
        <w:tc>
          <w:tcPr>
            <w:tcW w:type="dxa" w:w="15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VERIFIES</w:t>
            </w:r>
          </w:p>
        </w:tc>
      </w:tr>
      <w:tr>
        <w:tc>
          <w:tcPr>
            <w:tcW w:type="dxa" w:w="18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Non-Conformance Report (NCR)</w:t>
            </w:r>
          </w:p>
        </w:tc>
        <w:tc>
          <w:tcPr>
            <w:tcW w:type="dxa" w:w="20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Structured form</w:t>
            </w:r>
          </w:p>
        </w:tc>
        <w:tc>
          <w:tcPr>
            <w:tcW w:type="dxa" w:w="25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None — form data is structured at capture</w:t>
            </w:r>
          </w:p>
        </w:tc>
        <w:tc>
          <w:tcPr>
            <w:tcW w:type="dxa" w:w="156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High</w:t>
            </w:r>
          </w:p>
        </w:tc>
        <w:tc>
          <w:tcPr>
            <w:tcW w:type="dxa" w:w="15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VERIFIES + CONFLICTS_WITH on affected entity</w:t>
            </w:r>
          </w:p>
        </w:tc>
      </w:tr>
      <w:tr>
        <w:tc>
          <w:tcPr>
            <w:tcW w:type="dxa" w:w="18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Test Certificate</w:t>
            </w:r>
          </w:p>
        </w:tc>
        <w:tc>
          <w:tcPr>
            <w:tcW w:type="dxa" w:w="20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Document upload</w:t>
            </w:r>
          </w:p>
        </w:tc>
        <w:tc>
          <w:tcPr>
            <w:tcW w:type="dxa" w:w="25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OCR + structured extraction of test parameters, results, and pass/fail</w:t>
            </w:r>
          </w:p>
        </w:tc>
        <w:tc>
          <w:tcPr>
            <w:tcW w:type="dxa" w:w="156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High</w:t>
            </w:r>
          </w:p>
        </w:tc>
        <w:tc>
          <w:tcPr>
            <w:tcW w:type="dxa" w:w="15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VERIFIES + CLEARS</w:t>
            </w:r>
          </w:p>
        </w:tc>
      </w:tr>
      <w:tr>
        <w:tc>
          <w:tcPr>
            <w:tcW w:type="dxa" w:w="18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Commissioning Record</w:t>
            </w:r>
          </w:p>
        </w:tc>
        <w:tc>
          <w:tcPr>
            <w:tcW w:type="dxa" w:w="20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Form or document upload</w:t>
            </w:r>
          </w:p>
        </w:tc>
        <w:tc>
          <w:tcPr>
            <w:tcW w:type="dxa" w:w="25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None — form data is structured at capture</w:t>
            </w:r>
          </w:p>
        </w:tc>
        <w:tc>
          <w:tcPr>
            <w:tcW w:type="dxa" w:w="156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High</w:t>
            </w:r>
          </w:p>
        </w:tc>
        <w:tc>
          <w:tcPr>
            <w:tcW w:type="dxa" w:w="15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VERIFIES + CLEARS</w:t>
            </w:r>
          </w:p>
        </w:tc>
      </w:tr>
      <w:tr>
        <w:tc>
          <w:tcPr>
            <w:tcW w:type="dxa" w:w="18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Vendor Document</w:t>
            </w:r>
          </w:p>
        </w:tc>
        <w:tc>
          <w:tcPr>
            <w:tcW w:type="dxa" w:w="20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File upload + metadata form</w:t>
            </w:r>
          </w:p>
        </w:tc>
        <w:tc>
          <w:tcPr>
            <w:tcW w:type="dxa" w:w="25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None — metadata captured at upload</w:t>
            </w:r>
          </w:p>
        </w:tc>
        <w:tc>
          <w:tcPr>
            <w:tcW w:type="dxa" w:w="156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Medium-High</w:t>
            </w:r>
          </w:p>
        </w:tc>
        <w:tc>
          <w:tcPr>
            <w:tcW w:type="dxa" w:w="15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VERIFIES + REFERENCES</w:t>
            </w:r>
          </w:p>
        </w:tc>
      </w:tr>
      <w:tr>
        <w:tc>
          <w:tcPr>
            <w:tcW w:type="dxa" w:w="18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Schedule Update (XER/P6)</w:t>
            </w:r>
          </w:p>
        </w:tc>
        <w:tc>
          <w:tcPr>
            <w:tcW w:type="dxa" w:w="20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API import or file upload</w:t>
            </w:r>
          </w:p>
        </w:tc>
        <w:tc>
          <w:tcPr>
            <w:tcW w:type="dxa" w:w="25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None — deterministic parse of P6 format; no AI interpretation</w:t>
            </w:r>
          </w:p>
        </w:tc>
        <w:tc>
          <w:tcPr>
            <w:tcW w:type="dxa" w:w="156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High</w:t>
            </w:r>
          </w:p>
        </w:tc>
        <w:tc>
          <w:tcPr>
            <w:tcW w:type="dxa" w:w="15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IMPACTS (schedule changes propagate via PIG traversal)</w:t>
            </w:r>
          </w:p>
        </w:tc>
      </w:tr>
      <w:tr>
        <w:tc>
          <w:tcPr>
            <w:tcW w:type="dxa" w:w="18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Meeting Minute</w:t>
            </w:r>
          </w:p>
        </w:tc>
        <w:tc>
          <w:tcPr>
            <w:tcW w:type="dxa" w:w="20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Text entry</w:t>
            </w:r>
          </w:p>
        </w:tc>
        <w:tc>
          <w:tcPr>
            <w:tcW w:type="dxa" w:w="25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Claude API: action item extraction, owner identification, due date parsing</w:t>
            </w:r>
          </w:p>
        </w:tc>
        <w:tc>
          <w:tcPr>
            <w:tcW w:type="dxa" w:w="156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Low-Medium</w:t>
            </w:r>
          </w:p>
        </w:tc>
        <w:tc>
          <w:tcPr>
            <w:tcW w:type="dxa" w:w="15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REFERENCES</w:t>
            </w:r>
          </w:p>
        </w:tc>
      </w:tr>
      <w:tr>
        <w:tc>
          <w:tcPr>
            <w:tcW w:type="dxa" w:w="18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Drawing Revision</w:t>
            </w:r>
          </w:p>
        </w:tc>
        <w:tc>
          <w:tcPr>
            <w:tcW w:type="dxa" w:w="20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File upload + metadata form</w:t>
            </w:r>
          </w:p>
        </w:tc>
        <w:tc>
          <w:tcPr>
            <w:tcW w:type="dxa" w:w="25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None — revision metadata captured at upload</w:t>
            </w:r>
          </w:p>
        </w:tc>
        <w:tc>
          <w:tcPr>
            <w:tcW w:type="dxa" w:w="156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High</w:t>
            </w:r>
          </w:p>
        </w:tc>
        <w:tc>
          <w:tcPr>
            <w:tcW w:type="dxa" w:w="15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SUPERSEDES + IMPACTS (PIG traversal triggered on all activities referencing this drawing)</w:t>
            </w:r>
          </w:p>
        </w:tc>
      </w:tr>
    </w:tbl>
    <w:p>
      <w:pPr>
        <w:spacing w:after="160"/>
      </w:pPr>
    </w:p>
    <w:p>
      <w:pPr>
        <w:pStyle w:val="Heading1"/>
        <w:spacing w:after="160" w:before="400"/>
      </w:pPr>
      <w:r>
        <w:rPr>
          <w:rFonts w:ascii="Calibri" w:cs="Calibri" w:eastAsia="Calibri" w:hAnsi="Calibri"/>
          <w:b/>
          <w:bCs/>
          <w:color w:val="1B5E20"/>
          <w:sz w:val="28"/>
          <w:szCs w:val="28"/>
        </w:rPr>
        <w:t xml:space="preserve">2. Evidence Score v5 Formula</w:t>
      </w:r>
    </w:p>
    <w:p>
      <w:pPr>
        <w:spacing w:after="140" w:line="280"/>
      </w:pPr>
      <w:r>
        <w:rPr>
          <w:rFonts w:ascii="Calibri" w:cs="Calibri" w:eastAsia="Calibri" w:hAnsi="Calibri"/>
          <w:color w:val="212121"/>
          <w:sz w:val="22"/>
          <w:szCs w:val="22"/>
        </w:rPr>
        <w:t xml:space="preserve">The Evidence Score is a computed numeric score (0–1) for each activity or entity. It measures how well-evidenced the current state of that entity is. The score is computed by the Evidence Engine and stored on the entity node in the PIG. It is recomputed whenever new evidence arrives or existing evidence becomes stale.</w:t>
      </w:r>
    </w:p>
    <w:p>
      <w:pPr>
        <w:spacing w:after="140" w:line="280"/>
      </w:pPr>
      <w:r>
        <w:rPr>
          <w:rFonts w:ascii="Calibri" w:cs="Calibri" w:eastAsia="Calibri" w:hAnsi="Calibri"/>
          <w:color w:val="212121"/>
          <w:sz w:val="22"/>
          <w:szCs w:val="22"/>
        </w:rPr>
        <w:t xml:space="preserve">Evidence Score v5 formula:</w:t>
      </w:r>
    </w:p>
    <w:p>
      <w:pPr>
        <w:spacing w:after="140" w:line="280"/>
      </w:pPr>
      <w:r>
        <w:rPr>
          <w:rFonts w:ascii="Calibri" w:cs="Calibri" w:eastAsia="Calibri" w:hAnsi="Calibri"/>
          <w:b/>
          <w:bCs/>
          <w:color w:val="212121"/>
          <w:sz w:val="22"/>
          <w:szCs w:val="22"/>
        </w:rPr>
        <w:t xml:space="preserve">Evidence Score = (source_count/10 × 0.25) + (recency_decay × 0.25) + (corroboration_ratio × 0.25) + (capture_diversity × 0.15) + (reliability_weight_avg × 0.10)</w:t>
      </w:r>
    </w:p>
    <w:p>
      <w:pPr>
        <w:spacing w:after="160"/>
      </w:pPr>
    </w:p>
    <w:p>
      <w:pPr>
        <w:pStyle w:val="Heading2"/>
        <w:spacing w:after="120" w:before="280"/>
      </w:pPr>
      <w:r>
        <w:rPr>
          <w:rFonts w:ascii="Calibri" w:cs="Calibri" w:eastAsia="Calibri" w:hAnsi="Calibri"/>
          <w:b/>
          <w:bCs/>
          <w:color w:val="2E7D32"/>
          <w:sz w:val="24"/>
          <w:szCs w:val="24"/>
        </w:rPr>
        <w:t xml:space="preserve">2.1 Component Definitions</w:t>
      </w:r>
    </w:p>
    <w:p>
      <w:pPr>
        <w:spacing w:after="140" w:line="280"/>
      </w:pPr>
      <w:r>
        <w:rPr>
          <w:rFonts w:ascii="Calibri" w:cs="Calibri" w:eastAsia="Calibri" w:hAnsi="Calibri"/>
          <w:color w:val="212121"/>
          <w:sz w:val="22"/>
          <w:szCs w:val="22"/>
        </w:rPr>
        <w:t xml:space="preserve">source_count — Total number of distinct evidence items linked to this entity. Saturates at 10: the contribution of the tenth source equals the contribution of the first. Evidence beyond 10 sources produces diminishing returns. Cap prevents score inflation from low-value duplicate evidence.</w:t>
      </w:r>
    </w:p>
    <w:p>
      <w:pPr>
        <w:spacing w:after="140" w:line="280"/>
      </w:pPr>
      <w:r>
        <w:rPr>
          <w:rFonts w:ascii="Calibri" w:cs="Calibri" w:eastAsia="Calibri" w:hAnsi="Calibri"/>
          <w:color w:val="212121"/>
          <w:sz w:val="22"/>
          <w:szCs w:val="22"/>
        </w:rPr>
        <w:t xml:space="preserve">recency_decay — Linear decay function over 30 days. A source received today contributes 1.0; a source received 30 days ago contributes 0.0; sources older than 30 days contribute 0.0. This ensures the Evidence Score reflects current site reality, not historical documentation.</w:t>
      </w:r>
    </w:p>
    <w:p>
      <w:pPr>
        <w:spacing w:after="140" w:line="280"/>
      </w:pPr>
      <w:r>
        <w:rPr>
          <w:rFonts w:ascii="Calibri" w:cs="Calibri" w:eastAsia="Calibri" w:hAnsi="Calibri"/>
          <w:color w:val="212121"/>
          <w:sz w:val="22"/>
          <w:szCs w:val="22"/>
        </w:rPr>
        <w:t xml:space="preserve">corroboration_ratio — Fraction of evidence sources that agree with each other on the entity's current state. Calculated pairwise: if 3 of 4 sources agree that the activity is 80% complete but 1 source says 50% complete, the corroboration_ratio is 0.75. Contradicting evidence reduces this ratio and triggers the Verification Required workflow.</w:t>
      </w:r>
    </w:p>
    <w:p>
      <w:pPr>
        <w:spacing w:after="140" w:line="280"/>
      </w:pPr>
      <w:r>
        <w:rPr>
          <w:rFonts w:ascii="Calibri" w:cs="Calibri" w:eastAsia="Calibri" w:hAnsi="Calibri"/>
          <w:color w:val="212121"/>
          <w:sz w:val="22"/>
          <w:szCs w:val="22"/>
        </w:rPr>
        <w:t xml:space="preserve">capture_diversity — Ratio of distinct evidence types present to the maximum possible diversity (12 types). An activity evidenced only by Progress Reports scores lower than one evidenced by Progress Reports, Photos, Inspection Records, and Voice Notes. Diversity of evidence types increases reliability of the picture.</w:t>
      </w:r>
    </w:p>
    <w:p>
      <w:pPr>
        <w:spacing w:after="140" w:line="280"/>
      </w:pPr>
      <w:r>
        <w:rPr>
          <w:rFonts w:ascii="Calibri" w:cs="Calibri" w:eastAsia="Calibri" w:hAnsi="Calibri"/>
          <w:color w:val="212121"/>
          <w:sz w:val="22"/>
          <w:szCs w:val="22"/>
        </w:rPr>
        <w:t xml:space="preserve">reliability_weight_avg — Weighted average of source reliability signals across all evidence items. Mapping: High = 1.0, Medium = 0.7, Low = 0.4, Unverified = 0.2. An activity evidenced primarily by Test Certificates and Inspection Records scores higher than one evidenced primarily by Voice Notes and Meeting Minutes.</w:t>
      </w:r>
    </w:p>
    <w:p>
      <w:pPr>
        <w:spacing w:after="160"/>
      </w:pPr>
    </w:p>
    <w:p>
      <w:pPr>
        <w:pStyle w:val="Heading1"/>
        <w:spacing w:after="160" w:before="400"/>
      </w:pPr>
      <w:r>
        <w:rPr>
          <w:rFonts w:ascii="Calibri" w:cs="Calibri" w:eastAsia="Calibri" w:hAnsi="Calibri"/>
          <w:b/>
          <w:bCs/>
          <w:color w:val="1B5E20"/>
          <w:sz w:val="28"/>
          <w:szCs w:val="28"/>
        </w:rPr>
        <w:t xml:space="preserve">3. Confidence Score (LLM-Calibrated)</w:t>
      </w:r>
    </w:p>
    <w:p>
      <w:pPr>
        <w:spacing w:after="140" w:line="280"/>
      </w:pPr>
      <w:r>
        <w:rPr>
          <w:rFonts w:ascii="Calibri" w:cs="Calibri" w:eastAsia="Calibri" w:hAnsi="Calibri"/>
          <w:color w:val="212121"/>
          <w:sz w:val="22"/>
          <w:szCs w:val="22"/>
        </w:rPr>
        <w:t xml:space="preserve">The Confidence Score is distinct from the Evidence Score. Where the Evidence Score is a formula applied to measurable evidence attributes, the Confidence Score is a contextual assessment by the Claude API (claude-sonnet-4-6). It can diverge significantly from the Evidence Score — and that divergence is the most important signal.</w:t>
      </w:r>
    </w:p>
    <w:p>
      <w:pPr>
        <w:spacing w:after="140" w:line="280"/>
      </w:pPr>
      <w:r>
        <w:rPr>
          <w:rFonts w:ascii="Calibri" w:cs="Calibri" w:eastAsia="Calibri" w:hAnsi="Calibri"/>
          <w:color w:val="212121"/>
          <w:sz w:val="22"/>
          <w:szCs w:val="22"/>
        </w:rPr>
        <w:t xml:space="preserve">The LLM receives as input:</w:t>
      </w:r>
    </w:p>
    <w:p>
      <w:pPr>
        <w:pStyle w:val="ListParagraph"/>
        <w:numPr>
          <w:ilvl w:val="0"/>
          <w:numId w:val="2"/>
        </w:numPr>
        <w:spacing w:after="80"/>
      </w:pPr>
      <w:r>
        <w:rPr>
          <w:rFonts w:ascii="Calibri" w:cs="Calibri" w:eastAsia="Calibri" w:hAnsi="Calibri"/>
          <w:color w:val="212121"/>
          <w:sz w:val="22"/>
          <w:szCs w:val="22"/>
        </w:rPr>
        <w:t xml:space="preserve">All evidence items for the entity, with content summaries</w:t>
      </w:r>
    </w:p>
    <w:p>
      <w:pPr>
        <w:pStyle w:val="ListParagraph"/>
        <w:numPr>
          <w:ilvl w:val="0"/>
          <w:numId w:val="2"/>
        </w:numPr>
        <w:spacing w:after="80"/>
      </w:pPr>
      <w:r>
        <w:rPr>
          <w:rFonts w:ascii="Calibri" w:cs="Calibri" w:eastAsia="Calibri" w:hAnsi="Calibri"/>
          <w:color w:val="212121"/>
          <w:sz w:val="22"/>
          <w:szCs w:val="22"/>
        </w:rPr>
        <w:t xml:space="preserve">Source reliability signals for each item</w:t>
      </w:r>
    </w:p>
    <w:p>
      <w:pPr>
        <w:pStyle w:val="ListParagraph"/>
        <w:numPr>
          <w:ilvl w:val="0"/>
          <w:numId w:val="2"/>
        </w:numPr>
        <w:spacing w:after="80"/>
      </w:pPr>
      <w:r>
        <w:rPr>
          <w:rFonts w:ascii="Calibri" w:cs="Calibri" w:eastAsia="Calibri" w:hAnsi="Calibri"/>
          <w:color w:val="212121"/>
          <w:sz w:val="22"/>
          <w:szCs w:val="22"/>
        </w:rPr>
        <w:t xml:space="preserve">Human correction history: instances where a PM or engineer overrode a previous score on this entity</w:t>
      </w:r>
    </w:p>
    <w:p>
      <w:pPr>
        <w:pStyle w:val="ListParagraph"/>
        <w:numPr>
          <w:ilvl w:val="0"/>
          <w:numId w:val="2"/>
        </w:numPr>
        <w:spacing w:after="80"/>
      </w:pPr>
      <w:r>
        <w:rPr>
          <w:rFonts w:ascii="Calibri" w:cs="Calibri" w:eastAsia="Calibri" w:hAnsi="Calibri"/>
          <w:color w:val="212121"/>
          <w:sz w:val="22"/>
          <w:szCs w:val="22"/>
        </w:rPr>
        <w:t xml:space="preserve">Vendor performance history: if the entity is a vendor deliverable, the vendor's historical accuracy of self-reporting</w:t>
      </w:r>
    </w:p>
    <w:p>
      <w:pPr>
        <w:pStyle w:val="ListParagraph"/>
        <w:numPr>
          <w:ilvl w:val="0"/>
          <w:numId w:val="2"/>
        </w:numPr>
        <w:spacing w:after="80"/>
      </w:pPr>
      <w:r>
        <w:rPr>
          <w:rFonts w:ascii="Calibri" w:cs="Calibri" w:eastAsia="Calibri" w:hAnsi="Calibri"/>
          <w:color w:val="212121"/>
          <w:sz w:val="22"/>
          <w:szCs w:val="22"/>
        </w:rPr>
        <w:t xml:space="preserve">Risk flags: any active risks linked to this entity in the PIG</w:t>
      </w:r>
    </w:p>
    <w:p>
      <w:pPr>
        <w:spacing w:after="140" w:line="280"/>
      </w:pPr>
      <w:r>
        <w:rPr>
          <w:rFonts w:ascii="Calibri" w:cs="Calibri" w:eastAsia="Calibri" w:hAnsi="Calibri"/>
          <w:color w:val="212121"/>
          <w:sz w:val="22"/>
          <w:szCs w:val="22"/>
        </w:rPr>
        <w:t xml:space="preserve">The LLM returns:</w:t>
      </w:r>
    </w:p>
    <w:p>
      <w:pPr>
        <w:pStyle w:val="ListParagraph"/>
        <w:numPr>
          <w:ilvl w:val="0"/>
          <w:numId w:val="2"/>
        </w:numPr>
        <w:spacing w:after="80"/>
      </w:pPr>
      <w:r>
        <w:rPr>
          <w:rFonts w:ascii="Calibri" w:cs="Calibri" w:eastAsia="Calibri" w:hAnsi="Calibri"/>
          <w:color w:val="212121"/>
          <w:sz w:val="22"/>
          <w:szCs w:val="22"/>
        </w:rPr>
        <w:t xml:space="preserve">score — float 0 to 1</w:t>
      </w:r>
    </w:p>
    <w:p>
      <w:pPr>
        <w:pStyle w:val="ListParagraph"/>
        <w:numPr>
          <w:ilvl w:val="0"/>
          <w:numId w:val="2"/>
        </w:numPr>
        <w:spacing w:after="80"/>
      </w:pPr>
      <w:r>
        <w:rPr>
          <w:rFonts w:ascii="Calibri" w:cs="Calibri" w:eastAsia="Calibri" w:hAnsi="Calibri"/>
          <w:color w:val="212121"/>
          <w:sz w:val="22"/>
          <w:szCs w:val="22"/>
        </w:rPr>
        <w:t xml:space="preserve">reasoning — plain text explanation of why the score diverges from or aligns with the Evidence Score</w:t>
      </w:r>
    </w:p>
    <w:p>
      <w:pPr>
        <w:pStyle w:val="ListParagraph"/>
        <w:numPr>
          <w:ilvl w:val="0"/>
          <w:numId w:val="2"/>
        </w:numPr>
        <w:spacing w:after="80"/>
      </w:pPr>
      <w:r>
        <w:rPr>
          <w:rFonts w:ascii="Calibri" w:cs="Calibri" w:eastAsia="Calibri" w:hAnsi="Calibri"/>
          <w:color w:val="212121"/>
          <w:sz w:val="22"/>
          <w:szCs w:val="22"/>
        </w:rPr>
        <w:t xml:space="preserve">evidence_refs — list of evidence item IDs that most influenced the scoring decision</w:t>
      </w:r>
    </w:p>
    <w:p>
      <w:pPr>
        <w:spacing w:after="140" w:line="280"/>
      </w:pPr>
      <w:r>
        <w:rPr>
          <w:rFonts w:ascii="Calibri" w:cs="Calibri" w:eastAsia="Calibri" w:hAnsi="Calibri"/>
          <w:color w:val="212121"/>
          <w:sz w:val="22"/>
          <w:szCs w:val="22"/>
        </w:rPr>
        <w:t xml:space="preserve">The canonical example of Confidence Score divergence (Scenario B from v1.1 Product Bible):</w:t>
      </w:r>
    </w:p>
    <w:p>
      <w:pPr>
        <w:spacing w:after="140" w:line="280"/>
      </w:pPr>
      <w:r>
        <w:rPr>
          <w:rFonts w:ascii="Calibri" w:cs="Calibri" w:eastAsia="Calibri" w:hAnsi="Calibri"/>
          <w:i/>
          <w:iCs/>
          <w:color w:val="212121"/>
          <w:sz w:val="22"/>
          <w:szCs w:val="22"/>
        </w:rPr>
        <w:t xml:space="preserve">Evidence Score 0.80 — three corroborating sources all report the activity as 85% complete. On paper, the activity is well-evidenced.</w:t>
      </w:r>
    </w:p>
    <w:p>
      <w:pPr>
        <w:spacing w:after="140" w:line="280"/>
      </w:pPr>
      <w:r>
        <w:rPr>
          <w:rFonts w:ascii="Calibri" w:cs="Calibri" w:eastAsia="Calibri" w:hAnsi="Calibri"/>
          <w:i/>
          <w:iCs/>
          <w:color w:val="212121"/>
          <w:sz w:val="22"/>
          <w:szCs w:val="22"/>
        </w:rPr>
        <w:t xml:space="preserve">Confidence Score 0.35 — the LLM notes that all three sources are self-reports from Vendor X. Vendor X has a documented history of overstating completion by an average of 22% on this project. The LLM correctly weights the evidence quality down, not the evidence quantity. The PM is alerted: high evidence volume does not mean high confidence.</w:t>
      </w:r>
    </w:p>
    <w:p>
      <w:pPr>
        <w:spacing w:after="140" w:line="280"/>
      </w:pPr>
      <w:r>
        <w:rPr>
          <w:rFonts w:ascii="Calibri" w:cs="Calibri" w:eastAsia="Calibri" w:hAnsi="Calibri"/>
          <w:color w:val="212121"/>
          <w:sz w:val="22"/>
          <w:szCs w:val="22"/>
        </w:rPr>
        <w:t xml:space="preserve">This divergence — high Evidence Score, low Confidence Score — is the most actionable signal in the platform. It means the evidence exists but the evidence cannot be trusted.</w:t>
      </w:r>
    </w:p>
    <w:p>
      <w:pPr>
        <w:spacing w:after="160"/>
      </w:pPr>
    </w:p>
    <w:p>
      <w:pPr>
        <w:pStyle w:val="Heading1"/>
        <w:spacing w:after="160" w:before="400"/>
      </w:pPr>
      <w:r>
        <w:rPr>
          <w:rFonts w:ascii="Calibri" w:cs="Calibri" w:eastAsia="Calibri" w:hAnsi="Calibri"/>
          <w:b/>
          <w:bCs/>
          <w:color w:val="1B5E20"/>
          <w:sz w:val="28"/>
          <w:szCs w:val="28"/>
        </w:rPr>
        <w:t xml:space="preserve">4. Verification Required Trigger</w:t>
      </w:r>
    </w:p>
    <w:p>
      <w:pPr>
        <w:spacing w:after="140" w:line="280"/>
      </w:pPr>
      <w:r>
        <w:rPr>
          <w:rFonts w:ascii="Calibri" w:cs="Calibri" w:eastAsia="Calibri" w:hAnsi="Calibri"/>
          <w:color w:val="212121"/>
          <w:sz w:val="22"/>
          <w:szCs w:val="22"/>
        </w:rPr>
        <w:t xml:space="preserve">The Verification Required flag is raised automatically when either of the following conditions is met:</w:t>
      </w:r>
    </w:p>
    <w:p>
      <w:pPr>
        <w:pStyle w:val="ListParagraph"/>
        <w:numPr>
          <w:ilvl w:val="0"/>
          <w:numId w:val="2"/>
        </w:numPr>
        <w:spacing w:after="80"/>
      </w:pPr>
      <w:r>
        <w:rPr>
          <w:rFonts w:ascii="Calibri" w:cs="Calibri" w:eastAsia="Calibri" w:hAnsi="Calibri"/>
          <w:color w:val="212121"/>
          <w:sz w:val="22"/>
          <w:szCs w:val="22"/>
        </w:rPr>
        <w:t xml:space="preserve">Condition A: evidence_score &lt; 0.25 AND confidence_score &lt; 0.30 — insufficient and untrustworthy evidence</w:t>
      </w:r>
    </w:p>
    <w:p>
      <w:pPr>
        <w:pStyle w:val="ListParagraph"/>
        <w:numPr>
          <w:ilvl w:val="0"/>
          <w:numId w:val="2"/>
        </w:numPr>
        <w:spacing w:after="80"/>
      </w:pPr>
      <w:r>
        <w:rPr>
          <w:rFonts w:ascii="Calibri" w:cs="Calibri" w:eastAsia="Calibri" w:hAnsi="Calibri"/>
          <w:color w:val="212121"/>
          <w:sz w:val="22"/>
          <w:szCs w:val="22"/>
        </w:rPr>
        <w:t xml:space="preserve">Condition B: a contradicting EvidenceItem exists for this entity that remains unresolved — two sources disagree on the entity's current state</w:t>
      </w:r>
    </w:p>
    <w:p>
      <w:pPr>
        <w:spacing w:after="140" w:line="280"/>
      </w:pPr>
      <w:r>
        <w:rPr>
          <w:rFonts w:ascii="Calibri" w:cs="Calibri" w:eastAsia="Calibri" w:hAnsi="Calibri"/>
          <w:color w:val="212121"/>
          <w:sz w:val="22"/>
          <w:szCs w:val="22"/>
        </w:rPr>
        <w:t xml:space="preserve">When the trigger fires:</w:t>
      </w:r>
    </w:p>
    <w:p>
      <w:pPr>
        <w:pStyle w:val="ListParagraph"/>
        <w:numPr>
          <w:ilvl w:val="0"/>
          <w:numId w:val="2"/>
        </w:numPr>
        <w:spacing w:after="80"/>
      </w:pPr>
      <w:r>
        <w:rPr>
          <w:rFonts w:ascii="Calibri" w:cs="Calibri" w:eastAsia="Calibri" w:hAnsi="Calibri"/>
          <w:color w:val="212121"/>
          <w:sz w:val="22"/>
          <w:szCs w:val="22"/>
        </w:rPr>
        <w:t xml:space="preserve">The activity is flagged in Project Command Centre Panel 7 (Verification Required list)</w:t>
      </w:r>
    </w:p>
    <w:p>
      <w:pPr>
        <w:pStyle w:val="ListParagraph"/>
        <w:numPr>
          <w:ilvl w:val="0"/>
          <w:numId w:val="2"/>
        </w:numPr>
        <w:spacing w:after="80"/>
      </w:pPr>
      <w:r>
        <w:rPr>
          <w:rFonts w:ascii="Calibri" w:cs="Calibri" w:eastAsia="Calibri" w:hAnsi="Calibri"/>
          <w:color w:val="212121"/>
          <w:sz w:val="22"/>
          <w:szCs w:val="22"/>
        </w:rPr>
        <w:t xml:space="preserve">The Coordination Engine generates a verification action item assigned to the responsible PM or site inspector</w:t>
      </w:r>
    </w:p>
    <w:p>
      <w:pPr>
        <w:pStyle w:val="ListParagraph"/>
        <w:numPr>
          <w:ilvl w:val="0"/>
          <w:numId w:val="2"/>
        </w:numPr>
        <w:spacing w:after="80"/>
      </w:pPr>
      <w:r>
        <w:rPr>
          <w:rFonts w:ascii="Calibri" w:cs="Calibri" w:eastAsia="Calibri" w:hAnsi="Calibri"/>
          <w:color w:val="212121"/>
          <w:sz w:val="22"/>
          <w:szCs w:val="22"/>
        </w:rPr>
        <w:t xml:space="preserve">The entity is marked PENDING_REVIEW in the Evidence Review Lifecycle</w:t>
      </w:r>
    </w:p>
    <w:p>
      <w:pPr>
        <w:pStyle w:val="ListParagraph"/>
        <w:numPr>
          <w:ilvl w:val="0"/>
          <w:numId w:val="2"/>
        </w:numPr>
        <w:spacing w:after="80"/>
      </w:pPr>
      <w:r>
        <w:rPr>
          <w:rFonts w:ascii="Calibri" w:cs="Calibri" w:eastAsia="Calibri" w:hAnsi="Calibri"/>
          <w:color w:val="212121"/>
          <w:sz w:val="22"/>
          <w:szCs w:val="22"/>
        </w:rPr>
        <w:t xml:space="preserve">The Forecasting Engine is notified: this entity's progress contribution is frozen until verification resolves</w:t>
      </w:r>
    </w:p>
    <w:p>
      <w:pPr>
        <w:spacing w:after="140" w:line="280"/>
      </w:pPr>
      <w:r>
        <w:rPr>
          <w:rFonts w:ascii="Calibri" w:cs="Calibri" w:eastAsia="Calibri" w:hAnsi="Calibri"/>
          <w:color w:val="212121"/>
          <w:sz w:val="22"/>
          <w:szCs w:val="22"/>
        </w:rPr>
        <w:t xml:space="preserve">The trigger cannot be manually dismissed — it clears automatically when: evidence_score &gt;= 0.50 AND confidence_score &gt;= 0.50 with no unresolved contradictions. This prevents PMs from suppressing verification alerts without actually resolving the underlying evidence gap.</w:t>
      </w:r>
    </w:p>
    <w:p>
      <w:pPr>
        <w:spacing w:after="160"/>
      </w:pPr>
    </w:p>
    <w:p>
      <w:pPr>
        <w:pStyle w:val="Heading1"/>
        <w:spacing w:after="160" w:before="400"/>
      </w:pPr>
      <w:r>
        <w:rPr>
          <w:rFonts w:ascii="Calibri" w:cs="Calibri" w:eastAsia="Calibri" w:hAnsi="Calibri"/>
          <w:b/>
          <w:bCs/>
          <w:color w:val="1B5E20"/>
          <w:sz w:val="28"/>
          <w:szCs w:val="28"/>
        </w:rPr>
        <w:t xml:space="preserve">5. Ten-State Evidence Review Lifecycle</w:t>
      </w:r>
    </w:p>
    <w:p>
      <w:pPr>
        <w:spacing w:after="140" w:line="280"/>
      </w:pPr>
      <w:r>
        <w:rPr>
          <w:rFonts w:ascii="Calibri" w:cs="Calibri" w:eastAsia="Calibri" w:hAnsi="Calibri"/>
          <w:color w:val="212121"/>
          <w:sz w:val="22"/>
          <w:szCs w:val="22"/>
        </w:rPr>
        <w:t xml:space="preserve">Each evidence item progresses through a ten-state lifecycle. The lifecycle is separate from the activity's Evidence Score — it tracks the quality assurance process for individual evidence items.</w:t>
      </w:r>
    </w:p>
    <w:p>
      <w:pPr>
        <w:pStyle w:val="ListParagraph"/>
        <w:numPr>
          <w:ilvl w:val="0"/>
          <w:numId w:val="2"/>
        </w:numPr>
        <w:spacing w:after="80"/>
      </w:pPr>
      <w:r>
        <w:rPr>
          <w:rFonts w:ascii="Calibri" w:cs="Calibri" w:eastAsia="Calibri" w:hAnsi="Calibri"/>
          <w:color w:val="212121"/>
          <w:sz w:val="22"/>
          <w:szCs w:val="22"/>
        </w:rPr>
        <w:t xml:space="preserve">UNVERIFIED — Initial state on capture. Score contribution is weighted by source reliability signal only.</w:t>
      </w:r>
    </w:p>
    <w:p>
      <w:pPr>
        <w:pStyle w:val="ListParagraph"/>
        <w:numPr>
          <w:ilvl w:val="0"/>
          <w:numId w:val="2"/>
        </w:numPr>
        <w:spacing w:after="80"/>
      </w:pPr>
      <w:r>
        <w:rPr>
          <w:rFonts w:ascii="Calibri" w:cs="Calibri" w:eastAsia="Calibri" w:hAnsi="Calibri"/>
          <w:color w:val="212121"/>
          <w:sz w:val="22"/>
          <w:szCs w:val="22"/>
        </w:rPr>
        <w:t xml:space="preserve">PENDING_REVIEW — Flagged for manual review by PM or site inspector. Typically triggered by Condition A or B.</w:t>
      </w:r>
    </w:p>
    <w:p>
      <w:pPr>
        <w:pStyle w:val="ListParagraph"/>
        <w:numPr>
          <w:ilvl w:val="0"/>
          <w:numId w:val="2"/>
        </w:numPr>
        <w:spacing w:after="80"/>
      </w:pPr>
      <w:r>
        <w:rPr>
          <w:rFonts w:ascii="Calibri" w:cs="Calibri" w:eastAsia="Calibri" w:hAnsi="Calibri"/>
          <w:color w:val="212121"/>
          <w:sz w:val="22"/>
          <w:szCs w:val="22"/>
        </w:rPr>
        <w:t xml:space="preserve">UNDER_REVIEW — Review in progress. A Coordination Engine action item is open.</w:t>
      </w:r>
    </w:p>
    <w:p>
      <w:pPr>
        <w:pStyle w:val="ListParagraph"/>
        <w:numPr>
          <w:ilvl w:val="0"/>
          <w:numId w:val="2"/>
        </w:numPr>
        <w:spacing w:after="80"/>
      </w:pPr>
      <w:r>
        <w:rPr>
          <w:rFonts w:ascii="Calibri" w:cs="Calibri" w:eastAsia="Calibri" w:hAnsi="Calibri"/>
          <w:color w:val="212121"/>
          <w:sz w:val="22"/>
          <w:szCs w:val="22"/>
        </w:rPr>
        <w:t xml:space="preserve">CORROBORATED — Another evidence item of equal or higher reliability confirms the same state. Score contribution increased.</w:t>
      </w:r>
    </w:p>
    <w:p>
      <w:pPr>
        <w:pStyle w:val="ListParagraph"/>
        <w:numPr>
          <w:ilvl w:val="0"/>
          <w:numId w:val="2"/>
        </w:numPr>
        <w:spacing w:after="80"/>
      </w:pPr>
      <w:r>
        <w:rPr>
          <w:rFonts w:ascii="Calibri" w:cs="Calibri" w:eastAsia="Calibri" w:hAnsi="Calibri"/>
          <w:color w:val="212121"/>
          <w:sz w:val="22"/>
          <w:szCs w:val="22"/>
        </w:rPr>
        <w:t xml:space="preserve">CONTRADICTED — Another evidence item of equal or higher reliability reports a different state. Score contribution reduced; Verification Required trigger fired.</w:t>
      </w:r>
    </w:p>
    <w:p>
      <w:pPr>
        <w:pStyle w:val="ListParagraph"/>
        <w:numPr>
          <w:ilvl w:val="0"/>
          <w:numId w:val="2"/>
        </w:numPr>
        <w:spacing w:after="80"/>
      </w:pPr>
      <w:r>
        <w:rPr>
          <w:rFonts w:ascii="Calibri" w:cs="Calibri" w:eastAsia="Calibri" w:hAnsi="Calibri"/>
          <w:color w:val="212121"/>
          <w:sz w:val="22"/>
          <w:szCs w:val="22"/>
        </w:rPr>
        <w:t xml:space="preserve">STALE — Evidence item is older than 30 days with no subsequent corroboration. recency_decay = 0.0. Score contribution zeroed.</w:t>
      </w:r>
    </w:p>
    <w:p>
      <w:pPr>
        <w:pStyle w:val="ListParagraph"/>
        <w:numPr>
          <w:ilvl w:val="0"/>
          <w:numId w:val="2"/>
        </w:numPr>
        <w:spacing w:after="80"/>
      </w:pPr>
      <w:r>
        <w:rPr>
          <w:rFonts w:ascii="Calibri" w:cs="Calibri" w:eastAsia="Calibri" w:hAnsi="Calibri"/>
          <w:color w:val="212121"/>
          <w:sz w:val="22"/>
          <w:szCs w:val="22"/>
        </w:rPr>
        <w:t xml:space="preserve">DISPUTED — Evidence item is formally disputed by a project party. Held out of score computation until resolved.</w:t>
      </w:r>
    </w:p>
    <w:p>
      <w:pPr>
        <w:pStyle w:val="ListParagraph"/>
        <w:numPr>
          <w:ilvl w:val="0"/>
          <w:numId w:val="2"/>
        </w:numPr>
        <w:spacing w:after="80"/>
      </w:pPr>
      <w:r>
        <w:rPr>
          <w:rFonts w:ascii="Calibri" w:cs="Calibri" w:eastAsia="Calibri" w:hAnsi="Calibri"/>
          <w:color w:val="212121"/>
          <w:sz w:val="22"/>
          <w:szCs w:val="22"/>
        </w:rPr>
        <w:t xml:space="preserve">MANUALLY_VERIFIED — A PM or inspector with VERIFY permission has confirmed the evidence. Score contribution weighted at reliability_weight = 1.0 regardless of source type.</w:t>
      </w:r>
    </w:p>
    <w:p>
      <w:pPr>
        <w:pStyle w:val="ListParagraph"/>
        <w:numPr>
          <w:ilvl w:val="0"/>
          <w:numId w:val="2"/>
        </w:numPr>
        <w:spacing w:after="80"/>
      </w:pPr>
      <w:r>
        <w:rPr>
          <w:rFonts w:ascii="Calibri" w:cs="Calibri" w:eastAsia="Calibri" w:hAnsi="Calibri"/>
          <w:color w:val="212121"/>
          <w:sz w:val="22"/>
          <w:szCs w:val="22"/>
        </w:rPr>
        <w:t xml:space="preserve">ARCHIVED — Evidence item is superseded by a newer item of the same type from the same source. Removed from active score computation; retained in audit trail.</w:t>
      </w:r>
    </w:p>
    <w:p>
      <w:pPr>
        <w:pStyle w:val="ListParagraph"/>
        <w:numPr>
          <w:ilvl w:val="0"/>
          <w:numId w:val="2"/>
        </w:numPr>
        <w:spacing w:after="80"/>
      </w:pPr>
      <w:r>
        <w:rPr>
          <w:rFonts w:ascii="Calibri" w:cs="Calibri" w:eastAsia="Calibri" w:hAnsi="Calibri"/>
          <w:color w:val="212121"/>
          <w:sz w:val="22"/>
          <w:szCs w:val="22"/>
        </w:rPr>
        <w:t xml:space="preserve">DELETED — Withdrawn by the submitter with reason recorded. Immutable audit record retained; score contribution removed.</w:t>
      </w:r>
    </w:p>
    <w:p>
      <w:pPr>
        <w:spacing w:after="160"/>
      </w:pPr>
    </w:p>
    <w:p>
      <w:pPr>
        <w:pStyle w:val="Heading1"/>
        <w:spacing w:after="160" w:before="400"/>
      </w:pPr>
      <w:r>
        <w:rPr>
          <w:rFonts w:ascii="Calibri" w:cs="Calibri" w:eastAsia="Calibri" w:hAnsi="Calibri"/>
          <w:b/>
          <w:bCs/>
          <w:color w:val="1B5E20"/>
          <w:sz w:val="28"/>
          <w:szCs w:val="28"/>
        </w:rPr>
        <w:t xml:space="preserve">6. Vision API Integration</w:t>
      </w:r>
    </w:p>
    <w:p>
      <w:pPr>
        <w:spacing w:after="140" w:line="280"/>
      </w:pPr>
      <w:r>
        <w:rPr>
          <w:rFonts w:ascii="Calibri" w:cs="Calibri" w:eastAsia="Calibri" w:hAnsi="Calibri"/>
          <w:color w:val="212121"/>
          <w:sz w:val="22"/>
          <w:szCs w:val="22"/>
        </w:rPr>
        <w:t xml:space="preserve">Construction photo evidence is processed through Google Cloud Vision API before storage. The Evidence Engine sends the photo to Vision API and stores the structured results alongside the raw photo. Vision API processing adds structured intelligence to what would otherwise be an unstructured image file.</w:t>
      </w:r>
    </w:p>
    <w:p>
      <w:pPr>
        <w:spacing w:after="140" w:line="280"/>
      </w:pPr>
      <w:r>
        <w:rPr>
          <w:rFonts w:ascii="Calibri" w:cs="Calibri" w:eastAsia="Calibri" w:hAnsi="Calibri"/>
          <w:color w:val="212121"/>
          <w:sz w:val="22"/>
          <w:szCs w:val="22"/>
        </w:rPr>
        <w:t xml:space="preserve">Four Vision API processing modes are applied to every photo:</w:t>
      </w:r>
    </w:p>
    <w:p>
      <w:pPr>
        <w:pStyle w:val="ListParagraph"/>
        <w:numPr>
          <w:ilvl w:val="0"/>
          <w:numId w:val="2"/>
        </w:numPr>
        <w:spacing w:after="80"/>
      </w:pPr>
      <w:r>
        <w:rPr>
          <w:rFonts w:ascii="Calibri" w:cs="Calibri" w:eastAsia="Calibri" w:hAnsi="Calibri"/>
          <w:color w:val="212121"/>
          <w:sz w:val="22"/>
          <w:szCs w:val="22"/>
        </w:rPr>
        <w:t xml:space="preserve">Object detection — identifies materials, equipment, structural elements, and completed works visible in the photo. Output: list of detected objects with confidence scores and bounding boxes. Stored in evidence item metadata.</w:t>
      </w:r>
    </w:p>
    <w:p>
      <w:pPr>
        <w:pStyle w:val="ListParagraph"/>
        <w:numPr>
          <w:ilvl w:val="0"/>
          <w:numId w:val="2"/>
        </w:numPr>
        <w:spacing w:after="80"/>
      </w:pPr>
      <w:r>
        <w:rPr>
          <w:rFonts w:ascii="Calibri" w:cs="Calibri" w:eastAsia="Calibri" w:hAnsi="Calibri"/>
          <w:color w:val="212121"/>
          <w:sz w:val="22"/>
          <w:szCs w:val="22"/>
        </w:rPr>
        <w:t xml:space="preserve">Text detection — reads text visible in the photo including drawing numbers on site photos (e.g., "DWG-S-401 Rev C" visible on a drawing pinned to a structure). This creates a direct link between site photos and Drawing nodes in the PIG.</w:t>
      </w:r>
    </w:p>
    <w:p>
      <w:pPr>
        <w:pStyle w:val="ListParagraph"/>
        <w:numPr>
          <w:ilvl w:val="0"/>
          <w:numId w:val="2"/>
        </w:numPr>
        <w:spacing w:after="80"/>
      </w:pPr>
      <w:r>
        <w:rPr>
          <w:rFonts w:ascii="Calibri" w:cs="Calibri" w:eastAsia="Calibri" w:hAnsi="Calibri"/>
          <w:color w:val="212121"/>
          <w:sz w:val="22"/>
          <w:szCs w:val="22"/>
        </w:rPr>
        <w:t xml:space="preserve">Safe search — filters for inappropriate content that should not appear in a project management platform. Photos that trigger safe search violations are quarantined for review before being added to the evidence record.</w:t>
      </w:r>
    </w:p>
    <w:p>
      <w:pPr>
        <w:pStyle w:val="ListParagraph"/>
        <w:numPr>
          <w:ilvl w:val="0"/>
          <w:numId w:val="2"/>
        </w:numPr>
        <w:spacing w:after="80"/>
      </w:pPr>
      <w:r>
        <w:rPr>
          <w:rFonts w:ascii="Calibri" w:cs="Calibri" w:eastAsia="Calibri" w:hAnsi="Calibri"/>
          <w:color w:val="212121"/>
          <w:sz w:val="22"/>
          <w:szCs w:val="22"/>
        </w:rPr>
        <w:t xml:space="preserve">Progress estimation — a trained estimation model approximates the percentage completion of the visible work from the photo. This is a probabilistic estimate, not a definitive measurement. It is stored as a contributor to the Evidence Score with a medium reliability weight. It is never used as the sole basis for progress reporting.</w:t>
      </w:r>
    </w:p>
    <w:p>
      <w:pPr>
        <w:spacing w:after="160"/>
      </w:pPr>
    </w:p>
    <w:p>
      <w:pPr>
        <w:pStyle w:val="Heading1"/>
        <w:spacing w:after="160" w:before="400"/>
      </w:pPr>
      <w:r>
        <w:rPr>
          <w:rFonts w:ascii="Calibri" w:cs="Calibri" w:eastAsia="Calibri" w:hAnsi="Calibri"/>
          <w:b/>
          <w:bCs/>
          <w:color w:val="1B5E20"/>
          <w:sz w:val="28"/>
          <w:szCs w:val="28"/>
        </w:rPr>
        <w:t xml:space="preserve">7. Voice Note Processing</w:t>
      </w:r>
    </w:p>
    <w:p>
      <w:pPr>
        <w:spacing w:after="140" w:line="280"/>
      </w:pPr>
      <w:r>
        <w:rPr>
          <w:rFonts w:ascii="Calibri" w:cs="Calibri" w:eastAsia="Calibri" w:hAnsi="Calibri"/>
          <w:color w:val="212121"/>
          <w:sz w:val="22"/>
          <w:szCs w:val="22"/>
        </w:rPr>
        <w:t xml:space="preserve">Voice progress notes are recorded on mobile devices by site teams. The Evidence Engine processes audio through a multi-stage pipeline before storing the evidence item.</w:t>
      </w:r>
    </w:p>
    <w:p>
      <w:pPr>
        <w:spacing w:after="140" w:line="280"/>
      </w:pPr>
      <w:r>
        <w:rPr>
          <w:rFonts w:ascii="Calibri" w:cs="Calibri" w:eastAsia="Calibri" w:hAnsi="Calibri"/>
          <w:color w:val="212121"/>
          <w:sz w:val="22"/>
          <w:szCs w:val="22"/>
        </w:rPr>
        <w:t xml:space="preserve">The voice note processing pipeline:</w:t>
      </w:r>
    </w:p>
    <w:p>
      <w:pPr>
        <w:pStyle w:val="ListParagraph"/>
        <w:numPr>
          <w:ilvl w:val="0"/>
          <w:numId w:val="2"/>
        </w:numPr>
        <w:spacing w:after="80"/>
      </w:pPr>
      <w:r>
        <w:rPr>
          <w:rFonts w:ascii="Calibri" w:cs="Calibri" w:eastAsia="Calibri" w:hAnsi="Calibri"/>
          <w:color w:val="212121"/>
          <w:sz w:val="22"/>
          <w:szCs w:val="22"/>
        </w:rPr>
        <w:t xml:space="preserve">Audio ingestion — the mobile app sends the audio file to the Evidence Engine via secure upload. Audio is stored in Cloud Storage with tenant isolation.</w:t>
      </w:r>
    </w:p>
    <w:p>
      <w:pPr>
        <w:pStyle w:val="ListParagraph"/>
        <w:numPr>
          <w:ilvl w:val="0"/>
          <w:numId w:val="2"/>
        </w:numPr>
        <w:spacing w:after="80"/>
      </w:pPr>
      <w:r>
        <w:rPr>
          <w:rFonts w:ascii="Calibri" w:cs="Calibri" w:eastAsia="Calibri" w:hAnsi="Calibri"/>
          <w:color w:val="212121"/>
          <w:sz w:val="22"/>
          <w:szCs w:val="22"/>
        </w:rPr>
        <w:t xml:space="preserve">Transcription — Google Cloud Speech-to-Text is applied with the enhanced model, which is calibrated for technical construction vocabulary. Common construction terms (formwork, rebar, IFC, FAT, NCR, punch list) are in the enhanced model vocabulary.</w:t>
      </w:r>
    </w:p>
    <w:p>
      <w:pPr>
        <w:pStyle w:val="ListParagraph"/>
        <w:numPr>
          <w:ilvl w:val="0"/>
          <w:numId w:val="2"/>
        </w:numPr>
        <w:spacing w:after="80"/>
      </w:pPr>
      <w:r>
        <w:rPr>
          <w:rFonts w:ascii="Calibri" w:cs="Calibri" w:eastAsia="Calibri" w:hAnsi="Calibri"/>
          <w:color w:val="212121"/>
          <w:sz w:val="22"/>
          <w:szCs w:val="22"/>
        </w:rPr>
        <w:t xml:space="preserve">Language detection — the system supports voice notes in English, Hindi, Arabic, Filipino, Russian, and Azerbaijani. The language is auto-detected from the audio. Transcription is in the detected language; the PM can view the original transcript plus a machine-translated English summary.</w:t>
      </w:r>
    </w:p>
    <w:p>
      <w:pPr>
        <w:pStyle w:val="ListParagraph"/>
        <w:numPr>
          <w:ilvl w:val="0"/>
          <w:numId w:val="2"/>
        </w:numPr>
        <w:spacing w:after="80"/>
      </w:pPr>
      <w:r>
        <w:rPr>
          <w:rFonts w:ascii="Calibri" w:cs="Calibri" w:eastAsia="Calibri" w:hAnsi="Calibri"/>
          <w:color w:val="212121"/>
          <w:sz w:val="22"/>
          <w:szCs w:val="22"/>
        </w:rPr>
        <w:t xml:space="preserve">Action item extraction — the Claude API scans the transcript for action items and commitments. Example: a site foreman says "foundation pour is complete, we'll start rebar installation by Friday" — the Claude API extracts: action = rebar installation, target date = Friday, responsible party = site foreman. A Coordination Engine item is created automatically.</w:t>
      </w:r>
    </w:p>
    <w:p>
      <w:pPr>
        <w:pStyle w:val="ListParagraph"/>
        <w:numPr>
          <w:ilvl w:val="0"/>
          <w:numId w:val="2"/>
        </w:numPr>
        <w:spacing w:after="80"/>
      </w:pPr>
      <w:r>
        <w:rPr>
          <w:rFonts w:ascii="Calibri" w:cs="Calibri" w:eastAsia="Calibri" w:hAnsi="Calibri"/>
          <w:color w:val="212121"/>
          <w:sz w:val="22"/>
          <w:szCs w:val="22"/>
        </w:rPr>
        <w:t xml:space="preserve">Transcript storage — the full transcript is stored with the evidence item. It is searchable via Elasticsearch. The PM can search across all voice note transcripts for a project using natural language.</w:t>
      </w:r>
    </w:p>
    <w:p>
      <w:pPr>
        <w:spacing w:after="140" w:line="280"/>
      </w:pPr>
      <w:r>
        <w:rPr>
          <w:rFonts w:ascii="Calibri" w:cs="Calibri" w:eastAsia="Calibri" w:hAnsi="Calibri"/>
          <w:color w:val="212121"/>
          <w:sz w:val="22"/>
          <w:szCs w:val="22"/>
        </w:rPr>
        <w:t xml:space="preserve">Language support reflects the demographic reality of construction sites in the Gulf and Southeast Asia. A site team member who cannot write in English can capture evidence accurately by speaking in their native language. Green PM translates and structures the evidence without requiring a bilingual supervisor as an intermediary.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PM v5 — Engineering Evidence Platform</dc:title>
  <dc:creator>Green PM</dc:creator>
  <cp:lastModifiedBy>Un-named</cp:lastModifiedBy>
  <cp:revision>1</cp:revision>
  <dcterms:created xsi:type="dcterms:W3CDTF">2026-08-03T11:57:01.062Z</dcterms:created>
  <dcterms:modified xsi:type="dcterms:W3CDTF">2026-08-03T11:57:01.063Z</dcterms:modified>
</cp:coreProperties>
</file>

<file path=docProps/custom.xml><?xml version="1.0" encoding="utf-8"?>
<Properties xmlns="http://schemas.openxmlformats.org/officeDocument/2006/custom-properties" xmlns:vt="http://schemas.openxmlformats.org/officeDocument/2006/docPropsVTypes"/>
</file>