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2E7D32"/>
          <w:sz w:val="56"/>
          <w:szCs w:val="56"/>
        </w:rPr>
        <w:t xml:space="preserve">Green PM</w:t>
      </w:r>
    </w:p>
    <w:p>
      <w:pPr>
        <w:spacing w:after="80"/>
        <w:jc w:val="center"/>
      </w:pPr>
      <w:r>
        <w:rPr>
          <w:color w:val="37474F"/>
          <w:sz w:val="38"/>
          <w:szCs w:val="38"/>
        </w:rPr>
        <w:t xml:space="preserve">v5 Executive Review Summary</w:t>
      </w:r>
    </w:p>
    <w:p>
      <w:pPr>
        <w:spacing w:after="80"/>
        <w:jc w:val="center"/>
      </w:pPr>
      <w:r>
        <w:rPr>
          <w:color w:val="1A5C2A"/>
          <w:sz w:val="26"/>
          <w:szCs w:val="26"/>
        </w:rPr>
        <w:t xml:space="preserve">Engineering Project Operating System</w:t>
      </w:r>
    </w:p>
    <w:p>
      <w:pPr>
        <w:spacing w:after="600"/>
        <w:jc w:val="center"/>
      </w:pPr>
      <w:r>
        <w:rPr>
          <w:color w:val="9E9E9E"/>
          <w:sz w:val="20"/>
          <w:szCs w:val="20"/>
        </w:rPr>
        <w:t xml:space="preserve">August 2026  —  Confidential</w:t>
      </w:r>
    </w:p>
    <w:p>
      <w:pPr>
        <w:pBdr>
          <w:left w:val="single" w:color="2E7D32" w:sz="12"/>
        </w:pBdr>
        <w:shd w:fill="E8F5E9" w:color="auto" w:val="clear"/>
        <w:spacing w:after="240" w:before="240"/>
        <w:ind w:left="480" w:right="480"/>
      </w:pPr>
      <w:r>
        <w:rPr>
          <w:b/>
          <w:bCs/>
          <w:color w:val="1A5C2A"/>
          <w:sz w:val="23"/>
          <w:szCs w:val="23"/>
        </w:rPr>
        <w:t xml:space="preserve">Green PM continuously transforms every project event into synchronized project intelligence and actionable decisions.</w:t>
      </w:r>
    </w:p>
    <w:p>
      <w:pPr>
        <w:spacing w:after="400"/>
      </w:pPr>
      <w:r>
        <w:t xml:space="preserve"/>
      </w:r>
    </w:p>
    <w:p>
      <w:pPr>
        <w:pBdr>
          <w:bottom w:val="single" w:color="2E7D32" w:sz="8"/>
        </w:pBdr>
        <w:spacing w:after="200" w:before="560"/>
      </w:pPr>
      <w:r>
        <w:rPr>
          <w:b/>
          <w:bCs/>
          <w:color w:val="2E7D32"/>
          <w:sz w:val="34"/>
          <w:szCs w:val="34"/>
        </w:rPr>
        <w:t xml:space="preserve">1. What Changed: v4 → v5</w:t>
      </w:r>
    </w:p>
    <w:p>
      <w:pPr>
        <w:spacing w:after="160"/>
      </w:pPr>
      <w:r>
        <w:rPr>
          <w:color w:val="37474F"/>
          <w:sz w:val="22"/>
          <w:szCs w:val="22"/>
        </w:rPr>
        <w:t xml:space="preserve">Eleven material changes distinguish v5 from v4. The most significant: the Project Intelligence Graph replaces per-engine relationship models, unifying all intelligence under one live brain.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460"/>
        <w:gridCol w:w="3000"/>
      </w:tblGrid>
      <w:tr>
        <w:trPr>
          <w:tblHeader/>
        </w:trPr>
        <w:tc>
          <w:tcPr>
            <w:tcW w:type="dxa" w:w="2100"/>
            <w:shd w:fill="1A5C2A" w:color="auto" w:val="clear"/>
            <w:tcMar>
              <w:top w:type="dxa" w:w="90"/>
              <w:left w:type="dxa" w:w="120"/>
              <w:bottom w:type="dxa" w:w="90"/>
              <w:right w:type="dxa" w:w="120"/>
            </w:tcMar>
          </w:tcPr>
          <w:p>
            <w:r>
              <w:rPr>
                <w:b/>
                <w:bCs/>
                <w:color w:val="FFFFFF"/>
                <w:sz w:val="20"/>
                <w:szCs w:val="20"/>
              </w:rPr>
              <w:t xml:space="preserve">Change Area</w:t>
            </w:r>
          </w:p>
        </w:tc>
        <w:tc>
          <w:tcPr>
            <w:tcW w:type="dxa" w:w="1800"/>
            <w:shd w:fill="1A5C2A" w:color="auto" w:val="clear"/>
            <w:tcMar>
              <w:top w:type="dxa" w:w="90"/>
              <w:left w:type="dxa" w:w="120"/>
              <w:bottom w:type="dxa" w:w="90"/>
              <w:right w:type="dxa" w:w="120"/>
            </w:tcMar>
          </w:tcPr>
          <w:p>
            <w:r>
              <w:rPr>
                <w:b/>
                <w:bCs/>
                <w:color w:val="FFFFFF"/>
                <w:sz w:val="20"/>
                <w:szCs w:val="20"/>
              </w:rPr>
              <w:t xml:space="preserve">v4</w:t>
            </w:r>
          </w:p>
        </w:tc>
        <w:tc>
          <w:tcPr>
            <w:tcW w:type="dxa" w:w="2460"/>
            <w:shd w:fill="1A5C2A" w:color="auto" w:val="clear"/>
            <w:tcMar>
              <w:top w:type="dxa" w:w="90"/>
              <w:left w:type="dxa" w:w="120"/>
              <w:bottom w:type="dxa" w:w="90"/>
              <w:right w:type="dxa" w:w="120"/>
            </w:tcMar>
          </w:tcPr>
          <w:p>
            <w:r>
              <w:rPr>
                <w:b/>
                <w:bCs/>
                <w:color w:val="FFFFFF"/>
                <w:sz w:val="20"/>
                <w:szCs w:val="20"/>
              </w:rPr>
              <w:t xml:space="preserve">v5</w:t>
            </w:r>
          </w:p>
        </w:tc>
        <w:tc>
          <w:tcPr>
            <w:tcW w:type="dxa" w:w="3000"/>
            <w:shd w:fill="1A5C2A" w:color="auto" w:val="clear"/>
            <w:tcMar>
              <w:top w:type="dxa" w:w="90"/>
              <w:left w:type="dxa" w:w="120"/>
              <w:bottom w:type="dxa" w:w="90"/>
              <w:right w:type="dxa" w:w="120"/>
            </w:tcMar>
          </w:tcPr>
          <w:p>
            <w:r>
              <w:rPr>
                <w:b/>
                <w:bCs/>
                <w:color w:val="FFFFFF"/>
                <w:sz w:val="20"/>
                <w:szCs w:val="20"/>
              </w:rPr>
              <w:t xml:space="preserve">Significance</w:t>
            </w:r>
          </w:p>
        </w:tc>
      </w:tr>
      <w:tr>
        <w:tc>
          <w:tcPr>
            <w:tcW w:type="dxa" w:w="2100"/>
            <w:shd w:fill="FFFFFF" w:color="auto" w:val="clear"/>
            <w:tcMar>
              <w:top w:type="dxa" w:w="70"/>
              <w:left w:type="dxa" w:w="120"/>
              <w:bottom w:type="dxa" w:w="70"/>
              <w:right w:type="dxa" w:w="120"/>
            </w:tcMar>
          </w:tcPr>
          <w:p>
            <w:r>
              <w:rPr>
                <w:color w:val="37474F"/>
                <w:sz w:val="19"/>
                <w:szCs w:val="19"/>
              </w:rPr>
              <w:t xml:space="preserve">Architecture foundation</w:t>
            </w:r>
          </w:p>
        </w:tc>
        <w:tc>
          <w:tcPr>
            <w:tcW w:type="dxa" w:w="1800"/>
            <w:shd w:fill="FFFFFF" w:color="auto" w:val="clear"/>
            <w:tcMar>
              <w:top w:type="dxa" w:w="70"/>
              <w:left w:type="dxa" w:w="120"/>
              <w:bottom w:type="dxa" w:w="70"/>
              <w:right w:type="dxa" w:w="120"/>
            </w:tcMar>
          </w:tcPr>
          <w:p>
            <w:r>
              <w:rPr>
                <w:color w:val="37474F"/>
                <w:sz w:val="19"/>
                <w:szCs w:val="19"/>
              </w:rPr>
              <w:t xml:space="preserve">No unified graph</w:t>
            </w:r>
          </w:p>
        </w:tc>
        <w:tc>
          <w:tcPr>
            <w:tcW w:type="dxa" w:w="2460"/>
            <w:shd w:fill="FFFFFF" w:color="auto" w:val="clear"/>
            <w:tcMar>
              <w:top w:type="dxa" w:w="70"/>
              <w:left w:type="dxa" w:w="120"/>
              <w:bottom w:type="dxa" w:w="70"/>
              <w:right w:type="dxa" w:w="120"/>
            </w:tcMar>
          </w:tcPr>
          <w:p>
            <w:r>
              <w:rPr>
                <w:color w:val="37474F"/>
                <w:sz w:val="19"/>
                <w:szCs w:val="19"/>
              </w:rPr>
              <w:t xml:space="preserve">Project Intelligence Graph (PIG)</w:t>
            </w:r>
          </w:p>
        </w:tc>
        <w:tc>
          <w:tcPr>
            <w:tcW w:type="dxa" w:w="3000"/>
            <w:shd w:fill="FFFFFF" w:color="auto" w:val="clear"/>
            <w:tcMar>
              <w:top w:type="dxa" w:w="70"/>
              <w:left w:type="dxa" w:w="120"/>
              <w:bottom w:type="dxa" w:w="70"/>
              <w:right w:type="dxa" w:w="120"/>
            </w:tcMar>
          </w:tcPr>
          <w:p>
            <w:r>
              <w:rPr>
                <w:color w:val="37474F"/>
                <w:sz w:val="19"/>
                <w:szCs w:val="19"/>
              </w:rPr>
              <w:t xml:space="preserve">All engines query one live graph — no engine maintains its own relationship model</w:t>
            </w:r>
          </w:p>
        </w:tc>
      </w:tr>
      <w:tr>
        <w:tc>
          <w:tcPr>
            <w:tcW w:type="dxa" w:w="2100"/>
            <w:shd w:fill="F1F8E9" w:color="auto" w:val="clear"/>
            <w:tcMar>
              <w:top w:type="dxa" w:w="70"/>
              <w:left w:type="dxa" w:w="120"/>
              <w:bottom w:type="dxa" w:w="70"/>
              <w:right w:type="dxa" w:w="120"/>
            </w:tcMar>
          </w:tcPr>
          <w:p>
            <w:r>
              <w:rPr>
                <w:color w:val="37474F"/>
                <w:sz w:val="19"/>
                <w:szCs w:val="19"/>
              </w:rPr>
              <w:t xml:space="preserve">Engine count</w:t>
            </w:r>
          </w:p>
        </w:tc>
        <w:tc>
          <w:tcPr>
            <w:tcW w:type="dxa" w:w="1800"/>
            <w:shd w:fill="F1F8E9" w:color="auto" w:val="clear"/>
            <w:tcMar>
              <w:top w:type="dxa" w:w="70"/>
              <w:left w:type="dxa" w:w="120"/>
              <w:bottom w:type="dxa" w:w="70"/>
              <w:right w:type="dxa" w:w="120"/>
            </w:tcMar>
          </w:tcPr>
          <w:p>
            <w:r>
              <w:rPr>
                <w:color w:val="37474F"/>
                <w:sz w:val="19"/>
                <w:szCs w:val="19"/>
              </w:rPr>
              <w:t xml:space="preserve">15 engines</w:t>
            </w:r>
          </w:p>
        </w:tc>
        <w:tc>
          <w:tcPr>
            <w:tcW w:type="dxa" w:w="2460"/>
            <w:shd w:fill="F1F8E9" w:color="auto" w:val="clear"/>
            <w:tcMar>
              <w:top w:type="dxa" w:w="70"/>
              <w:left w:type="dxa" w:w="120"/>
              <w:bottom w:type="dxa" w:w="70"/>
              <w:right w:type="dxa" w:w="120"/>
            </w:tcMar>
          </w:tcPr>
          <w:p>
            <w:r>
              <w:rPr>
                <w:color w:val="37474F"/>
                <w:sz w:val="19"/>
                <w:szCs w:val="19"/>
              </w:rPr>
              <w:t xml:space="preserve">17 engines</w:t>
            </w:r>
          </w:p>
        </w:tc>
        <w:tc>
          <w:tcPr>
            <w:tcW w:type="dxa" w:w="3000"/>
            <w:shd w:fill="F1F8E9" w:color="auto" w:val="clear"/>
            <w:tcMar>
              <w:top w:type="dxa" w:w="70"/>
              <w:left w:type="dxa" w:w="120"/>
              <w:bottom w:type="dxa" w:w="70"/>
              <w:right w:type="dxa" w:w="120"/>
            </w:tcMar>
          </w:tcPr>
          <w:p>
            <w:r>
              <w:rPr>
                <w:color w:val="37474F"/>
                <w:sz w:val="19"/>
                <w:szCs w:val="19"/>
              </w:rPr>
              <w:t xml:space="preserve">+Readiness, Simulation, Coordination, Organizational Memory</w:t>
            </w:r>
          </w:p>
        </w:tc>
      </w:tr>
      <w:tr>
        <w:tc>
          <w:tcPr>
            <w:tcW w:type="dxa" w:w="2100"/>
            <w:shd w:fill="FFFFFF" w:color="auto" w:val="clear"/>
            <w:tcMar>
              <w:top w:type="dxa" w:w="70"/>
              <w:left w:type="dxa" w:w="120"/>
              <w:bottom w:type="dxa" w:w="70"/>
              <w:right w:type="dxa" w:w="120"/>
            </w:tcMar>
          </w:tcPr>
          <w:p>
            <w:r>
              <w:rPr>
                <w:color w:val="37474F"/>
                <w:sz w:val="19"/>
                <w:szCs w:val="19"/>
              </w:rPr>
              <w:t xml:space="preserve">Communication Engine</w:t>
            </w:r>
          </w:p>
        </w:tc>
        <w:tc>
          <w:tcPr>
            <w:tcW w:type="dxa" w:w="1800"/>
            <w:shd w:fill="FFFFFF" w:color="auto" w:val="clear"/>
            <w:tcMar>
              <w:top w:type="dxa" w:w="70"/>
              <w:left w:type="dxa" w:w="120"/>
              <w:bottom w:type="dxa" w:w="70"/>
              <w:right w:type="dxa" w:w="120"/>
            </w:tcMar>
          </w:tcPr>
          <w:p>
            <w:r>
              <w:rPr>
                <w:color w:val="37474F"/>
                <w:sz w:val="19"/>
                <w:szCs w:val="19"/>
              </w:rPr>
              <w:t xml:space="preserve">Communication &amp; Alignment</w:t>
            </w:r>
          </w:p>
        </w:tc>
        <w:tc>
          <w:tcPr>
            <w:tcW w:type="dxa" w:w="2460"/>
            <w:shd w:fill="FFFFFF" w:color="auto" w:val="clear"/>
            <w:tcMar>
              <w:top w:type="dxa" w:w="70"/>
              <w:left w:type="dxa" w:w="120"/>
              <w:bottom w:type="dxa" w:w="70"/>
              <w:right w:type="dxa" w:w="120"/>
            </w:tcMar>
          </w:tcPr>
          <w:p>
            <w:r>
              <w:rPr>
                <w:color w:val="37474F"/>
                <w:sz w:val="19"/>
                <w:szCs w:val="19"/>
              </w:rPr>
              <w:t xml:space="preserve">Organizational Alignment Engine</w:t>
            </w:r>
          </w:p>
        </w:tc>
        <w:tc>
          <w:tcPr>
            <w:tcW w:type="dxa" w:w="3000"/>
            <w:shd w:fill="FFFFFF" w:color="auto" w:val="clear"/>
            <w:tcMar>
              <w:top w:type="dxa" w:w="70"/>
              <w:left w:type="dxa" w:w="120"/>
              <w:bottom w:type="dxa" w:w="70"/>
              <w:right w:type="dxa" w:w="120"/>
            </w:tcMar>
          </w:tcPr>
          <w:p>
            <w:r>
              <w:rPr>
                <w:color w:val="37474F"/>
                <w:sz w:val="19"/>
                <w:szCs w:val="19"/>
              </w:rPr>
              <w:t xml:space="preserve">Alignment &gt; communication — tracking that alignment actually happened</w:t>
            </w:r>
          </w:p>
        </w:tc>
      </w:tr>
      <w:tr>
        <w:tc>
          <w:tcPr>
            <w:tcW w:type="dxa" w:w="2100"/>
            <w:shd w:fill="F1F8E9" w:color="auto" w:val="clear"/>
            <w:tcMar>
              <w:top w:type="dxa" w:w="70"/>
              <w:left w:type="dxa" w:w="120"/>
              <w:bottom w:type="dxa" w:w="70"/>
              <w:right w:type="dxa" w:w="120"/>
            </w:tcMar>
          </w:tcPr>
          <w:p>
            <w:r>
              <w:rPr>
                <w:color w:val="37474F"/>
                <w:sz w:val="19"/>
                <w:szCs w:val="19"/>
              </w:rPr>
              <w:t xml:space="preserve">Synchronization Engine</w:t>
            </w:r>
          </w:p>
        </w:tc>
        <w:tc>
          <w:tcPr>
            <w:tcW w:type="dxa" w:w="1800"/>
            <w:shd w:fill="F1F8E9" w:color="auto" w:val="clear"/>
            <w:tcMar>
              <w:top w:type="dxa" w:w="70"/>
              <w:left w:type="dxa" w:w="120"/>
              <w:bottom w:type="dxa" w:w="70"/>
              <w:right w:type="dxa" w:w="120"/>
            </w:tcMar>
          </w:tcPr>
          <w:p>
            <w:r>
              <w:rPr>
                <w:color w:val="37474F"/>
                <w:sz w:val="19"/>
                <w:szCs w:val="19"/>
              </w:rPr>
              <w:t xml:space="preserve">Synchronization</w:t>
            </w:r>
          </w:p>
        </w:tc>
        <w:tc>
          <w:tcPr>
            <w:tcW w:type="dxa" w:w="2460"/>
            <w:shd w:fill="F1F8E9" w:color="auto" w:val="clear"/>
            <w:tcMar>
              <w:top w:type="dxa" w:w="70"/>
              <w:left w:type="dxa" w:w="120"/>
              <w:bottom w:type="dxa" w:w="70"/>
              <w:right w:type="dxa" w:w="120"/>
            </w:tcMar>
          </w:tcPr>
          <w:p>
            <w:r>
              <w:rPr>
                <w:color w:val="37474F"/>
                <w:sz w:val="19"/>
                <w:szCs w:val="19"/>
              </w:rPr>
              <w:t xml:space="preserve">Synchronization &amp; Consistency</w:t>
            </w:r>
          </w:p>
        </w:tc>
        <w:tc>
          <w:tcPr>
            <w:tcW w:type="dxa" w:w="3000"/>
            <w:shd w:fill="F1F8E9" w:color="auto" w:val="clear"/>
            <w:tcMar>
              <w:top w:type="dxa" w:w="70"/>
              <w:left w:type="dxa" w:w="120"/>
              <w:bottom w:type="dxa" w:w="70"/>
              <w:right w:type="dxa" w:w="120"/>
            </w:tcMar>
          </w:tcPr>
          <w:p>
            <w:r>
              <w:rPr>
                <w:color w:val="37474F"/>
                <w:sz w:val="19"/>
                <w:szCs w:val="19"/>
              </w:rPr>
              <w:t xml:space="preserve">Adds active contradiction detection between entity versions</w:t>
            </w:r>
          </w:p>
        </w:tc>
      </w:tr>
      <w:tr>
        <w:tc>
          <w:tcPr>
            <w:tcW w:type="dxa" w:w="2100"/>
            <w:shd w:fill="FFFFFF" w:color="auto" w:val="clear"/>
            <w:tcMar>
              <w:top w:type="dxa" w:w="70"/>
              <w:left w:type="dxa" w:w="120"/>
              <w:bottom w:type="dxa" w:w="70"/>
              <w:right w:type="dxa" w:w="120"/>
            </w:tcMar>
          </w:tcPr>
          <w:p>
            <w:r>
              <w:rPr>
                <w:color w:val="37474F"/>
                <w:sz w:val="19"/>
                <w:szCs w:val="19"/>
              </w:rPr>
              <w:t xml:space="preserve">Dropped</w:t>
            </w:r>
          </w:p>
        </w:tc>
        <w:tc>
          <w:tcPr>
            <w:tcW w:type="dxa" w:w="1800"/>
            <w:shd w:fill="FFFFFF" w:color="auto" w:val="clear"/>
            <w:tcMar>
              <w:top w:type="dxa" w:w="70"/>
              <w:left w:type="dxa" w:w="120"/>
              <w:bottom w:type="dxa" w:w="70"/>
              <w:right w:type="dxa" w:w="120"/>
            </w:tcMar>
          </w:tcPr>
          <w:p>
            <w:r>
              <w:rPr>
                <w:color w:val="37474F"/>
                <w:sz w:val="19"/>
                <w:szCs w:val="19"/>
              </w:rPr>
              <w:t xml:space="preserve">Workflow Engine</w:t>
            </w:r>
          </w:p>
        </w:tc>
        <w:tc>
          <w:tcPr>
            <w:tcW w:type="dxa" w:w="2460"/>
            <w:shd w:fill="FFFFFF" w:color="auto" w:val="clear"/>
            <w:tcMar>
              <w:top w:type="dxa" w:w="70"/>
              <w:left w:type="dxa" w:w="120"/>
              <w:bottom w:type="dxa" w:w="70"/>
              <w:right w:type="dxa" w:w="120"/>
            </w:tcMar>
          </w:tcPr>
          <w:p>
            <w:r>
              <w:rPr>
                <w:color w:val="37474F"/>
                <w:sz w:val="19"/>
                <w:szCs w:val="19"/>
              </w:rPr>
              <w:t xml:space="preserve">Absorbed into event processing core</w:t>
            </w:r>
          </w:p>
        </w:tc>
        <w:tc>
          <w:tcPr>
            <w:tcW w:type="dxa" w:w="3000"/>
            <w:shd w:fill="FFFFFF" w:color="auto" w:val="clear"/>
            <w:tcMar>
              <w:top w:type="dxa" w:w="70"/>
              <w:left w:type="dxa" w:w="120"/>
              <w:bottom w:type="dxa" w:w="70"/>
              <w:right w:type="dxa" w:w="120"/>
            </w:tcMar>
          </w:tcPr>
          <w:p>
            <w:r>
              <w:rPr>
                <w:color w:val="37474F"/>
                <w:sz w:val="19"/>
                <w:szCs w:val="19"/>
              </w:rPr>
              <w:t xml:space="preserve">Reduces engine count; cleaner separation of concerns</w:t>
            </w:r>
          </w:p>
        </w:tc>
      </w:tr>
      <w:tr>
        <w:tc>
          <w:tcPr>
            <w:tcW w:type="dxa" w:w="2100"/>
            <w:shd w:fill="F1F8E9" w:color="auto" w:val="clear"/>
            <w:tcMar>
              <w:top w:type="dxa" w:w="70"/>
              <w:left w:type="dxa" w:w="120"/>
              <w:bottom w:type="dxa" w:w="70"/>
              <w:right w:type="dxa" w:w="120"/>
            </w:tcMar>
          </w:tcPr>
          <w:p>
            <w:r>
              <w:rPr>
                <w:color w:val="37474F"/>
                <w:sz w:val="19"/>
                <w:szCs w:val="19"/>
              </w:rPr>
              <w:t xml:space="preserve">Dropped</w:t>
            </w:r>
          </w:p>
        </w:tc>
        <w:tc>
          <w:tcPr>
            <w:tcW w:type="dxa" w:w="1800"/>
            <w:shd w:fill="F1F8E9" w:color="auto" w:val="clear"/>
            <w:tcMar>
              <w:top w:type="dxa" w:w="70"/>
              <w:left w:type="dxa" w:w="120"/>
              <w:bottom w:type="dxa" w:w="70"/>
              <w:right w:type="dxa" w:w="120"/>
            </w:tcMar>
          </w:tcPr>
          <w:p>
            <w:r>
              <w:rPr>
                <w:color w:val="37474F"/>
                <w:sz w:val="19"/>
                <w:szCs w:val="19"/>
              </w:rPr>
              <w:t xml:space="preserve">Configuration Engine</w:t>
            </w:r>
          </w:p>
        </w:tc>
        <w:tc>
          <w:tcPr>
            <w:tcW w:type="dxa" w:w="2460"/>
            <w:shd w:fill="F1F8E9" w:color="auto" w:val="clear"/>
            <w:tcMar>
              <w:top w:type="dxa" w:w="70"/>
              <w:left w:type="dxa" w:w="120"/>
              <w:bottom w:type="dxa" w:w="70"/>
              <w:right w:type="dxa" w:w="120"/>
            </w:tcMar>
          </w:tcPr>
          <w:p>
            <w:r>
              <w:rPr>
                <w:color w:val="37474F"/>
                <w:sz w:val="19"/>
                <w:szCs w:val="19"/>
              </w:rPr>
              <w:t xml:space="preserve">Absorbed into Green PM Studio</w:t>
            </w:r>
          </w:p>
        </w:tc>
        <w:tc>
          <w:tcPr>
            <w:tcW w:type="dxa" w:w="3000"/>
            <w:shd w:fill="F1F8E9" w:color="auto" w:val="clear"/>
            <w:tcMar>
              <w:top w:type="dxa" w:w="70"/>
              <w:left w:type="dxa" w:w="120"/>
              <w:bottom w:type="dxa" w:w="70"/>
              <w:right w:type="dxa" w:w="120"/>
            </w:tcMar>
          </w:tcPr>
          <w:p>
            <w:r>
              <w:rPr>
                <w:color w:val="37474F"/>
                <w:sz w:val="19"/>
                <w:szCs w:val="19"/>
              </w:rPr>
              <w:t xml:space="preserve">Studio owns all configuration — single front door</w:t>
            </w:r>
          </w:p>
        </w:tc>
      </w:tr>
      <w:tr>
        <w:tc>
          <w:tcPr>
            <w:tcW w:type="dxa" w:w="2100"/>
            <w:shd w:fill="FFFFFF" w:color="auto" w:val="clear"/>
            <w:tcMar>
              <w:top w:type="dxa" w:w="70"/>
              <w:left w:type="dxa" w:w="120"/>
              <w:bottom w:type="dxa" w:w="70"/>
              <w:right w:type="dxa" w:w="120"/>
            </w:tcMar>
          </w:tcPr>
          <w:p>
            <w:r>
              <w:rPr>
                <w:color w:val="37474F"/>
                <w:sz w:val="19"/>
                <w:szCs w:val="19"/>
              </w:rPr>
              <w:t xml:space="preserve">Entity Workspaces</w:t>
            </w:r>
          </w:p>
        </w:tc>
        <w:tc>
          <w:tcPr>
            <w:tcW w:type="dxa" w:w="1800"/>
            <w:shd w:fill="FFFFFF" w:color="auto" w:val="clear"/>
            <w:tcMar>
              <w:top w:type="dxa" w:w="70"/>
              <w:left w:type="dxa" w:w="120"/>
              <w:bottom w:type="dxa" w:w="70"/>
              <w:right w:type="dxa" w:w="120"/>
            </w:tcMar>
          </w:tcPr>
          <w:p>
            <w:r>
              <w:rPr>
                <w:color w:val="37474F"/>
                <w:sz w:val="19"/>
                <w:szCs w:val="19"/>
              </w:rPr>
              <w:t xml:space="preserve">5 entity types</w:t>
            </w:r>
          </w:p>
        </w:tc>
        <w:tc>
          <w:tcPr>
            <w:tcW w:type="dxa" w:w="2460"/>
            <w:shd w:fill="FFFFFF" w:color="auto" w:val="clear"/>
            <w:tcMar>
              <w:top w:type="dxa" w:w="70"/>
              <w:left w:type="dxa" w:w="120"/>
              <w:bottom w:type="dxa" w:w="70"/>
              <w:right w:type="dxa" w:w="120"/>
            </w:tcMar>
          </w:tcPr>
          <w:p>
            <w:r>
              <w:rPr>
                <w:color w:val="37474F"/>
                <w:sz w:val="19"/>
                <w:szCs w:val="19"/>
              </w:rPr>
              <w:t xml:space="preserve">10 entity workspace types</w:t>
            </w:r>
          </w:p>
        </w:tc>
        <w:tc>
          <w:tcPr>
            <w:tcW w:type="dxa" w:w="3000"/>
            <w:shd w:fill="FFFFFF" w:color="auto" w:val="clear"/>
            <w:tcMar>
              <w:top w:type="dxa" w:w="70"/>
              <w:left w:type="dxa" w:w="120"/>
              <w:bottom w:type="dxa" w:w="70"/>
              <w:right w:type="dxa" w:w="120"/>
            </w:tcMar>
          </w:tcPr>
          <w:p>
            <w:r>
              <w:rPr>
                <w:color w:val="37474F"/>
                <w:sz w:val="19"/>
                <w:szCs w:val="19"/>
              </w:rPr>
              <w:t xml:space="preserve">Every major project entity becomes a full contextual workspace</w:t>
            </w:r>
          </w:p>
        </w:tc>
      </w:tr>
      <w:tr>
        <w:tc>
          <w:tcPr>
            <w:tcW w:type="dxa" w:w="2100"/>
            <w:shd w:fill="F1F8E9" w:color="auto" w:val="clear"/>
            <w:tcMar>
              <w:top w:type="dxa" w:w="70"/>
              <w:left w:type="dxa" w:w="120"/>
              <w:bottom w:type="dxa" w:w="70"/>
              <w:right w:type="dxa" w:w="120"/>
            </w:tcMar>
          </w:tcPr>
          <w:p>
            <w:r>
              <w:rPr>
                <w:color w:val="37474F"/>
                <w:sz w:val="19"/>
                <w:szCs w:val="19"/>
              </w:rPr>
              <w:t xml:space="preserve">Executive view</w:t>
            </w:r>
          </w:p>
        </w:tc>
        <w:tc>
          <w:tcPr>
            <w:tcW w:type="dxa" w:w="1800"/>
            <w:shd w:fill="F1F8E9" w:color="auto" w:val="clear"/>
            <w:tcMar>
              <w:top w:type="dxa" w:w="70"/>
              <w:left w:type="dxa" w:w="120"/>
              <w:bottom w:type="dxa" w:w="70"/>
              <w:right w:type="dxa" w:w="120"/>
            </w:tcMar>
          </w:tcPr>
          <w:p>
            <w:r>
              <w:rPr>
                <w:color w:val="37474F"/>
                <w:sz w:val="19"/>
                <w:szCs w:val="19"/>
              </w:rPr>
              <w:t xml:space="preserve">Dashboards</w:t>
            </w:r>
          </w:p>
        </w:tc>
        <w:tc>
          <w:tcPr>
            <w:tcW w:type="dxa" w:w="2460"/>
            <w:shd w:fill="F1F8E9" w:color="auto" w:val="clear"/>
            <w:tcMar>
              <w:top w:type="dxa" w:w="70"/>
              <w:left w:type="dxa" w:w="120"/>
              <w:bottom w:type="dxa" w:w="70"/>
              <w:right w:type="dxa" w:w="120"/>
            </w:tcMar>
          </w:tcPr>
          <w:p>
            <w:r>
              <w:rPr>
                <w:color w:val="37474F"/>
                <w:sz w:val="19"/>
                <w:szCs w:val="19"/>
              </w:rPr>
              <w:t xml:space="preserve">Executive Digital Twin</w:t>
            </w:r>
          </w:p>
        </w:tc>
        <w:tc>
          <w:tcPr>
            <w:tcW w:type="dxa" w:w="3000"/>
            <w:shd w:fill="F1F8E9" w:color="auto" w:val="clear"/>
            <w:tcMar>
              <w:top w:type="dxa" w:w="70"/>
              <w:left w:type="dxa" w:w="120"/>
              <w:bottom w:type="dxa" w:w="70"/>
              <w:right w:type="dxa" w:w="120"/>
            </w:tcMar>
          </w:tcPr>
          <w:p>
            <w:r>
              <w:rPr>
                <w:color w:val="37474F"/>
                <w:sz w:val="19"/>
                <w:szCs w:val="19"/>
              </w:rPr>
              <w:t xml:space="preserve">Reality + Forecast + Required Decisions — synthesized weekly</w:t>
            </w:r>
          </w:p>
        </w:tc>
      </w:tr>
      <w:tr>
        <w:tc>
          <w:tcPr>
            <w:tcW w:type="dxa" w:w="2100"/>
            <w:shd w:fill="FFFFFF" w:color="auto" w:val="clear"/>
            <w:tcMar>
              <w:top w:type="dxa" w:w="70"/>
              <w:left w:type="dxa" w:w="120"/>
              <w:bottom w:type="dxa" w:w="70"/>
              <w:right w:type="dxa" w:w="120"/>
            </w:tcMar>
          </w:tcPr>
          <w:p>
            <w:r>
              <w:rPr>
                <w:color w:val="37474F"/>
                <w:sz w:val="19"/>
                <w:szCs w:val="19"/>
              </w:rPr>
              <w:t xml:space="preserve">AI visibility</w:t>
            </w:r>
          </w:p>
        </w:tc>
        <w:tc>
          <w:tcPr>
            <w:tcW w:type="dxa" w:w="1800"/>
            <w:shd w:fill="FFFFFF" w:color="auto" w:val="clear"/>
            <w:tcMar>
              <w:top w:type="dxa" w:w="70"/>
              <w:left w:type="dxa" w:w="120"/>
              <w:bottom w:type="dxa" w:w="70"/>
              <w:right w:type="dxa" w:w="120"/>
            </w:tcMar>
          </w:tcPr>
          <w:p>
            <w:r>
              <w:rPr>
                <w:color w:val="37474F"/>
                <w:sz w:val="19"/>
                <w:szCs w:val="19"/>
              </w:rPr>
              <w:t xml:space="preserve">AI Copilot named in UI</w:t>
            </w:r>
          </w:p>
        </w:tc>
        <w:tc>
          <w:tcPr>
            <w:tcW w:type="dxa" w:w="2460"/>
            <w:shd w:fill="FFFFFF" w:color="auto" w:val="clear"/>
            <w:tcMar>
              <w:top w:type="dxa" w:w="70"/>
              <w:left w:type="dxa" w:w="120"/>
              <w:bottom w:type="dxa" w:w="70"/>
              <w:right w:type="dxa" w:w="120"/>
            </w:tcMar>
          </w:tcPr>
          <w:p>
            <w:r>
              <w:rPr>
                <w:color w:val="37474F"/>
                <w:sz w:val="19"/>
                <w:szCs w:val="19"/>
              </w:rPr>
              <w:t xml:space="preserve">AI invisible in UI</w:t>
            </w:r>
          </w:p>
        </w:tc>
        <w:tc>
          <w:tcPr>
            <w:tcW w:type="dxa" w:w="3000"/>
            <w:shd w:fill="FFFFFF" w:color="auto" w:val="clear"/>
            <w:tcMar>
              <w:top w:type="dxa" w:w="70"/>
              <w:left w:type="dxa" w:w="120"/>
              <w:bottom w:type="dxa" w:w="70"/>
              <w:right w:type="dxa" w:w="120"/>
            </w:tcMar>
          </w:tcPr>
          <w:p>
            <w:r>
              <w:rPr>
                <w:color w:val="37474F"/>
                <w:sz w:val="19"/>
                <w:szCs w:val="19"/>
              </w:rPr>
              <w:t xml:space="preserve">UI verbs: Explain, Predict, Simulate — "Green PM" is the identity</w:t>
            </w:r>
          </w:p>
        </w:tc>
      </w:tr>
      <w:tr>
        <w:tc>
          <w:tcPr>
            <w:tcW w:type="dxa" w:w="2100"/>
            <w:shd w:fill="F1F8E9" w:color="auto" w:val="clear"/>
            <w:tcMar>
              <w:top w:type="dxa" w:w="70"/>
              <w:left w:type="dxa" w:w="120"/>
              <w:bottom w:type="dxa" w:w="70"/>
              <w:right w:type="dxa" w:w="120"/>
            </w:tcMar>
          </w:tcPr>
          <w:p>
            <w:r>
              <w:rPr>
                <w:color w:val="37474F"/>
                <w:sz w:val="19"/>
                <w:szCs w:val="19"/>
              </w:rPr>
              <w:t xml:space="preserve">Product identity</w:t>
            </w:r>
          </w:p>
        </w:tc>
        <w:tc>
          <w:tcPr>
            <w:tcW w:type="dxa" w:w="1800"/>
            <w:shd w:fill="F1F8E9" w:color="auto" w:val="clear"/>
            <w:tcMar>
              <w:top w:type="dxa" w:w="70"/>
              <w:left w:type="dxa" w:w="120"/>
              <w:bottom w:type="dxa" w:w="70"/>
              <w:right w:type="dxa" w:w="120"/>
            </w:tcMar>
          </w:tcPr>
          <w:p>
            <w:r>
              <w:rPr>
                <w:color w:val="37474F"/>
                <w:sz w:val="19"/>
                <w:szCs w:val="19"/>
              </w:rPr>
              <w:t xml:space="preserve">Project Intelligence Platform</w:t>
            </w:r>
          </w:p>
        </w:tc>
        <w:tc>
          <w:tcPr>
            <w:tcW w:type="dxa" w:w="2460"/>
            <w:shd w:fill="F1F8E9" w:color="auto" w:val="clear"/>
            <w:tcMar>
              <w:top w:type="dxa" w:w="70"/>
              <w:left w:type="dxa" w:w="120"/>
              <w:bottom w:type="dxa" w:w="70"/>
              <w:right w:type="dxa" w:w="120"/>
            </w:tcMar>
          </w:tcPr>
          <w:p>
            <w:r>
              <w:rPr>
                <w:color w:val="37474F"/>
                <w:sz w:val="19"/>
                <w:szCs w:val="19"/>
              </w:rPr>
              <w:t xml:space="preserve">Engineering Project Operating System</w:t>
            </w:r>
          </w:p>
        </w:tc>
        <w:tc>
          <w:tcPr>
            <w:tcW w:type="dxa" w:w="3000"/>
            <w:shd w:fill="F1F8E9" w:color="auto" w:val="clear"/>
            <w:tcMar>
              <w:top w:type="dxa" w:w="70"/>
              <w:left w:type="dxa" w:w="120"/>
              <w:bottom w:type="dxa" w:w="70"/>
              <w:right w:type="dxa" w:w="120"/>
            </w:tcMar>
          </w:tcPr>
          <w:p>
            <w:r>
              <w:rPr>
                <w:color w:val="37474F"/>
                <w:sz w:val="19"/>
                <w:szCs w:val="19"/>
              </w:rPr>
              <w:t xml:space="preserve">Full architecture now justifies the positioning</w:t>
            </w:r>
          </w:p>
        </w:tc>
      </w:tr>
      <w:tr>
        <w:tc>
          <w:tcPr>
            <w:tcW w:type="dxa" w:w="2100"/>
            <w:shd w:fill="FFFFFF" w:color="auto" w:val="clear"/>
            <w:tcMar>
              <w:top w:type="dxa" w:w="70"/>
              <w:left w:type="dxa" w:w="120"/>
              <w:bottom w:type="dxa" w:w="70"/>
              <w:right w:type="dxa" w:w="120"/>
            </w:tcMar>
          </w:tcPr>
          <w:p>
            <w:r>
              <w:rPr>
                <w:color w:val="37474F"/>
                <w:sz w:val="19"/>
                <w:szCs w:val="19"/>
              </w:rPr>
              <w:t xml:space="preserve">Forecasting</w:t>
            </w:r>
          </w:p>
        </w:tc>
        <w:tc>
          <w:tcPr>
            <w:tcW w:type="dxa" w:w="1800"/>
            <w:shd w:fill="FFFFFF" w:color="auto" w:val="clear"/>
            <w:tcMar>
              <w:top w:type="dxa" w:w="70"/>
              <w:left w:type="dxa" w:w="120"/>
              <w:bottom w:type="dxa" w:w="70"/>
              <w:right w:type="dxa" w:w="120"/>
            </w:tcMar>
          </w:tcPr>
          <w:p>
            <w:r>
              <w:rPr>
                <w:color w:val="37474F"/>
                <w:sz w:val="19"/>
                <w:szCs w:val="19"/>
              </w:rPr>
              <w:t xml:space="preserve">Part of Recommendation Engine</w:t>
            </w:r>
          </w:p>
        </w:tc>
        <w:tc>
          <w:tcPr>
            <w:tcW w:type="dxa" w:w="2460"/>
            <w:shd w:fill="FFFFFF" w:color="auto" w:val="clear"/>
            <w:tcMar>
              <w:top w:type="dxa" w:w="70"/>
              <w:left w:type="dxa" w:w="120"/>
              <w:bottom w:type="dxa" w:w="70"/>
              <w:right w:type="dxa" w:w="120"/>
            </w:tcMar>
          </w:tcPr>
          <w:p>
            <w:r>
              <w:rPr>
                <w:color w:val="37474F"/>
                <w:sz w:val="19"/>
                <w:szCs w:val="19"/>
              </w:rPr>
              <w:t xml:space="preserve">Independent Forecasting Engine</w:t>
            </w:r>
          </w:p>
        </w:tc>
        <w:tc>
          <w:tcPr>
            <w:tcW w:type="dxa" w:w="3000"/>
            <w:shd w:fill="FFFFFF" w:color="auto" w:val="clear"/>
            <w:tcMar>
              <w:top w:type="dxa" w:w="70"/>
              <w:left w:type="dxa" w:w="120"/>
              <w:bottom w:type="dxa" w:w="70"/>
              <w:right w:type="dxa" w:w="120"/>
            </w:tcMar>
          </w:tcPr>
          <w:p>
            <w:r>
              <w:rPr>
                <w:color w:val="37474F"/>
                <w:sz w:val="19"/>
                <w:szCs w:val="19"/>
              </w:rPr>
              <w:t xml:space="preserve">Multi-domain forecasting: schedule, budget, quality, resource, commissioning, cash flow</w:t>
            </w:r>
          </w:p>
        </w:tc>
      </w:tr>
    </w:tbl>
    <w:p>
      <w:pPr>
        <w:spacing w:after="200"/>
      </w:pPr>
      <w:r>
        <w:t xml:space="preserve"/>
      </w:r>
    </w:p>
    <w:p>
      <w:pPr>
        <w:pBdr>
          <w:bottom w:val="single" w:color="2E7D32" w:sz="8"/>
        </w:pBdr>
        <w:spacing w:after="200" w:before="560"/>
      </w:pPr>
      <w:r>
        <w:rPr>
          <w:b/>
          <w:bCs/>
          <w:color w:val="2E7D32"/>
          <w:sz w:val="34"/>
          <w:szCs w:val="34"/>
        </w:rPr>
        <w:t xml:space="preserve">2. The v4 → v5 Architecture Jump</w:t>
      </w:r>
    </w:p>
    <w:p>
      <w:pPr>
        <w:pBdr>
          <w:left w:val="single" w:color="2E7D32" w:sz="12"/>
        </w:pBdr>
        <w:shd w:fill="E8F5E9" w:color="auto" w:val="clear"/>
        <w:spacing w:after="240" w:before="240"/>
        <w:ind w:left="480" w:right="480"/>
      </w:pPr>
      <w:r>
        <w:rPr>
          <w:b/>
          <w:bCs/>
          <w:color w:val="1A5C2A"/>
          <w:sz w:val="23"/>
          <w:szCs w:val="23"/>
        </w:rPr>
        <w:t xml:space="preserve">v1 → Documentation.  v2 → Product.  v3 → Platform.  v4 → Operating System architecture.  v5 → Operating System realised.</w:t>
      </w:r>
    </w:p>
    <w:p>
      <w:pPr>
        <w:spacing w:after="120"/>
      </w:pPr>
      <w:r>
        <w:t xml:space="preserve"/>
      </w:r>
    </w:p>
    <w:p>
      <w:pPr>
        <w:spacing w:after="160"/>
      </w:pPr>
      <w:r>
        <w:rPr>
          <w:color w:val="37474F"/>
          <w:sz w:val="22"/>
          <w:szCs w:val="22"/>
        </w:rPr>
        <w:t xml:space="preserve">Each version of Green PM answered a different question. v1 answered: what is this project? v2 answered: who does what? v3 answered: how do we manage it? v4 answered: how should an intelligent operating system be structured? v5 answers the final question: does it work?</w:t>
      </w:r>
    </w:p>
    <w:p>
      <w:pPr>
        <w:spacing w:after="120"/>
      </w:pPr>
      <w:r>
        <w:t xml:space="preserve"/>
      </w:r>
    </w:p>
    <w:p>
      <w:pPr>
        <w:spacing w:after="160"/>
      </w:pPr>
      <w:r>
        <w:rPr>
          <w:color w:val="37474F"/>
          <w:sz w:val="22"/>
          <w:szCs w:val="22"/>
        </w:rPr>
        <w:t xml:space="preserve">The decisive architectural insight of v5: in v4, each engine maintained its own view of project relationships. The Impact Engine had its own dependency map. The Risk Engine had its own entity links. The Synchronization Engine had its own version tracking. Each engine was an island.</w:t>
      </w:r>
    </w:p>
    <w:p>
      <w:pPr>
        <w:spacing w:after="120"/>
      </w:pPr>
      <w:r>
        <w:t xml:space="preserve"/>
      </w:r>
    </w:p>
    <w:p>
      <w:pPr>
        <w:spacing w:after="160"/>
      </w:pPr>
      <w:r>
        <w:rPr>
          <w:color w:val="37474F"/>
          <w:sz w:val="22"/>
          <w:szCs w:val="22"/>
        </w:rPr>
        <w:t xml:space="preserve">In v5, all relationship data lives in the Project Intelligence Graph. Engines are no longer data stores — they are queries. The Impact Engine does not maintain relationships; it traverses the PIG. The Risk Engine does not maintain entity links; it reads weighted edges from the PIG. The Synchronization &amp; Consistency Engine detects contradictions by comparing edge weights across related nodes in the PIG.</w:t>
      </w:r>
    </w:p>
    <w:p>
      <w:pPr>
        <w:spacing w:after="120"/>
      </w:pPr>
      <w:r>
        <w:t xml:space="preserve"/>
      </w:r>
    </w:p>
    <w:p>
      <w:pPr>
        <w:spacing w:after="160"/>
      </w:pPr>
      <w:r>
        <w:rPr>
          <w:color w:val="37474F"/>
          <w:sz w:val="22"/>
          <w:szCs w:val="22"/>
        </w:rPr>
        <w:t xml:space="preserve">This is not a refactor. It is a fundamentally different architecture. The PIG is the brain; the engines are the intelligence disciplines that query it.</w:t>
      </w:r>
    </w:p>
    <w:p>
      <w:pPr>
        <w:spacing w:after="120"/>
      </w:pPr>
      <w:r>
        <w:t xml:space="preserve"/>
      </w:r>
    </w:p>
    <w:p>
      <w:pPr>
        <w:spacing w:after="140" w:before="320"/>
      </w:pPr>
      <w:r>
        <w:rPr>
          <w:b/>
          <w:bCs/>
          <w:color w:val="1A5C2A"/>
          <w:sz w:val="26"/>
          <w:szCs w:val="26"/>
        </w:rPr>
        <w:t xml:space="preserve">Why This Makes Green PM Defensible</w:t>
      </w:r>
    </w:p>
    <w:p>
      <w:pPr>
        <w:spacing w:after="100"/>
        <w:ind w:left="400"/>
      </w:pPr>
      <w:r>
        <w:rPr>
          <w:color w:val="37474F"/>
          <w:sz w:val="21"/>
          <w:szCs w:val="21"/>
        </w:rPr>
        <w:t xml:space="preserve">•  No competitor can replicate a live property graph purpose-built for EPC without rebuilding the data model from scratch</w:t>
      </w:r>
    </w:p>
    <w:p>
      <w:pPr>
        <w:spacing w:after="100"/>
        <w:ind w:left="400"/>
      </w:pPr>
      <w:r>
        <w:rPr>
          <w:color w:val="37474F"/>
          <w:sz w:val="21"/>
          <w:szCs w:val="21"/>
        </w:rPr>
        <w:t xml:space="preserve">•  Every engine improvement instantly benefits all other engines via shared PIG data</w:t>
      </w:r>
    </w:p>
    <w:p>
      <w:pPr>
        <w:spacing w:after="100"/>
        <w:ind w:left="400"/>
      </w:pPr>
      <w:r>
        <w:rPr>
          <w:color w:val="37474F"/>
          <w:sz w:val="21"/>
          <w:szCs w:val="21"/>
        </w:rPr>
        <w:t xml:space="preserve">•  The graph grows richer with every project — institutional knowledge compounds</w:t>
      </w:r>
    </w:p>
    <w:p>
      <w:pPr>
        <w:spacing w:after="100"/>
        <w:ind w:left="400"/>
      </w:pPr>
      <w:r>
        <w:rPr>
          <w:color w:val="37474F"/>
          <w:sz w:val="21"/>
          <w:szCs w:val="21"/>
        </w:rPr>
        <w:t xml:space="preserve">•  New engines can be added without touching existing engine logic</w:t>
      </w:r>
    </w:p>
    <w:p>
      <w:pPr>
        <w:spacing w:after="200"/>
      </w:pPr>
      <w:r>
        <w:t xml:space="preserve"/>
      </w:r>
    </w:p>
    <w:p>
      <w:pPr>
        <w:pBdr>
          <w:bottom w:val="single" w:color="2E7D32" w:sz="8"/>
        </w:pBdr>
        <w:spacing w:after="200" w:before="560"/>
      </w:pPr>
      <w:r>
        <w:rPr>
          <w:b/>
          <w:bCs/>
          <w:color w:val="2E7D32"/>
          <w:sz w:val="34"/>
          <w:szCs w:val="34"/>
        </w:rPr>
        <w:t xml:space="preserve">3. Project Intelligence Graph — What It Means</w:t>
      </w:r>
    </w:p>
    <w:p>
      <w:pPr>
        <w:spacing w:after="160"/>
      </w:pPr>
      <w:r>
        <w:rPr>
          <w:color w:val="37474F"/>
          <w:sz w:val="22"/>
          <w:szCs w:val="22"/>
        </w:rPr>
        <w:t xml:space="preserve">The Project Intelligence Graph (PIG) is the architectural centrepiece of Green PM v5. It is a live, persistent, typed property graph stored in PostgreSQL via graph_nodes and graph_edges tables. No separate graph database is required.</w:t>
      </w:r>
    </w:p>
    <w:p>
      <w:pPr>
        <w:spacing w:after="120"/>
      </w:pPr>
      <w:r>
        <w:t xml:space="preserve"/>
      </w:r>
    </w:p>
    <w:p>
      <w:pPr>
        <w:spacing w:after="140" w:before="320"/>
      </w:pPr>
      <w:r>
        <w:rPr>
          <w:b/>
          <w:bCs/>
          <w:color w:val="1A5C2A"/>
          <w:sz w:val="26"/>
          <w:szCs w:val="26"/>
        </w:rPr>
        <w:t xml:space="preserve">What Is a Property Graph?</w:t>
      </w:r>
    </w:p>
    <w:p>
      <w:pPr>
        <w:spacing w:after="160"/>
      </w:pPr>
      <w:r>
        <w:rPr>
          <w:color w:val="37474F"/>
          <w:sz w:val="22"/>
          <w:szCs w:val="22"/>
        </w:rPr>
        <w:t xml:space="preserve">A property graph stores entities (nodes) and their relationships (edges). Both nodes and edges carry typed attributes. Edges are directional and carry a weight — a numeric value expressing the strength or criticality of the relationship. The PIG is updated event-driven via Pub/Sub in real time; there is no batch refresh.</w:t>
      </w:r>
    </w:p>
    <w:p>
      <w:pPr>
        <w:spacing w:after="120"/>
      </w:pPr>
      <w:r>
        <w:t xml:space="preserve"/>
      </w:r>
    </w:p>
    <w:p>
      <w:pPr>
        <w:spacing w:after="140" w:before="320"/>
      </w:pPr>
      <w:r>
        <w:rPr>
          <w:b/>
          <w:bCs/>
          <w:color w:val="1A5C2A"/>
          <w:sz w:val="26"/>
          <w:szCs w:val="26"/>
        </w:rPr>
        <w:t xml:space="preserve">22 Node Types</w:t>
      </w:r>
    </w:p>
    <w:p>
      <w:pPr>
        <w:spacing w:after="160"/>
      </w:pPr>
      <w:r>
        <w:rPr>
          <w:color w:val="37474F"/>
          <w:sz w:val="22"/>
          <w:szCs w:val="22"/>
        </w:rPr>
        <w:t xml:space="preserve">Every major project entity is a node in the PIG:</w:t>
      </w:r>
    </w:p>
    <w:p>
      <w:pPr>
        <w:shd w:fill="E8F5E9" w:color="auto" w:val="clear"/>
        <w:spacing w:after="200" w:before="100"/>
        <w:ind w:left="300" w:right="300"/>
      </w:pPr>
      <w:r>
        <w:rPr>
          <w:b w:val="false"/>
          <w:bCs w:val="false"/>
          <w:color w:val="1A5C2A"/>
          <w:sz w:val="20"/>
          <w:szCs w:val="20"/>
        </w:rPr>
        <w:t xml:space="preserve">Activity  •  Milestone  •  Drawing  •  Document  •  Equipment  •  Vendor  •  Dispatch  •  Evidence  •  Change  •  Decision  •  Risk  •  Issue  •  Gate  •  WBS  •  Package  •  Shipment  •  Claim  •  Payment  •  Inspection  •  Commissioning Item  •  Organizational Unit  •  Person</w:t>
      </w:r>
    </w:p>
    <w:p>
      <w:pPr>
        <w:spacing w:after="120"/>
      </w:pPr>
      <w:r>
        <w:t xml:space="preserve"/>
      </w:r>
    </w:p>
    <w:p>
      <w:pPr>
        <w:spacing w:after="140" w:before="320"/>
      </w:pPr>
      <w:r>
        <w:rPr>
          <w:b/>
          <w:bCs/>
          <w:color w:val="1A5C2A"/>
          <w:sz w:val="26"/>
          <w:szCs w:val="26"/>
        </w:rPr>
        <w:t xml:space="preserve">30+ Edge Types</w:t>
      </w:r>
    </w:p>
    <w:p>
      <w:pPr>
        <w:spacing w:after="160"/>
      </w:pPr>
      <w:r>
        <w:rPr>
          <w:color w:val="37474F"/>
          <w:sz w:val="22"/>
          <w:szCs w:val="22"/>
        </w:rPr>
        <w:t xml:space="preserve">Typed, weighted, directional relationships connect every entity to every related entity:</w:t>
      </w:r>
    </w:p>
    <w:p>
      <w:pPr>
        <w:shd w:fill="E8F5E9" w:color="auto" w:val="clear"/>
        <w:spacing w:after="200" w:before="100"/>
        <w:ind w:left="300" w:right="300"/>
      </w:pPr>
      <w:r>
        <w:rPr>
          <w:color w:val="004D40"/>
          <w:sz w:val="20"/>
          <w:szCs w:val="20"/>
        </w:rPr>
        <w:t xml:space="preserve">BLOCKS  •  SUPPLIES_TO  •  APPROVED_BY  •  IMPACTS  •  DEPENDS_ON  •  SUPERSEDES  •  CONFLICTS_WITH  •  DELIVERS_FOR  •  REVIEWS  •  ASSIGNED_TO  •  COORDINATES_WITH  •  ESCALATES_TO  •  PRECEDED_BY  •  PARALLEL_WITH  •  REQUIRES  •  SATISFIES  •  VERIFIES  •  CLOSES  •  MONITORS  •  TRIGGERS  •  OWNS  •  RAISED_BY  •  RESOLVED_BY  •  REFERENCES  •  SUPERSEDED_BY  •  MITIGATES  •  RAISES_RISK_TO  •  CLEARS  •  GATES  •  REPORTS_TO</w:t>
      </w:r>
    </w:p>
    <w:p>
      <w:pPr>
        <w:spacing w:after="120"/>
      </w:pPr>
      <w:r>
        <w:t xml:space="preserve"/>
      </w:r>
    </w:p>
    <w:p>
      <w:pPr>
        <w:spacing w:after="140" w:before="320"/>
      </w:pPr>
      <w:r>
        <w:rPr>
          <w:b/>
          <w:bCs/>
          <w:color w:val="1A5C2A"/>
          <w:sz w:val="26"/>
          <w:szCs w:val="26"/>
        </w:rPr>
        <w:t xml:space="preserve">Why It Changes the Architecture</w:t>
      </w:r>
    </w:p>
    <w:p>
      <w:pPr>
        <w:spacing w:after="100"/>
        <w:ind w:left="400"/>
      </w:pPr>
      <w:r>
        <w:rPr>
          <w:color w:val="37474F"/>
          <w:sz w:val="21"/>
          <w:szCs w:val="21"/>
        </w:rPr>
        <w:t xml:space="preserve">•  Impact Engine: instead of a proprietary dependency store, it traverses PIG edges to compute cascading impact of any event</w:t>
      </w:r>
    </w:p>
    <w:p>
      <w:pPr>
        <w:spacing w:after="100"/>
        <w:ind w:left="400"/>
      </w:pPr>
      <w:r>
        <w:rPr>
          <w:color w:val="37474F"/>
          <w:sz w:val="21"/>
          <w:szCs w:val="21"/>
        </w:rPr>
        <w:t xml:space="preserve">•  Synchronization &amp; Consistency Engine: detects contradictions by comparing CONFLICTS_WITH edge weights across related nodes</w:t>
      </w:r>
    </w:p>
    <w:p>
      <w:pPr>
        <w:spacing w:after="100"/>
        <w:ind w:left="400"/>
      </w:pPr>
      <w:r>
        <w:rPr>
          <w:color w:val="37474F"/>
          <w:sz w:val="21"/>
          <w:szCs w:val="21"/>
        </w:rPr>
        <w:t xml:space="preserve">•  Risk Engine: reads entity relationships from PIG — no separate risk linkage tables</w:t>
      </w:r>
    </w:p>
    <w:p>
      <w:pPr>
        <w:spacing w:after="100"/>
        <w:ind w:left="400"/>
      </w:pPr>
      <w:r>
        <w:rPr>
          <w:color w:val="37474F"/>
          <w:sz w:val="21"/>
          <w:szCs w:val="21"/>
        </w:rPr>
        <w:t xml:space="preserve">•  Simulation Engine: runs forward projections over PIG — "delay this node, propagate via DEPENDS_ON and BLOCKS edges"</w:t>
      </w:r>
    </w:p>
    <w:p>
      <w:pPr>
        <w:spacing w:after="100"/>
        <w:ind w:left="400"/>
      </w:pPr>
      <w:r>
        <w:rPr>
          <w:color w:val="37474F"/>
          <w:sz w:val="21"/>
          <w:szCs w:val="21"/>
        </w:rPr>
        <w:t xml:space="preserve">•  Recommendation Engine: synthesises all engine outputs into ranked actions, all referencing PIG entity IDs</w:t>
      </w:r>
    </w:p>
    <w:p>
      <w:pPr>
        <w:spacing w:after="120"/>
      </w:pPr>
      <w:r>
        <w:t xml:space="preserve"/>
      </w:r>
    </w:p>
    <w:p>
      <w:pPr>
        <w:spacing w:after="140" w:before="320"/>
      </w:pPr>
      <w:r>
        <w:rPr>
          <w:b/>
          <w:bCs/>
          <w:color w:val="1A5C2A"/>
          <w:sz w:val="26"/>
          <w:szCs w:val="26"/>
        </w:rPr>
        <w:t xml:space="preserve">The Palantir Foundry Parallel</w:t>
      </w:r>
    </w:p>
    <w:p>
      <w:pPr>
        <w:spacing w:after="160"/>
      </w:pPr>
      <w:r>
        <w:rPr>
          <w:color w:val="37474F"/>
          <w:sz w:val="22"/>
          <w:szCs w:val="22"/>
        </w:rPr>
        <w:t xml:space="preserve">Palantir Foundry is built on an Ontology — a typed property graph of enterprise objects and relationships. Green PM v5 implements the same architectural principle, purpose-built for EPC project delivery. The Foundry Ontology is general-purpose; the PIG is domain-specific — every node type, every edge type, every weight function is designed for project reality.</w:t>
      </w:r>
    </w:p>
    <w:p>
      <w:pPr>
        <w:spacing w:after="160"/>
      </w:pPr>
      <w:r>
        <w:rPr>
          <w:color w:val="37474F"/>
          <w:sz w:val="22"/>
          <w:szCs w:val="22"/>
        </w:rPr>
        <w:t xml:space="preserve">Implementation: PostgreSQL graph tables. Vertex AI Matching Engine for semantic search only. No proprietary graph database required — the relational model is sufficient at EPC project scale.</w:t>
      </w:r>
    </w:p>
    <w:p>
      <w:pPr>
        <w:spacing w:after="200"/>
      </w:pPr>
      <w:r>
        <w:t xml:space="preserve"/>
      </w:r>
    </w:p>
    <w:p>
      <w:pPr>
        <w:pBdr>
          <w:bottom w:val="single" w:color="2E7D32" w:sz="8"/>
        </w:pBdr>
        <w:spacing w:after="200" w:before="560"/>
      </w:pPr>
      <w:r>
        <w:rPr>
          <w:b/>
          <w:bCs/>
          <w:color w:val="2E7D32"/>
          <w:sz w:val="34"/>
          <w:szCs w:val="34"/>
        </w:rPr>
        <w:t xml:space="preserve">4. The Four New Engines</w:t>
      </w:r>
    </w:p>
    <w:p>
      <w:pPr>
        <w:pBdr>
          <w:left w:val="single" w:color="2E7D32" w:sz="12"/>
        </w:pBdr>
        <w:shd w:fill="E8F5E9" w:color="auto" w:val="clear"/>
        <w:spacing w:after="240" w:before="240"/>
        <w:ind w:left="480" w:right="480"/>
      </w:pPr>
      <w:r>
        <w:rPr>
          <w:b/>
          <w:bCs/>
          <w:color w:val="1A5C2A"/>
          <w:sz w:val="23"/>
          <w:szCs w:val="23"/>
        </w:rPr>
        <w:t xml:space="preserve">Discipline Test: every engine must (1) serve many domains, not one module, and (2) materially increase the probability of on-time, on-budget, quality delivery. If both tests are not met, it is a feature.</w:t>
      </w:r>
    </w:p>
    <w:p>
      <w:pPr>
        <w:spacing w:after="120"/>
      </w:pPr>
      <w:r>
        <w:t xml:space="preserve"/>
      </w:r>
    </w:p>
    <w:p>
      <w:pPr>
        <w:spacing w:after="140" w:before="320"/>
      </w:pPr>
      <w:r>
        <w:rPr>
          <w:b/>
          <w:bCs/>
          <w:color w:val="1A5C2A"/>
          <w:sz w:val="26"/>
          <w:szCs w:val="26"/>
        </w:rPr>
        <w:t xml:space="preserve">14. Readiness Engine</w:t>
      </w:r>
    </w:p>
    <w:p>
      <w:pPr>
        <w:spacing w:after="160"/>
      </w:pPr>
      <w:r>
        <w:rPr>
          <w:color w:val="37474F"/>
          <w:sz w:val="22"/>
          <w:szCs w:val="22"/>
        </w:rPr>
        <w:t xml:space="preserve">EPC executives do not think in progress percentages. They think in readiness: is this system ready to proceed? Progress at 85% tells you nothing about whether commissioning can start. Readiness tells you whether every prerequisite is met.</w:t>
      </w:r>
    </w:p>
    <w:p>
      <w:pPr>
        <w:spacing w:after="100" w:before="220"/>
      </w:pPr>
      <w:r>
        <w:rPr>
          <w:b/>
          <w:bCs/>
          <w:color w:val="37474F"/>
          <w:sz w:val="23"/>
          <w:szCs w:val="23"/>
        </w:rPr>
        <w:t xml:space="preserve">Six Readiness Gates:</w:t>
      </w:r>
    </w:p>
    <w:p>
      <w:pPr>
        <w:spacing w:after="100"/>
        <w:ind w:left="400"/>
      </w:pPr>
      <w:r>
        <w:rPr>
          <w:color w:val="37474F"/>
          <w:sz w:val="21"/>
          <w:szCs w:val="21"/>
        </w:rPr>
        <w:t xml:space="preserve">•  Engineering Readiness: all IFC drawings issued; all specifications approved</w:t>
      </w:r>
    </w:p>
    <w:p>
      <w:pPr>
        <w:spacing w:after="100"/>
        <w:ind w:left="400"/>
      </w:pPr>
      <w:r>
        <w:rPr>
          <w:color w:val="37474F"/>
          <w:sz w:val="21"/>
          <w:szCs w:val="21"/>
        </w:rPr>
        <w:t xml:space="preserve">•  Material Readiness: all materials on site; all inspections passed</w:t>
      </w:r>
    </w:p>
    <w:p>
      <w:pPr>
        <w:spacing w:after="100"/>
        <w:ind w:left="400"/>
      </w:pPr>
      <w:r>
        <w:rPr>
          <w:color w:val="37474F"/>
          <w:sz w:val="21"/>
          <w:szCs w:val="21"/>
        </w:rPr>
        <w:t xml:space="preserve">•  Construction Readiness: all prerequisites met; permits in place</w:t>
      </w:r>
    </w:p>
    <w:p>
      <w:pPr>
        <w:spacing w:after="100"/>
        <w:ind w:left="400"/>
      </w:pPr>
      <w:r>
        <w:rPr>
          <w:color w:val="37474F"/>
          <w:sz w:val="21"/>
          <w:szCs w:val="21"/>
        </w:rPr>
        <w:t xml:space="preserve">•  Quality Readiness: QA/QC protocols in place; inspection plans approved</w:t>
      </w:r>
    </w:p>
    <w:p>
      <w:pPr>
        <w:spacing w:after="100"/>
        <w:ind w:left="400"/>
      </w:pPr>
      <w:r>
        <w:rPr>
          <w:color w:val="37474F"/>
          <w:sz w:val="21"/>
          <w:szCs w:val="21"/>
        </w:rPr>
        <w:t xml:space="preserve">•  Commissioning Readiness: all systems complete; punch lists cleared</w:t>
      </w:r>
    </w:p>
    <w:p>
      <w:pPr>
        <w:spacing w:after="100"/>
        <w:ind w:left="400"/>
      </w:pPr>
      <w:r>
        <w:rPr>
          <w:color w:val="37474F"/>
          <w:sz w:val="21"/>
          <w:szCs w:val="21"/>
        </w:rPr>
        <w:t xml:space="preserve">•  COD Readiness: all handover documents signed; regulatory clearances obtained</w:t>
      </w:r>
    </w:p>
    <w:p>
      <w:pPr>
        <w:spacing w:after="120"/>
      </w:pPr>
      <w:r>
        <w:t xml:space="preserve"/>
      </w:r>
    </w:p>
    <w:p>
      <w:pPr>
        <w:spacing w:after="160"/>
      </w:pPr>
      <w:r>
        <w:rPr>
          <w:color w:val="37474F"/>
          <w:sz w:val="22"/>
          <w:szCs w:val="22"/>
        </w:rPr>
        <w:t xml:space="preserve">Each gate has structured criteria (checklist items), a completion percentage, a list of blocking items, and responsible parties. The Readiness Engine is queried by the Executive Digital Twin every Monday for the Project Command Centre.</w:t>
      </w:r>
    </w:p>
    <w:p>
      <w:pPr>
        <w:spacing w:after="100" w:before="220"/>
      </w:pPr>
      <w:r>
        <w:rPr>
          <w:b/>
          <w:bCs/>
          <w:color w:val="37474F"/>
          <w:sz w:val="23"/>
          <w:szCs w:val="23"/>
        </w:rPr>
        <w:t xml:space="preserve">Key Outputs: readiness_gates records, readiness_scores per entity, blocking items with assigned owners, gate completion percentages.</w:t>
      </w:r>
    </w:p>
    <w:p>
      <w:pPr>
        <w:spacing w:after="120"/>
      </w:pPr>
      <w:r>
        <w:t xml:space="preserve"/>
      </w:r>
    </w:p>
    <w:p>
      <w:pPr>
        <w:spacing w:after="160"/>
      </w:pPr>
      <w:r>
        <w:rPr>
          <w:color w:val="37474F"/>
          <w:sz w:val="22"/>
          <w:szCs w:val="22"/>
        </w:rPr>
        <w:t xml:space="preserve">Why it is an engine: Readiness spans engineering, supply chain, construction, quality, and commissioning simultaneously. Every domain feeds readiness status. And readiness gates directly determine whether a project can proceed to commissioning and COD — the highest-value commercial milestones.</w:t>
      </w:r>
    </w:p>
    <w:p>
      <w:pPr>
        <w:spacing w:after="200"/>
      </w:pPr>
      <w:r>
        <w:t xml:space="preserve"/>
      </w:r>
    </w:p>
    <w:p>
      <w:pPr>
        <w:spacing w:after="140" w:before="320"/>
      </w:pPr>
      <w:r>
        <w:rPr>
          <w:b/>
          <w:bCs/>
          <w:color w:val="1A5C2A"/>
          <w:sz w:val="26"/>
          <w:szCs w:val="26"/>
        </w:rPr>
        <w:t xml:space="preserve">15. Simulation Engine</w:t>
      </w:r>
    </w:p>
    <w:p>
      <w:pPr>
        <w:spacing w:after="160"/>
      </w:pPr>
      <w:r>
        <w:rPr>
          <w:color w:val="37474F"/>
          <w:sz w:val="22"/>
          <w:szCs w:val="22"/>
        </w:rPr>
        <w:t xml:space="preserve">"What if the vendor delays 3 weeks?" — In v4, answering this question required a PM to manually walk through the schedule. In v5, the Simulation Engine runs it in seconds.</w:t>
      </w:r>
    </w:p>
    <w:p>
      <w:pPr>
        <w:spacing w:after="100" w:before="220"/>
      </w:pPr>
      <w:r>
        <w:rPr>
          <w:b/>
          <w:bCs/>
          <w:color w:val="37474F"/>
          <w:sz w:val="23"/>
          <w:szCs w:val="23"/>
        </w:rPr>
        <w:t xml:space="preserve">How It Works:</w:t>
      </w:r>
    </w:p>
    <w:p>
      <w:pPr>
        <w:spacing w:after="160"/>
      </w:pPr>
      <w:r>
        <w:rPr>
          <w:color w:val="37474F"/>
          <w:sz w:val="22"/>
          <w:szCs w:val="22"/>
        </w:rPr>
        <w:t xml:space="preserve">The user specifies a perturbation against any PIG node ("Drawing delayed 3 weeks", "Vendor A quality score drops below 60", "Monsoon starts 2 weeks early"). The Simulation Engine applies the perturbation to a snapshot of the PIG, propagates it via BLOCKS, DEPENDS_ON, IMPACTS, and DELIVERS_FOR edges, and outputs:</w:t>
      </w:r>
    </w:p>
    <w:p>
      <w:pPr>
        <w:spacing w:after="100"/>
        <w:ind w:left="400"/>
      </w:pPr>
      <w:r>
        <w:rPr>
          <w:color w:val="37474F"/>
          <w:sz w:val="21"/>
          <w:szCs w:val="21"/>
        </w:rPr>
        <w:t xml:space="preserve">•  Revised schedule impact (delta days on critical path)</w:t>
      </w:r>
    </w:p>
    <w:p>
      <w:pPr>
        <w:spacing w:after="100"/>
        <w:ind w:left="400"/>
      </w:pPr>
      <w:r>
        <w:rPr>
          <w:color w:val="37474F"/>
          <w:sz w:val="21"/>
          <w:szCs w:val="21"/>
        </w:rPr>
        <w:t xml:space="preserve">•  Budget impact (delta cost in project currency)</w:t>
      </w:r>
    </w:p>
    <w:p>
      <w:pPr>
        <w:spacing w:after="100"/>
        <w:ind w:left="400"/>
      </w:pPr>
      <w:r>
        <w:rPr>
          <w:color w:val="37474F"/>
          <w:sz w:val="21"/>
          <w:szCs w:val="21"/>
        </w:rPr>
        <w:t xml:space="preserve">•  Critical path changes (new critical activities)</w:t>
      </w:r>
    </w:p>
    <w:p>
      <w:pPr>
        <w:spacing w:after="100"/>
        <w:ind w:left="400"/>
      </w:pPr>
      <w:r>
        <w:rPr>
          <w:color w:val="37474F"/>
          <w:sz w:val="21"/>
          <w:szCs w:val="21"/>
        </w:rPr>
        <w:t xml:space="preserve">•  Recommended mitigations (sourced from Organizational Memory Engine)</w:t>
      </w:r>
    </w:p>
    <w:p>
      <w:pPr>
        <w:spacing w:after="120"/>
      </w:pPr>
      <w:r>
        <w:t xml:space="preserve"/>
      </w:r>
    </w:p>
    <w:p>
      <w:pPr>
        <w:spacing w:after="160"/>
      </w:pPr>
      <w:r>
        <w:rPr>
          <w:color w:val="37474F"/>
          <w:sz w:val="22"/>
          <w:szCs w:val="22"/>
        </w:rPr>
        <w:t xml:space="preserve">Key scenarios modelled: vendor delay, monsoon start date, additional crew, scope change, resource reallocation, equipment delivery slip.</w:t>
      </w:r>
    </w:p>
    <w:p>
      <w:pPr>
        <w:spacing w:after="160"/>
      </w:pPr>
      <w:r>
        <w:rPr>
          <w:color w:val="37474F"/>
          <w:sz w:val="22"/>
          <w:szCs w:val="22"/>
        </w:rPr>
        <w:t xml:space="preserve">Why it is an engine: simulation is not a report — it is a full forward projection over the entire PIG, calibrated by historical patterns from the Organizational Memory Engine. No single module can provide this; it is a discipline that serves every project domain.</w:t>
      </w:r>
    </w:p>
    <w:p>
      <w:pPr>
        <w:spacing w:after="200"/>
      </w:pPr>
      <w:r>
        <w:t xml:space="preserve"/>
      </w:r>
    </w:p>
    <w:p>
      <w:pPr>
        <w:spacing w:after="140" w:before="320"/>
      </w:pPr>
      <w:r>
        <w:rPr>
          <w:b/>
          <w:bCs/>
          <w:color w:val="1A5C2A"/>
          <w:sz w:val="26"/>
          <w:szCs w:val="26"/>
        </w:rPr>
        <w:t xml:space="preserve">16. Coordination Engine</w:t>
      </w:r>
    </w:p>
    <w:p>
      <w:pPr>
        <w:spacing w:after="160"/>
      </w:pPr>
      <w:r>
        <w:rPr>
          <w:color w:val="37474F"/>
          <w:sz w:val="22"/>
          <w:szCs w:val="22"/>
        </w:rPr>
        <w:t xml:space="preserve">Green PM v4 generated perfect intelligence that nobody could verify was acted on. The gap between recommendation and verified action was the gap between an intelligence platform and an operating system.</w:t>
      </w:r>
    </w:p>
    <w:p>
      <w:pPr>
        <w:spacing w:after="100" w:before="220"/>
      </w:pPr>
      <w:r>
        <w:rPr>
          <w:b/>
          <w:bCs/>
          <w:color w:val="37474F"/>
          <w:sz w:val="23"/>
          <w:szCs w:val="23"/>
        </w:rPr>
        <w:t xml:space="preserve">The Coordination Pipeline:</w:t>
      </w:r>
    </w:p>
    <w:p>
      <w:pPr>
        <w:shd w:fill="E8F5E9" w:color="auto" w:val="clear"/>
        <w:spacing w:after="200" w:before="120"/>
        <w:ind w:left="300" w:right="300"/>
      </w:pPr>
      <w:r>
        <w:rPr>
          <w:b/>
          <w:bCs/>
          <w:color w:val="1A5C2A"/>
          <w:sz w:val="21"/>
          <w:szCs w:val="21"/>
        </w:rPr>
        <w:t xml:space="preserve">Event  →  Impact Assessment  →  Action Items  →  Notification  →  Acknowledgment  →  Execution  →  Verification  →  Closure</w:t>
      </w:r>
    </w:p>
    <w:p>
      <w:pPr>
        <w:spacing w:after="160"/>
      </w:pPr>
      <w:r>
        <w:rPr>
          <w:color w:val="37474F"/>
          <w:sz w:val="22"/>
          <w:szCs w:val="22"/>
        </w:rPr>
        <w:t xml:space="preserve">For every significant project event, the Coordination Engine creates coordination_items records tracking: was the notification acknowledged? Was the action taken? Was the outcome verified? Was the change lifecycle closed?</w:t>
      </w:r>
    </w:p>
    <w:p>
      <w:pPr>
        <w:spacing w:after="160"/>
      </w:pPr>
      <w:r>
        <w:rPr>
          <w:color w:val="37474F"/>
          <w:sz w:val="22"/>
          <w:szCs w:val="22"/>
        </w:rPr>
        <w:t xml:space="preserve">Without the Coordination Engine, Green PM is an intelligence tool. With it, Green PM is an operating system — every event has a verifiable close loop, and executives can see which actions were completed versus which stalled.</w:t>
      </w:r>
    </w:p>
    <w:p>
      <w:pPr>
        <w:spacing w:after="200"/>
      </w:pPr>
      <w:r>
        <w:t xml:space="preserve"/>
      </w:r>
    </w:p>
    <w:p>
      <w:pPr>
        <w:spacing w:after="140" w:before="320"/>
      </w:pPr>
      <w:r>
        <w:rPr>
          <w:b/>
          <w:bCs/>
          <w:color w:val="1A5C2A"/>
          <w:sz w:val="26"/>
          <w:szCs w:val="26"/>
        </w:rPr>
        <w:t xml:space="preserve">17. Organizational Memory Engine</w:t>
      </w:r>
    </w:p>
    <w:p>
      <w:pPr>
        <w:spacing w:after="160"/>
      </w:pPr>
      <w:r>
        <w:rPr>
          <w:color w:val="37474F"/>
          <w:sz w:val="22"/>
          <w:szCs w:val="22"/>
        </w:rPr>
        <w:t xml:space="preserve">Every EPC project generates institutional knowledge that is forgotten the moment the project closes. The Organizational Memory Engine captures and preserves it.</w:t>
      </w:r>
    </w:p>
    <w:p>
      <w:pPr>
        <w:spacing w:after="100" w:before="220"/>
      </w:pPr>
      <w:r>
        <w:rPr>
          <w:b/>
          <w:bCs/>
          <w:color w:val="37474F"/>
          <w:sz w:val="23"/>
          <w:szCs w:val="23"/>
        </w:rPr>
        <w:t xml:space="preserve">What It Remembers:</w:t>
      </w:r>
    </w:p>
    <w:p>
      <w:pPr>
        <w:spacing w:after="100"/>
        <w:ind w:left="400"/>
      </w:pPr>
      <w:r>
        <w:rPr>
          <w:color w:val="37474F"/>
          <w:sz w:val="21"/>
          <w:szCs w:val="21"/>
        </w:rPr>
        <w:t xml:space="preserve">•  Past decisions and their actual outcomes (not just what was decided — what happened)</w:t>
      </w:r>
    </w:p>
    <w:p>
      <w:pPr>
        <w:spacing w:after="100"/>
        <w:ind w:left="400"/>
      </w:pPr>
      <w:r>
        <w:rPr>
          <w:color w:val="37474F"/>
          <w:sz w:val="21"/>
          <w:szCs w:val="21"/>
        </w:rPr>
        <w:t xml:space="preserve">•  Vendor performance patterns and recovery histories across projects</w:t>
      </w:r>
    </w:p>
    <w:p>
      <w:pPr>
        <w:spacing w:after="100"/>
        <w:ind w:left="400"/>
      </w:pPr>
      <w:r>
        <w:rPr>
          <w:color w:val="37474F"/>
          <w:sz w:val="21"/>
          <w:szCs w:val="21"/>
        </w:rPr>
        <w:t xml:space="preserve">•  Schedule recovery strategies and their effectiveness</w:t>
      </w:r>
    </w:p>
    <w:p>
      <w:pPr>
        <w:spacing w:after="100"/>
        <w:ind w:left="400"/>
      </w:pPr>
      <w:r>
        <w:rPr>
          <w:color w:val="37474F"/>
          <w:sz w:val="21"/>
          <w:szCs w:val="21"/>
        </w:rPr>
        <w:t xml:space="preserve">•  Risk patterns and which mitigations worked</w:t>
      </w:r>
    </w:p>
    <w:p>
      <w:pPr>
        <w:spacing w:after="100"/>
        <w:ind w:left="400"/>
      </w:pPr>
      <w:r>
        <w:rPr>
          <w:color w:val="37474F"/>
          <w:sz w:val="21"/>
          <w:szCs w:val="21"/>
        </w:rPr>
        <w:t xml:space="preserve">•  Change types and their historical delay profiles</w:t>
      </w:r>
    </w:p>
    <w:p>
      <w:pPr>
        <w:spacing w:after="120"/>
      </w:pPr>
      <w:r>
        <w:t xml:space="preserve"/>
      </w:r>
    </w:p>
    <w:p>
      <w:pPr>
        <w:spacing w:after="100" w:before="220"/>
      </w:pPr>
      <w:r>
        <w:rPr>
          <w:b/>
          <w:bCs/>
          <w:color w:val="37474F"/>
          <w:sz w:val="23"/>
          <w:szCs w:val="23"/>
        </w:rPr>
        <w:t xml:space="preserve">What It Powers:</w:t>
      </w:r>
    </w:p>
    <w:p>
      <w:pPr>
        <w:spacing w:after="100"/>
        <w:ind w:left="400"/>
      </w:pPr>
      <w:r>
        <w:rPr>
          <w:color w:val="37474F"/>
          <w:sz w:val="21"/>
          <w:szCs w:val="21"/>
        </w:rPr>
        <w:t xml:space="preserve">•  Decision Engine institutional learning: "In 27 similar decisions, Option B reduced delay by 18%"</w:t>
      </w:r>
    </w:p>
    <w:p>
      <w:pPr>
        <w:spacing w:after="100"/>
        <w:ind w:left="400"/>
      </w:pPr>
      <w:r>
        <w:rPr>
          <w:color w:val="37474F"/>
          <w:sz w:val="21"/>
          <w:szCs w:val="21"/>
        </w:rPr>
        <w:t xml:space="preserve">•  Simulation Engine historical calibration: scenario projections are calibrated against actual outcomes</w:t>
      </w:r>
    </w:p>
    <w:p>
      <w:pPr>
        <w:spacing w:after="100"/>
        <w:ind w:left="400"/>
      </w:pPr>
      <w:r>
        <w:rPr>
          <w:color w:val="37474F"/>
          <w:sz w:val="21"/>
          <w:szCs w:val="21"/>
        </w:rPr>
        <w:t xml:space="preserve">•  Risk Engine pattern detection: new risks matched against memory_patterns table</w:t>
      </w:r>
    </w:p>
    <w:p>
      <w:pPr>
        <w:spacing w:after="120"/>
      </w:pPr>
      <w:r>
        <w:t xml:space="preserve"/>
      </w:r>
    </w:p>
    <w:p>
      <w:pPr>
        <w:spacing w:after="160"/>
      </w:pPr>
      <w:r>
        <w:rPr>
          <w:color w:val="37474F"/>
          <w:sz w:val="22"/>
          <w:szCs w:val="22"/>
        </w:rPr>
        <w:t xml:space="preserve">Why it is an engine: organisational memory is a capability, not a feature. It serves every other engine simultaneously and compounds over time — the longer Green PM runs, the more accurate every intelligence output becomes.</w:t>
      </w:r>
    </w:p>
    <w:p>
      <w:pPr>
        <w:spacing w:after="200"/>
      </w:pPr>
      <w:r>
        <w:t xml:space="preserve"/>
      </w:r>
    </w:p>
    <w:p>
      <w:pPr>
        <w:pBdr>
          <w:bottom w:val="single" w:color="2E7D32" w:sz="8"/>
        </w:pBdr>
        <w:spacing w:after="200" w:before="560"/>
      </w:pPr>
      <w:r>
        <w:rPr>
          <w:b/>
          <w:bCs/>
          <w:color w:val="2E7D32"/>
          <w:sz w:val="34"/>
          <w:szCs w:val="34"/>
        </w:rPr>
        <w:t xml:space="preserve">5. Product Identity — Every Clause Decoded</w:t>
      </w:r>
    </w:p>
    <w:p>
      <w:pPr>
        <w:pBdr>
          <w:left w:val="single" w:color="2E7D32" w:sz="12"/>
        </w:pBdr>
        <w:shd w:fill="E8F5E9" w:color="auto" w:val="clear"/>
        <w:spacing w:after="240" w:before="240"/>
        <w:ind w:left="480" w:right="480"/>
      </w:pPr>
      <w:r>
        <w:rPr>
          <w:b/>
          <w:bCs/>
          <w:color w:val="1A5C2A"/>
          <w:sz w:val="23"/>
          <w:szCs w:val="23"/>
        </w:rPr>
        <w:t xml:space="preserve">"Green PM continuously transforms every project event into synchronized project intelligence and actionable decisions."</w:t>
      </w:r>
    </w:p>
    <w:p>
      <w:pPr>
        <w:spacing w:after="160"/>
      </w:pPr>
      <w:r>
        <w:t xml:space="preserve"/>
      </w:r>
    </w:p>
    <w:p>
      <w:pPr>
        <w:spacing w:after="140" w:before="320"/>
      </w:pPr>
      <w:r>
        <w:rPr>
          <w:b/>
          <w:bCs/>
          <w:color w:val="1A5C2A"/>
          <w:sz w:val="26"/>
          <w:szCs w:val="26"/>
        </w:rPr>
        <w:t xml:space="preserve">"Green PM" — not the AI, not the engine</w:t>
      </w:r>
    </w:p>
    <w:p>
      <w:pPr>
        <w:spacing w:after="160"/>
      </w:pPr>
      <w:r>
        <w:rPr>
          <w:color w:val="37474F"/>
          <w:sz w:val="22"/>
          <w:szCs w:val="22"/>
        </w:rPr>
        <w:t xml:space="preserve">The product is the identity. Not "AI-powered Green PM". Not "Green PM's Recommendation Engine". The product performs the action. Users do not need to know which engine produced which output — they need to know that Green PM told them something true and actionable.</w:t>
      </w:r>
    </w:p>
    <w:p>
      <w:pPr>
        <w:spacing w:after="120"/>
      </w:pPr>
      <w:r>
        <w:t xml:space="preserve"/>
      </w:r>
    </w:p>
    <w:p>
      <w:pPr>
        <w:spacing w:after="140" w:before="320"/>
      </w:pPr>
      <w:r>
        <w:rPr>
          <w:b/>
          <w:bCs/>
          <w:color w:val="1A5C2A"/>
          <w:sz w:val="26"/>
          <w:szCs w:val="26"/>
        </w:rPr>
        <w:t xml:space="preserve">"continuously" — event-driven, not batch</w:t>
      </w:r>
    </w:p>
    <w:p>
      <w:pPr>
        <w:spacing w:after="160"/>
      </w:pPr>
      <w:r>
        <w:rPr>
          <w:color w:val="37474F"/>
          <w:sz w:val="22"/>
          <w:szCs w:val="22"/>
        </w:rPr>
        <w:t xml:space="preserve">Green PM does not run nightly batch processes. Every project event — a drawing revision, a vendor NCR, a schedule update, a dispatch confirmation — triggers real-time updates via Pub/Sub across all 17 engines. The PIG is updated within seconds of an event occurring. The Command Centre reflects the current state of reality, not yesterday's snapshot.</w:t>
      </w:r>
    </w:p>
    <w:p>
      <w:pPr>
        <w:spacing w:after="120"/>
      </w:pPr>
      <w:r>
        <w:t xml:space="preserve"/>
      </w:r>
    </w:p>
    <w:p>
      <w:pPr>
        <w:spacing w:after="140" w:before="320"/>
      </w:pPr>
      <w:r>
        <w:rPr>
          <w:b/>
          <w:bCs/>
          <w:color w:val="1A5C2A"/>
          <w:sz w:val="26"/>
          <w:szCs w:val="26"/>
        </w:rPr>
        <w:t xml:space="preserve">"transforms every project event" — all capture types</w:t>
      </w:r>
    </w:p>
    <w:p>
      <w:pPr>
        <w:spacing w:after="160"/>
      </w:pPr>
      <w:r>
        <w:rPr>
          <w:color w:val="37474F"/>
          <w:sz w:val="22"/>
          <w:szCs w:val="22"/>
        </w:rPr>
        <w:t xml:space="preserve">The Evidence Engine ingests 12 capture types: photos, videos, site notes, voice recordings, IoT sensor readings, document uploads, form submissions, system imports, manual entries, inspection records, approval signatures, and third-party integrations. No event falls outside the system.</w:t>
      </w:r>
    </w:p>
    <w:p>
      <w:pPr>
        <w:spacing w:after="120"/>
      </w:pPr>
      <w:r>
        <w:t xml:space="preserve"/>
      </w:r>
    </w:p>
    <w:p>
      <w:pPr>
        <w:spacing w:after="140" w:before="320"/>
      </w:pPr>
      <w:r>
        <w:rPr>
          <w:b/>
          <w:bCs/>
          <w:color w:val="1A5C2A"/>
          <w:sz w:val="26"/>
          <w:szCs w:val="26"/>
        </w:rPr>
        <w:t xml:space="preserve">"into synchronized project intelligence" — the PIG</w:t>
      </w:r>
    </w:p>
    <w:p>
      <w:pPr>
        <w:spacing w:after="160"/>
      </w:pPr>
      <w:r>
        <w:rPr>
          <w:color w:val="37474F"/>
          <w:sz w:val="22"/>
          <w:szCs w:val="22"/>
        </w:rPr>
        <w:t xml:space="preserve">Events are not stored as isolated records. They are transformed into PIG nodes and edges — typed, weighted, connected to every related entity. Drawing Rev D supersedes Drawing Rev C (SUPERSEDES edge). Vendor delay impacts Activity 14 (IMPACTS edge with weight reflecting severity). Change 47 requires Decision 12 (REQUIRES edge). The result is not a database of events; it is a living map of project reality.</w:t>
      </w:r>
    </w:p>
    <w:p>
      <w:pPr>
        <w:spacing w:after="120"/>
      </w:pPr>
      <w:r>
        <w:t xml:space="preserve"/>
      </w:r>
    </w:p>
    <w:p>
      <w:pPr>
        <w:spacing w:after="140" w:before="320"/>
      </w:pPr>
      <w:r>
        <w:rPr>
          <w:b/>
          <w:bCs/>
          <w:color w:val="1A5C2A"/>
          <w:sz w:val="26"/>
          <w:szCs w:val="26"/>
        </w:rPr>
        <w:t xml:space="preserve">"synchronized" — the Synchronization &amp; Consistency Engine</w:t>
      </w:r>
    </w:p>
    <w:p>
      <w:pPr>
        <w:spacing w:after="160"/>
      </w:pPr>
      <w:r>
        <w:rPr>
          <w:color w:val="37474F"/>
          <w:sz w:val="22"/>
          <w:szCs w:val="22"/>
        </w:rPr>
        <w:t xml:space="preserve">Synchronization is not just updating records. It is detecting when related entities are in contradiction — Drawing Rev D is IFC but Schedule still references Rev C. When such contradictions exist, the Synchronization &amp; Consistency Engine flags them and generates resolution recommendations before they cause field rework.</w:t>
      </w:r>
    </w:p>
    <w:p>
      <w:pPr>
        <w:spacing w:after="120"/>
      </w:pPr>
      <w:r>
        <w:t xml:space="preserve"/>
      </w:r>
    </w:p>
    <w:p>
      <w:pPr>
        <w:spacing w:after="140" w:before="320"/>
      </w:pPr>
      <w:r>
        <w:rPr>
          <w:b/>
          <w:bCs/>
          <w:color w:val="1A5C2A"/>
          <w:sz w:val="26"/>
          <w:szCs w:val="26"/>
        </w:rPr>
        <w:t xml:space="preserve">"actionable decisions" — the Coordination Engine closes the loop</w:t>
      </w:r>
    </w:p>
    <w:p>
      <w:pPr>
        <w:spacing w:after="160"/>
      </w:pPr>
      <w:r>
        <w:rPr>
          <w:color w:val="37474F"/>
          <w:sz w:val="22"/>
          <w:szCs w:val="22"/>
        </w:rPr>
        <w:t xml:space="preserve">Intelligence without action is a report. The Coordination Engine ensures that every recommendation is tracked to acknowledgment, execution, and verified closure. "Actionable" is not a UI aspiration — it is a pipeline enforced by the architecture.</w:t>
      </w:r>
    </w:p>
    <w:p>
      <w:pPr>
        <w:spacing w:after="200"/>
      </w:pPr>
      <w:r>
        <w:t xml:space="preserve"/>
      </w:r>
    </w:p>
    <w:p>
      <w:pPr>
        <w:pBdr>
          <w:bottom w:val="single" w:color="2E7D32" w:sz="8"/>
        </w:pBdr>
        <w:spacing w:after="200" w:before="560"/>
      </w:pPr>
      <w:r>
        <w:rPr>
          <w:b/>
          <w:bCs/>
          <w:color w:val="2E7D32"/>
          <w:sz w:val="34"/>
          <w:szCs w:val="34"/>
        </w:rPr>
        <w:t xml:space="preserve">6. The Palantir Comparison</w:t>
      </w:r>
    </w:p>
    <w:p>
      <w:pPr>
        <w:pBdr>
          <w:left w:val="single" w:color="2E7D32" w:sz="12"/>
        </w:pBdr>
        <w:shd w:fill="E8F5E9" w:color="auto" w:val="clear"/>
        <w:spacing w:after="240" w:before="240"/>
        <w:ind w:left="480" w:right="480"/>
      </w:pPr>
      <w:r>
        <w:rPr>
          <w:b/>
          <w:bCs/>
          <w:color w:val="1A5C2A"/>
          <w:sz w:val="23"/>
          <w:szCs w:val="23"/>
        </w:rPr>
        <w:t xml:space="preserve">"Palantir Foundry without the 18-month implementation."</w:t>
      </w:r>
    </w:p>
    <w:p>
      <w:pPr>
        <w:spacing w:after="120"/>
      </w:pPr>
      <w:r>
        <w:t xml:space="preserve"/>
      </w:r>
    </w:p>
    <w:p>
      <w:pPr>
        <w:spacing w:after="160"/>
      </w:pPr>
      <w:r>
        <w:rPr>
          <w:color w:val="37474F"/>
          <w:sz w:val="22"/>
          <w:szCs w:val="22"/>
        </w:rPr>
        <w:t xml:space="preserve">Palantir Foundry is the most sophisticated data intelligence platform in the enterprise market. Its architectural foundation — the Ontology, a typed property graph of enterprise objects — is conceptually identical to the Project Intelligence Graph. Foundry customers gain the ability to model any business domain as connected entities, query across them, and generate intelligence from the relationships.</w:t>
      </w:r>
    </w:p>
    <w:p>
      <w:pPr>
        <w:spacing w:after="120"/>
      </w:pPr>
      <w:r>
        <w:t xml:space="preserve"/>
      </w:r>
    </w:p>
    <w:p>
      <w:pPr>
        <w:spacing w:after="140" w:before="320"/>
      </w:pPr>
      <w:r>
        <w:rPr>
          <w:b/>
          <w:bCs/>
          <w:color w:val="1A5C2A"/>
          <w:sz w:val="26"/>
          <w:szCs w:val="26"/>
        </w:rPr>
        <w:t xml:space="preserve">What Foundry and Green PM v5 Share</w:t>
      </w:r>
    </w:p>
    <w:p>
      <w:pPr>
        <w:spacing w:after="100"/>
        <w:ind w:left="400"/>
      </w:pPr>
      <w:r>
        <w:rPr>
          <w:color w:val="37474F"/>
          <w:sz w:val="21"/>
          <w:szCs w:val="21"/>
        </w:rPr>
        <w:t xml:space="preserve">•  Typed property graph as the intelligence foundation</w:t>
      </w:r>
    </w:p>
    <w:p>
      <w:pPr>
        <w:spacing w:after="100"/>
        <w:ind w:left="400"/>
      </w:pPr>
      <w:r>
        <w:rPr>
          <w:color w:val="37474F"/>
          <w:sz w:val="21"/>
          <w:szCs w:val="21"/>
        </w:rPr>
        <w:t xml:space="preserve">•  All analytics query the same underlying ontology/graph</w:t>
      </w:r>
    </w:p>
    <w:p>
      <w:pPr>
        <w:spacing w:after="100"/>
        <w:ind w:left="400"/>
      </w:pPr>
      <w:r>
        <w:rPr>
          <w:color w:val="37474F"/>
          <w:sz w:val="21"/>
          <w:szCs w:val="21"/>
        </w:rPr>
        <w:t xml:space="preserve">•  Role-specific views over the same data model</w:t>
      </w:r>
    </w:p>
    <w:p>
      <w:pPr>
        <w:spacing w:after="100"/>
        <w:ind w:left="400"/>
      </w:pPr>
      <w:r>
        <w:rPr>
          <w:color w:val="37474F"/>
          <w:sz w:val="21"/>
          <w:szCs w:val="21"/>
        </w:rPr>
        <w:t xml:space="preserve">•  Simulation and scenario modelling over graph state</w:t>
      </w:r>
    </w:p>
    <w:p>
      <w:pPr>
        <w:spacing w:after="100"/>
        <w:ind w:left="400"/>
      </w:pPr>
      <w:r>
        <w:rPr>
          <w:color w:val="37474F"/>
          <w:sz w:val="21"/>
          <w:szCs w:val="21"/>
        </w:rPr>
        <w:t xml:space="preserve">•  Institutional memory that accumulates across projects/instances</w:t>
      </w:r>
    </w:p>
    <w:p>
      <w:pPr>
        <w:spacing w:after="120"/>
      </w:pPr>
      <w:r>
        <w:t xml:space="preserve"/>
      </w:r>
    </w:p>
    <w:p>
      <w:pPr>
        <w:spacing w:after="140" w:before="320"/>
      </w:pPr>
      <w:r>
        <w:rPr>
          <w:b/>
          <w:bCs/>
          <w:color w:val="1A5C2A"/>
          <w:sz w:val="26"/>
          <w:szCs w:val="26"/>
        </w:rPr>
        <w:t xml:space="preserve">What Makes Green PM v5 Different</w:t>
      </w:r>
    </w:p>
    <w:p>
      <w:pPr>
        <w:spacing w:after="100"/>
        <w:ind w:left="400"/>
      </w:pPr>
      <w:r>
        <w:rPr>
          <w:color w:val="37474F"/>
          <w:sz w:val="21"/>
          <w:szCs w:val="21"/>
        </w:rPr>
        <w:t xml:space="preserve">•  Domain specificity: every node type, edge type, and weight function is designed for EPC project delivery — Foundry is general-purpose</w:t>
      </w:r>
    </w:p>
    <w:p>
      <w:pPr>
        <w:spacing w:after="100"/>
        <w:ind w:left="400"/>
      </w:pPr>
      <w:r>
        <w:rPr>
          <w:color w:val="37474F"/>
          <w:sz w:val="21"/>
          <w:szCs w:val="21"/>
        </w:rPr>
        <w:t xml:space="preserve">•  Time to value: Green PM Studio onboards a new client in 14 days without code changes — Foundry requires 18+ months of professional services</w:t>
      </w:r>
    </w:p>
    <w:p>
      <w:pPr>
        <w:spacing w:after="100"/>
        <w:ind w:left="400"/>
      </w:pPr>
      <w:r>
        <w:rPr>
          <w:color w:val="37474F"/>
          <w:sz w:val="21"/>
          <w:szCs w:val="21"/>
        </w:rPr>
        <w:t xml:space="preserve">•  Commercial model: Green PM is a SaaS product — Foundry is a platform that requires a dedicated implementation team per client</w:t>
      </w:r>
    </w:p>
    <w:p>
      <w:pPr>
        <w:spacing w:after="100"/>
        <w:ind w:left="400"/>
      </w:pPr>
      <w:r>
        <w:rPr>
          <w:color w:val="37474F"/>
          <w:sz w:val="21"/>
          <w:szCs w:val="21"/>
        </w:rPr>
        <w:t xml:space="preserve">•  Engine architecture: Green PM's 17 engines implement EPC-specific intelligence disciplines — Foundry requires custom application build on top of the platform</w:t>
      </w:r>
    </w:p>
    <w:p>
      <w:pPr>
        <w:spacing w:after="120"/>
      </w:pPr>
      <w:r>
        <w:t xml:space="preserve"/>
      </w:r>
    </w:p>
    <w:p>
      <w:pPr>
        <w:spacing w:after="140" w:before="320"/>
      </w:pPr>
      <w:r>
        <w:rPr>
          <w:b/>
          <w:bCs/>
          <w:color w:val="1A5C2A"/>
          <w:sz w:val="26"/>
          <w:szCs w:val="26"/>
        </w:rPr>
        <w:t xml:space="preserve">The Positioning</w:t>
      </w:r>
    </w:p>
    <w:p>
      <w:pPr>
        <w:spacing w:after="160"/>
      </w:pPr>
      <w:r>
        <w:rPr>
          <w:color w:val="37474F"/>
          <w:sz w:val="22"/>
          <w:szCs w:val="22"/>
        </w:rPr>
        <w:t xml:space="preserve">Green PM v5 does not need to compete with Palantir in the general enterprise market. It does not need to compete with Oracle Primavera in the project scheduling market. It does not need to compete with Aconex in the document management market.</w:t>
      </w:r>
    </w:p>
    <w:p>
      <w:pPr>
        <w:spacing w:after="160"/>
      </w:pPr>
      <w:r>
        <w:rPr>
          <w:color w:val="37474F"/>
          <w:sz w:val="22"/>
          <w:szCs w:val="22"/>
        </w:rPr>
        <w:t xml:space="preserve">Green PM v5 is the first Engineering Project Operating System — a category it defines. The PIG is the architectural proof that this is not marketing language. A category claim requires a category-defining architecture. v5 has one.</w:t>
      </w:r>
    </w:p>
    <w:p>
      <w:pPr>
        <w:spacing w:after="160"/>
      </w:pPr>
      <w:r>
        <w:rPr>
          <w:color w:val="37474F"/>
          <w:sz w:val="22"/>
          <w:szCs w:val="22"/>
        </w:rPr>
        <w:t xml:space="preserve">The executable pitch: "Palantir Foundry for EPC projects — with onboarding in 14 days instead of 18 months."</w:t>
      </w:r>
    </w:p>
    <w:p>
      <w:pPr>
        <w:spacing w:after="200"/>
      </w:pPr>
      <w:r>
        <w:t xml:space="preserve"/>
      </w:r>
    </w:p>
    <w:p>
      <w:pPr>
        <w:pBdr>
          <w:bottom w:val="single" w:color="2E7D32" w:sz="8"/>
        </w:pBdr>
        <w:spacing w:after="200" w:before="560"/>
      </w:pPr>
      <w:r>
        <w:rPr>
          <w:b/>
          <w:bCs/>
          <w:color w:val="2E7D32"/>
          <w:sz w:val="34"/>
          <w:szCs w:val="34"/>
        </w:rPr>
        <w:t xml:space="preserve">7. Entity Workspace Philosophy</w:t>
      </w:r>
    </w:p>
    <w:p>
      <w:pPr>
        <w:spacing w:after="160"/>
      </w:pPr>
      <w:r>
        <w:rPr>
          <w:color w:val="37474F"/>
          <w:sz w:val="22"/>
          <w:szCs w:val="22"/>
        </w:rPr>
        <w:t xml:space="preserve">The defining UX principle of Green PM v5: open an entity — see everything. No navigation. No switching screens. Everything contextual, powered by PIG traversal from the opened entity outward.</w:t>
      </w:r>
    </w:p>
    <w:p>
      <w:pPr>
        <w:spacing w:after="120"/>
      </w:pPr>
      <w:r>
        <w:t xml:space="preserve"/>
      </w:r>
    </w:p>
    <w:p>
      <w:pPr>
        <w:pBdr>
          <w:left w:val="single" w:color="2E7D32" w:sz="12"/>
        </w:pBdr>
        <w:shd w:fill="E8F5E9" w:color="auto" w:val="clear"/>
        <w:spacing w:after="240" w:before="240"/>
        <w:ind w:left="480" w:right="480"/>
      </w:pPr>
      <w:r>
        <w:rPr>
          <w:b/>
          <w:bCs/>
          <w:color w:val="1A5C2A"/>
          <w:sz w:val="23"/>
          <w:szCs w:val="23"/>
        </w:rPr>
        <w:t xml:space="preserve">A PM opens Activity 47 and immediately sees: where it sits in the schedule, what must happen before it can start, what evidence has been captured, what risks are attached, what changes affect it, what vendor is supplying materials, and whether it is ready to proceed. One workspace. Zero navigation.</w:t>
      </w:r>
    </w:p>
    <w:p>
      <w:pPr>
        <w:spacing w:after="120"/>
      </w:pPr>
      <w:r>
        <w:t xml:space="preserve"/>
      </w:r>
    </w:p>
    <w:p>
      <w:pPr>
        <w:spacing w:after="160"/>
      </w:pPr>
      <w:r>
        <w:rPr>
          <w:color w:val="37474F"/>
          <w:sz w:val="22"/>
          <w:szCs w:val="22"/>
        </w:rPr>
        <w:t xml:space="preserve">This is architecturally possible only because of the PIG. Opening an Activity workspace triggers a traversal of all edges connected to that Activity node — PRECEDED_BY, REQUIRES, DEPENDS_ON, DELIVERS_FOR, BLOCKS, RISKS, CHANGES — and surfaces all connected entities in a structured layout. Without the PIG, this would require 8 separate database queries across 8 separate tables with 8 separate joins. With the PIG, it is a single graph traversal.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A5C2A" w:color="auto" w:val="clear"/>
            <w:tcMar>
              <w:top w:type="dxa" w:w="90"/>
              <w:left w:type="dxa" w:w="120"/>
              <w:bottom w:type="dxa" w:w="90"/>
              <w:right w:type="dxa" w:w="120"/>
            </w:tcMar>
          </w:tcPr>
          <w:p>
            <w:r>
              <w:rPr>
                <w:b/>
                <w:bCs/>
                <w:color w:val="FFFFFF"/>
                <w:sz w:val="20"/>
                <w:szCs w:val="20"/>
              </w:rPr>
              <w:t xml:space="preserve">Workspace Type</w:t>
            </w:r>
          </w:p>
        </w:tc>
        <w:tc>
          <w:tcPr>
            <w:tcW w:type="dxa" w:w="6560"/>
            <w:shd w:fill="1A5C2A" w:color="auto" w:val="clear"/>
            <w:tcMar>
              <w:top w:type="dxa" w:w="90"/>
              <w:left w:type="dxa" w:w="120"/>
              <w:bottom w:type="dxa" w:w="90"/>
              <w:right w:type="dxa" w:w="120"/>
            </w:tcMar>
          </w:tcPr>
          <w:p>
            <w:r>
              <w:rPr>
                <w:b/>
                <w:bCs/>
                <w:color w:val="FFFFFF"/>
                <w:sz w:val="20"/>
                <w:szCs w:val="20"/>
              </w:rPr>
              <w:t xml:space="preserve">What Appears When Opened</w:t>
            </w:r>
          </w:p>
        </w:tc>
      </w:tr>
      <w:tr>
        <w:tc>
          <w:tcPr>
            <w:tcW w:type="dxa" w:w="2800"/>
            <w:shd w:fill="FFFFFF" w:color="auto" w:val="clear"/>
            <w:tcMar>
              <w:top w:type="dxa" w:w="70"/>
              <w:left w:type="dxa" w:w="120"/>
              <w:bottom w:type="dxa" w:w="70"/>
              <w:right w:type="dxa" w:w="120"/>
            </w:tcMar>
          </w:tcPr>
          <w:p>
            <w:r>
              <w:rPr>
                <w:color w:val="37474F"/>
                <w:sz w:val="19"/>
                <w:szCs w:val="19"/>
              </w:rPr>
              <w:t xml:space="preserve">Activity Workspace</w:t>
            </w:r>
          </w:p>
        </w:tc>
        <w:tc>
          <w:tcPr>
            <w:tcW w:type="dxa" w:w="6560"/>
            <w:shd w:fill="FFFFFF" w:color="auto" w:val="clear"/>
            <w:tcMar>
              <w:top w:type="dxa" w:w="70"/>
              <w:left w:type="dxa" w:w="120"/>
              <w:bottom w:type="dxa" w:w="70"/>
              <w:right w:type="dxa" w:w="120"/>
            </w:tcMar>
          </w:tcPr>
          <w:p>
            <w:r>
              <w:rPr>
                <w:color w:val="37474F"/>
                <w:sz w:val="19"/>
                <w:szCs w:val="19"/>
              </w:rPr>
              <w:t xml:space="preserve">Schedule position, predecessor/successor chain, evidence trail, risks, changes, drawing requirements, vendor dependencies, readiness status, coordination items, decisions</w:t>
            </w:r>
          </w:p>
        </w:tc>
      </w:tr>
      <w:tr>
        <w:tc>
          <w:tcPr>
            <w:tcW w:type="dxa" w:w="2800"/>
            <w:shd w:fill="F1F8E9" w:color="auto" w:val="clear"/>
            <w:tcMar>
              <w:top w:type="dxa" w:w="70"/>
              <w:left w:type="dxa" w:w="120"/>
              <w:bottom w:type="dxa" w:w="70"/>
              <w:right w:type="dxa" w:w="120"/>
            </w:tcMar>
          </w:tcPr>
          <w:p>
            <w:r>
              <w:rPr>
                <w:color w:val="37474F"/>
                <w:sz w:val="19"/>
                <w:szCs w:val="19"/>
              </w:rPr>
              <w:t xml:space="preserve">Drawing Workspace</w:t>
            </w:r>
          </w:p>
        </w:tc>
        <w:tc>
          <w:tcPr>
            <w:tcW w:type="dxa" w:w="6560"/>
            <w:shd w:fill="F1F8E9" w:color="auto" w:val="clear"/>
            <w:tcMar>
              <w:top w:type="dxa" w:w="70"/>
              <w:left w:type="dxa" w:w="120"/>
              <w:bottom w:type="dxa" w:w="70"/>
              <w:right w:type="dxa" w:w="120"/>
            </w:tcMar>
          </w:tcPr>
          <w:p>
            <w:r>
              <w:rPr>
                <w:color w:val="37474F"/>
                <w:sz w:val="19"/>
                <w:szCs w:val="19"/>
              </w:rPr>
              <w:t xml:space="preserve">Current revision, all revisions, RFI log, impacted activities, materials specified, vendor documentation, approval chain, distribution list, consistency alerts</w:t>
            </w:r>
          </w:p>
        </w:tc>
      </w:tr>
      <w:tr>
        <w:tc>
          <w:tcPr>
            <w:tcW w:type="dxa" w:w="2800"/>
            <w:shd w:fill="FFFFFF" w:color="auto" w:val="clear"/>
            <w:tcMar>
              <w:top w:type="dxa" w:w="70"/>
              <w:left w:type="dxa" w:w="120"/>
              <w:bottom w:type="dxa" w:w="70"/>
              <w:right w:type="dxa" w:w="120"/>
            </w:tcMar>
          </w:tcPr>
          <w:p>
            <w:r>
              <w:rPr>
                <w:color w:val="37474F"/>
                <w:sz w:val="19"/>
                <w:szCs w:val="19"/>
              </w:rPr>
              <w:t xml:space="preserve">Equipment Workspace</w:t>
            </w:r>
          </w:p>
        </w:tc>
        <w:tc>
          <w:tcPr>
            <w:tcW w:type="dxa" w:w="6560"/>
            <w:shd w:fill="FFFFFF" w:color="auto" w:val="clear"/>
            <w:tcMar>
              <w:top w:type="dxa" w:w="70"/>
              <w:left w:type="dxa" w:w="120"/>
              <w:bottom w:type="dxa" w:w="70"/>
              <w:right w:type="dxa" w:w="120"/>
            </w:tcMar>
          </w:tcPr>
          <w:p>
            <w:r>
              <w:rPr>
                <w:color w:val="37474F"/>
                <w:sz w:val="19"/>
                <w:szCs w:val="19"/>
              </w:rPr>
              <w:t xml:space="preserve">Tag number, design spec, purchase order, vendor, FAT status, shipment, installation activity, commissioning activities, QA inspection records, spare parts</w:t>
            </w:r>
          </w:p>
        </w:tc>
      </w:tr>
      <w:tr>
        <w:tc>
          <w:tcPr>
            <w:tcW w:type="dxa" w:w="2800"/>
            <w:shd w:fill="F1F8E9" w:color="auto" w:val="clear"/>
            <w:tcMar>
              <w:top w:type="dxa" w:w="70"/>
              <w:left w:type="dxa" w:w="120"/>
              <w:bottom w:type="dxa" w:w="70"/>
              <w:right w:type="dxa" w:w="120"/>
            </w:tcMar>
          </w:tcPr>
          <w:p>
            <w:r>
              <w:rPr>
                <w:color w:val="37474F"/>
                <w:sz w:val="19"/>
                <w:szCs w:val="19"/>
              </w:rPr>
              <w:t xml:space="preserve">Vendor Workspace</w:t>
            </w:r>
          </w:p>
        </w:tc>
        <w:tc>
          <w:tcPr>
            <w:tcW w:type="dxa" w:w="6560"/>
            <w:shd w:fill="F1F8E9" w:color="auto" w:val="clear"/>
            <w:tcMar>
              <w:top w:type="dxa" w:w="70"/>
              <w:left w:type="dxa" w:w="120"/>
              <w:bottom w:type="dxa" w:w="70"/>
              <w:right w:type="dxa" w:w="120"/>
            </w:tcMar>
          </w:tcPr>
          <w:p>
            <w:r>
              <w:rPr>
                <w:color w:val="37474F"/>
                <w:sz w:val="19"/>
                <w:szCs w:val="19"/>
              </w:rPr>
              <w:t xml:space="preserve">All deliverables, performance scores (6 dimensions), contract milestones, dispatch schedule, NCRs, correspondence, payment status, causal attribution</w:t>
            </w:r>
          </w:p>
        </w:tc>
      </w:tr>
      <w:tr>
        <w:tc>
          <w:tcPr>
            <w:tcW w:type="dxa" w:w="2800"/>
            <w:shd w:fill="FFFFFF" w:color="auto" w:val="clear"/>
            <w:tcMar>
              <w:top w:type="dxa" w:w="70"/>
              <w:left w:type="dxa" w:w="120"/>
              <w:bottom w:type="dxa" w:w="70"/>
              <w:right w:type="dxa" w:w="120"/>
            </w:tcMar>
          </w:tcPr>
          <w:p>
            <w:r>
              <w:rPr>
                <w:color w:val="37474F"/>
                <w:sz w:val="19"/>
                <w:szCs w:val="19"/>
              </w:rPr>
              <w:t xml:space="preserve">Change Workspace</w:t>
            </w:r>
          </w:p>
        </w:tc>
        <w:tc>
          <w:tcPr>
            <w:tcW w:type="dxa" w:w="6560"/>
            <w:shd w:fill="FFFFFF" w:color="auto" w:val="clear"/>
            <w:tcMar>
              <w:top w:type="dxa" w:w="70"/>
              <w:left w:type="dxa" w:w="120"/>
              <w:bottom w:type="dxa" w:w="70"/>
              <w:right w:type="dxa" w:w="120"/>
            </w:tcMar>
          </w:tcPr>
          <w:p>
            <w:r>
              <w:rPr>
                <w:color w:val="37474F"/>
                <w:sz w:val="19"/>
                <w:szCs w:val="19"/>
              </w:rPr>
              <w:t xml:space="preserve">Originating event, impact assessment, affected activities (PIG traversal), affected drawings, approval chain, coordination items, cost impact, schedule impact</w:t>
            </w:r>
          </w:p>
        </w:tc>
      </w:tr>
      <w:tr>
        <w:tc>
          <w:tcPr>
            <w:tcW w:type="dxa" w:w="2800"/>
            <w:shd w:fill="F1F8E9" w:color="auto" w:val="clear"/>
            <w:tcMar>
              <w:top w:type="dxa" w:w="70"/>
              <w:left w:type="dxa" w:w="120"/>
              <w:bottom w:type="dxa" w:w="70"/>
              <w:right w:type="dxa" w:w="120"/>
            </w:tcMar>
          </w:tcPr>
          <w:p>
            <w:r>
              <w:rPr>
                <w:color w:val="37474F"/>
                <w:sz w:val="19"/>
                <w:szCs w:val="19"/>
              </w:rPr>
              <w:t xml:space="preserve">Decision Workspace</w:t>
            </w:r>
          </w:p>
        </w:tc>
        <w:tc>
          <w:tcPr>
            <w:tcW w:type="dxa" w:w="6560"/>
            <w:shd w:fill="F1F8E9" w:color="auto" w:val="clear"/>
            <w:tcMar>
              <w:top w:type="dxa" w:w="70"/>
              <w:left w:type="dxa" w:w="120"/>
              <w:bottom w:type="dxa" w:w="70"/>
              <w:right w:type="dxa" w:w="120"/>
            </w:tcMar>
          </w:tcPr>
          <w:p>
            <w:r>
              <w:rPr>
                <w:color w:val="37474F"/>
                <w:sz w:val="19"/>
                <w:szCs w:val="19"/>
              </w:rPr>
              <w:t xml:space="preserve">Decision record, options considered, evidence basis, approvers, outcome, implementation tracking, institutional memory links</w:t>
            </w:r>
          </w:p>
        </w:tc>
      </w:tr>
      <w:tr>
        <w:tc>
          <w:tcPr>
            <w:tcW w:type="dxa" w:w="2800"/>
            <w:shd w:fill="FFFFFF" w:color="auto" w:val="clear"/>
            <w:tcMar>
              <w:top w:type="dxa" w:w="70"/>
              <w:left w:type="dxa" w:w="120"/>
              <w:bottom w:type="dxa" w:w="70"/>
              <w:right w:type="dxa" w:w="120"/>
            </w:tcMar>
          </w:tcPr>
          <w:p>
            <w:r>
              <w:rPr>
                <w:color w:val="37474F"/>
                <w:sz w:val="19"/>
                <w:szCs w:val="19"/>
              </w:rPr>
              <w:t xml:space="preserve">Risk Workspace</w:t>
            </w:r>
          </w:p>
        </w:tc>
        <w:tc>
          <w:tcPr>
            <w:tcW w:type="dxa" w:w="6560"/>
            <w:shd w:fill="FFFFFF" w:color="auto" w:val="clear"/>
            <w:tcMar>
              <w:top w:type="dxa" w:w="70"/>
              <w:left w:type="dxa" w:w="120"/>
              <w:bottom w:type="dxa" w:w="70"/>
              <w:right w:type="dxa" w:w="120"/>
            </w:tcMar>
          </w:tcPr>
          <w:p>
            <w:r>
              <w:rPr>
                <w:color w:val="37474F"/>
                <w:sz w:val="19"/>
                <w:szCs w:val="19"/>
              </w:rPr>
              <w:t xml:space="preserve">Risk description, probability/impact, mitigation plan, trigger indicators, monitoring cadence, linked activities, linked changes, historical similar risks</w:t>
            </w:r>
          </w:p>
        </w:tc>
      </w:tr>
      <w:tr>
        <w:tc>
          <w:tcPr>
            <w:tcW w:type="dxa" w:w="2800"/>
            <w:shd w:fill="F1F8E9" w:color="auto" w:val="clear"/>
            <w:tcMar>
              <w:top w:type="dxa" w:w="70"/>
              <w:left w:type="dxa" w:w="120"/>
              <w:bottom w:type="dxa" w:w="70"/>
              <w:right w:type="dxa" w:w="120"/>
            </w:tcMar>
          </w:tcPr>
          <w:p>
            <w:r>
              <w:rPr>
                <w:color w:val="37474F"/>
                <w:sz w:val="19"/>
                <w:szCs w:val="19"/>
              </w:rPr>
              <w:t xml:space="preserve">Shipment Workspace</w:t>
            </w:r>
          </w:p>
        </w:tc>
        <w:tc>
          <w:tcPr>
            <w:tcW w:type="dxa" w:w="6560"/>
            <w:shd w:fill="F1F8E9" w:color="auto" w:val="clear"/>
            <w:tcMar>
              <w:top w:type="dxa" w:w="70"/>
              <w:left w:type="dxa" w:w="120"/>
              <w:bottom w:type="dxa" w:w="70"/>
              <w:right w:type="dxa" w:w="120"/>
            </w:tcMar>
          </w:tcPr>
          <w:p>
            <w:r>
              <w:rPr>
                <w:color w:val="37474F"/>
                <w:sz w:val="19"/>
                <w:szCs w:val="19"/>
              </w:rPr>
              <w:t xml:space="preserve">Material description, PO reference, vendor, dispatch date, current location, ETA, inspection status, receiving confirmation, storage location, installation activity</w:t>
            </w:r>
          </w:p>
        </w:tc>
      </w:tr>
      <w:tr>
        <w:tc>
          <w:tcPr>
            <w:tcW w:type="dxa" w:w="2800"/>
            <w:shd w:fill="FFFFFF" w:color="auto" w:val="clear"/>
            <w:tcMar>
              <w:top w:type="dxa" w:w="70"/>
              <w:left w:type="dxa" w:w="120"/>
              <w:bottom w:type="dxa" w:w="70"/>
              <w:right w:type="dxa" w:w="120"/>
            </w:tcMar>
          </w:tcPr>
          <w:p>
            <w:r>
              <w:rPr>
                <w:color w:val="37474F"/>
                <w:sz w:val="19"/>
                <w:szCs w:val="19"/>
              </w:rPr>
              <w:t xml:space="preserve">Package Workspace</w:t>
            </w:r>
          </w:p>
        </w:tc>
        <w:tc>
          <w:tcPr>
            <w:tcW w:type="dxa" w:w="6560"/>
            <w:shd w:fill="FFFFFF" w:color="auto" w:val="clear"/>
            <w:tcMar>
              <w:top w:type="dxa" w:w="70"/>
              <w:left w:type="dxa" w:w="120"/>
              <w:bottom w:type="dxa" w:w="70"/>
              <w:right w:type="dxa" w:w="120"/>
            </w:tcMar>
          </w:tcPr>
          <w:p>
            <w:r>
              <w:rPr>
                <w:color w:val="37474F"/>
                <w:sz w:val="19"/>
                <w:szCs w:val="19"/>
              </w:rPr>
              <w:t xml:space="preserve">All items in package, procurement status, vendor, drawing requirements, MTO status, bulk/tagged breakdown</w:t>
            </w:r>
          </w:p>
        </w:tc>
      </w:tr>
      <w:tr>
        <w:tc>
          <w:tcPr>
            <w:tcW w:type="dxa" w:w="2800"/>
            <w:shd w:fill="F1F8E9" w:color="auto" w:val="clear"/>
            <w:tcMar>
              <w:top w:type="dxa" w:w="70"/>
              <w:left w:type="dxa" w:w="120"/>
              <w:bottom w:type="dxa" w:w="70"/>
              <w:right w:type="dxa" w:w="120"/>
            </w:tcMar>
          </w:tcPr>
          <w:p>
            <w:r>
              <w:rPr>
                <w:color w:val="37474F"/>
                <w:sz w:val="19"/>
                <w:szCs w:val="19"/>
              </w:rPr>
              <w:t xml:space="preserve">WBS Workspace</w:t>
            </w:r>
          </w:p>
        </w:tc>
        <w:tc>
          <w:tcPr>
            <w:tcW w:type="dxa" w:w="6560"/>
            <w:shd w:fill="F1F8E9" w:color="auto" w:val="clear"/>
            <w:tcMar>
              <w:top w:type="dxa" w:w="70"/>
              <w:left w:type="dxa" w:w="120"/>
              <w:bottom w:type="dxa" w:w="70"/>
              <w:right w:type="dxa" w:w="120"/>
            </w:tcMar>
          </w:tcPr>
          <w:p>
            <w:r>
              <w:rPr>
                <w:color w:val="37474F"/>
                <w:sz w:val="19"/>
                <w:szCs w:val="19"/>
              </w:rPr>
              <w:t xml:space="preserve">All activities in WBS element, progress rollup, evidence score rollup, cost rollup, resource loading, risk exposure, readiness status</w:t>
            </w:r>
          </w:p>
        </w:tc>
      </w:tr>
    </w:tbl>
    <w:p>
      <w:pPr>
        <w:spacing w:after="200"/>
      </w:pPr>
      <w:r>
        <w:t xml:space="preserve"/>
      </w:r>
    </w:p>
    <w:p>
      <w:pPr>
        <w:pBdr>
          <w:bottom w:val="single" w:color="2E7D32" w:sz="8"/>
        </w:pBdr>
        <w:spacing w:after="200" w:before="560"/>
      </w:pPr>
      <w:r>
        <w:rPr>
          <w:b/>
          <w:bCs/>
          <w:color w:val="2E7D32"/>
          <w:sz w:val="34"/>
          <w:szCs w:val="34"/>
        </w:rPr>
        <w:t xml:space="preserve">8. AI as Infrastructure: The Invisibility Rule</w:t>
      </w:r>
    </w:p>
    <w:p>
      <w:pPr>
        <w:pBdr>
          <w:left w:val="single" w:color="2E7D32" w:sz="12"/>
        </w:pBdr>
        <w:shd w:fill="E8F5E9" w:color="auto" w:val="clear"/>
        <w:spacing w:after="240" w:before="240"/>
        <w:ind w:left="480" w:right="480"/>
      </w:pPr>
      <w:r>
        <w:rPr>
          <w:b/>
          <w:bCs/>
          <w:color w:val="1A5C2A"/>
          <w:sz w:val="23"/>
          <w:szCs w:val="23"/>
        </w:rPr>
        <w:t xml:space="preserve">The moment a user sees "AI" in the UI, Green PM becomes a tool they need to manage. The moment it is invisible, Green PM becomes the system they trust.</w:t>
      </w:r>
    </w:p>
    <w:p>
      <w:pPr>
        <w:spacing w:after="120"/>
      </w:pPr>
      <w:r>
        <w:t xml:space="preserve"/>
      </w:r>
    </w:p>
    <w:p>
      <w:pPr>
        <w:spacing w:after="160"/>
      </w:pPr>
      <w:r>
        <w:rPr>
          <w:color w:val="37474F"/>
          <w:sz w:val="22"/>
          <w:szCs w:val="22"/>
        </w:rPr>
        <w:t xml:space="preserve">Green PM v5 enforces a hard rule: AI is infrastructure, not a feature. The Claude API (claude-sonnet-4-6) powers confidence scoring, narrative generation, and the AI Copilot. It is never named. No engine names appear in the UI. The single AI identity is "Green PM" — or in conversational contexts, "Ask Green PM."</w:t>
      </w:r>
    </w:p>
    <w:p>
      <w:pPr>
        <w:spacing w:after="120"/>
      </w:pPr>
      <w:r>
        <w:t xml:space="preserve"/>
      </w:r>
    </w:p>
    <w:p>
      <w:pPr>
        <w:spacing w:after="140" w:before="320"/>
      </w:pPr>
      <w:r>
        <w:rPr>
          <w:b/>
          <w:bCs/>
          <w:color w:val="1A5C2A"/>
          <w:sz w:val="26"/>
          <w:szCs w:val="26"/>
        </w:rPr>
        <w:t xml:space="preserve">UI Verbs That Replace "AI Did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5C2A" w:color="auto" w:val="clear"/>
            <w:tcMar>
              <w:top w:type="dxa" w:w="90"/>
              <w:left w:type="dxa" w:w="120"/>
              <w:bottom w:type="dxa" w:w="90"/>
              <w:right w:type="dxa" w:w="120"/>
            </w:tcMar>
          </w:tcPr>
          <w:p>
            <w:r>
              <w:rPr>
                <w:b/>
                <w:bCs/>
                <w:color w:val="FFFFFF"/>
                <w:sz w:val="20"/>
                <w:szCs w:val="20"/>
              </w:rPr>
              <w:t xml:space="preserve">What the User Sees</w:t>
            </w:r>
          </w:p>
        </w:tc>
        <w:tc>
          <w:tcPr>
            <w:tcW w:type="dxa" w:w="6960"/>
            <w:shd w:fill="1A5C2A" w:color="auto" w:val="clear"/>
            <w:tcMar>
              <w:top w:type="dxa" w:w="90"/>
              <w:left w:type="dxa" w:w="120"/>
              <w:bottom w:type="dxa" w:w="90"/>
              <w:right w:type="dxa" w:w="120"/>
            </w:tcMar>
          </w:tcPr>
          <w:p>
            <w:r>
              <w:rPr>
                <w:b/>
                <w:bCs/>
                <w:color w:val="FFFFFF"/>
                <w:sz w:val="20"/>
                <w:szCs w:val="20"/>
              </w:rPr>
              <w:t xml:space="preserve">What Green PM Is Actually Doing</w:t>
            </w:r>
          </w:p>
        </w:tc>
      </w:tr>
      <w:tr>
        <w:tc>
          <w:tcPr>
            <w:tcW w:type="dxa" w:w="2400"/>
            <w:shd w:fill="FFFFFF" w:color="auto" w:val="clear"/>
            <w:tcMar>
              <w:top w:type="dxa" w:w="70"/>
              <w:left w:type="dxa" w:w="120"/>
              <w:bottom w:type="dxa" w:w="70"/>
              <w:right w:type="dxa" w:w="120"/>
            </w:tcMar>
          </w:tcPr>
          <w:p>
            <w:r>
              <w:rPr>
                <w:color w:val="37474F"/>
                <w:sz w:val="19"/>
                <w:szCs w:val="19"/>
              </w:rPr>
              <w:t xml:space="preserve">Explain</w:t>
            </w:r>
          </w:p>
        </w:tc>
        <w:tc>
          <w:tcPr>
            <w:tcW w:type="dxa" w:w="6960"/>
            <w:shd w:fill="FFFFFF" w:color="auto" w:val="clear"/>
            <w:tcMar>
              <w:top w:type="dxa" w:w="70"/>
              <w:left w:type="dxa" w:w="120"/>
              <w:bottom w:type="dxa" w:w="70"/>
              <w:right w:type="dxa" w:w="120"/>
            </w:tcMar>
          </w:tcPr>
          <w:p>
            <w:r>
              <w:rPr>
                <w:color w:val="37474F"/>
                <w:sz w:val="19"/>
                <w:szCs w:val="19"/>
              </w:rPr>
              <w:t xml:space="preserve">AI Orchestration Engine routes the query to the appropriate engines and synthesises an evidence-backed narrative</w:t>
            </w:r>
          </w:p>
        </w:tc>
      </w:tr>
      <w:tr>
        <w:tc>
          <w:tcPr>
            <w:tcW w:type="dxa" w:w="2400"/>
            <w:shd w:fill="F1F8E9" w:color="auto" w:val="clear"/>
            <w:tcMar>
              <w:top w:type="dxa" w:w="70"/>
              <w:left w:type="dxa" w:w="120"/>
              <w:bottom w:type="dxa" w:w="70"/>
              <w:right w:type="dxa" w:w="120"/>
            </w:tcMar>
          </w:tcPr>
          <w:p>
            <w:r>
              <w:rPr>
                <w:color w:val="37474F"/>
                <w:sz w:val="19"/>
                <w:szCs w:val="19"/>
              </w:rPr>
              <w:t xml:space="preserve">Predict</w:t>
            </w:r>
          </w:p>
        </w:tc>
        <w:tc>
          <w:tcPr>
            <w:tcW w:type="dxa" w:w="6960"/>
            <w:shd w:fill="F1F8E9" w:color="auto" w:val="clear"/>
            <w:tcMar>
              <w:top w:type="dxa" w:w="70"/>
              <w:left w:type="dxa" w:w="120"/>
              <w:bottom w:type="dxa" w:w="70"/>
              <w:right w:type="dxa" w:w="120"/>
            </w:tcMar>
          </w:tcPr>
          <w:p>
            <w:r>
              <w:rPr>
                <w:color w:val="37474F"/>
                <w:sz w:val="19"/>
                <w:szCs w:val="19"/>
              </w:rPr>
              <w:t xml:space="preserve">Forecasting Engine generates a multi-domain projection calibrated by Organizational Memory Engine</w:t>
            </w:r>
          </w:p>
        </w:tc>
      </w:tr>
      <w:tr>
        <w:tc>
          <w:tcPr>
            <w:tcW w:type="dxa" w:w="2400"/>
            <w:shd w:fill="FFFFFF" w:color="auto" w:val="clear"/>
            <w:tcMar>
              <w:top w:type="dxa" w:w="70"/>
              <w:left w:type="dxa" w:w="120"/>
              <w:bottom w:type="dxa" w:w="70"/>
              <w:right w:type="dxa" w:w="120"/>
            </w:tcMar>
          </w:tcPr>
          <w:p>
            <w:r>
              <w:rPr>
                <w:color w:val="37474F"/>
                <w:sz w:val="19"/>
                <w:szCs w:val="19"/>
              </w:rPr>
              <w:t xml:space="preserve">Recommend</w:t>
            </w:r>
          </w:p>
        </w:tc>
        <w:tc>
          <w:tcPr>
            <w:tcW w:type="dxa" w:w="6960"/>
            <w:shd w:fill="FFFFFF" w:color="auto" w:val="clear"/>
            <w:tcMar>
              <w:top w:type="dxa" w:w="70"/>
              <w:left w:type="dxa" w:w="120"/>
              <w:bottom w:type="dxa" w:w="70"/>
              <w:right w:type="dxa" w:w="120"/>
            </w:tcMar>
          </w:tcPr>
          <w:p>
            <w:r>
              <w:rPr>
                <w:color w:val="37474F"/>
                <w:sz w:val="19"/>
                <w:szCs w:val="19"/>
              </w:rPr>
              <w:t xml:space="preserve">Recommendation Engine synthesises all 16 other engine outputs into a ranked, evidenced action list</w:t>
            </w:r>
          </w:p>
        </w:tc>
      </w:tr>
      <w:tr>
        <w:tc>
          <w:tcPr>
            <w:tcW w:type="dxa" w:w="2400"/>
            <w:shd w:fill="F1F8E9" w:color="auto" w:val="clear"/>
            <w:tcMar>
              <w:top w:type="dxa" w:w="70"/>
              <w:left w:type="dxa" w:w="120"/>
              <w:bottom w:type="dxa" w:w="70"/>
              <w:right w:type="dxa" w:w="120"/>
            </w:tcMar>
          </w:tcPr>
          <w:p>
            <w:r>
              <w:rPr>
                <w:color w:val="37474F"/>
                <w:sz w:val="19"/>
                <w:szCs w:val="19"/>
              </w:rPr>
              <w:t xml:space="preserve">Search</w:t>
            </w:r>
          </w:p>
        </w:tc>
        <w:tc>
          <w:tcPr>
            <w:tcW w:type="dxa" w:w="6960"/>
            <w:shd w:fill="F1F8E9" w:color="auto" w:val="clear"/>
            <w:tcMar>
              <w:top w:type="dxa" w:w="70"/>
              <w:left w:type="dxa" w:w="120"/>
              <w:bottom w:type="dxa" w:w="70"/>
              <w:right w:type="dxa" w:w="120"/>
            </w:tcMar>
          </w:tcPr>
          <w:p>
            <w:r>
              <w:rPr>
                <w:color w:val="37474F"/>
                <w:sz w:val="19"/>
                <w:szCs w:val="19"/>
              </w:rPr>
              <w:t xml:space="preserve">Vertex AI Matching Engine runs semantic search across all PIG nodes and document content</w:t>
            </w:r>
          </w:p>
        </w:tc>
      </w:tr>
      <w:tr>
        <w:tc>
          <w:tcPr>
            <w:tcW w:type="dxa" w:w="2400"/>
            <w:shd w:fill="FFFFFF" w:color="auto" w:val="clear"/>
            <w:tcMar>
              <w:top w:type="dxa" w:w="70"/>
              <w:left w:type="dxa" w:w="120"/>
              <w:bottom w:type="dxa" w:w="70"/>
              <w:right w:type="dxa" w:w="120"/>
            </w:tcMar>
          </w:tcPr>
          <w:p>
            <w:r>
              <w:rPr>
                <w:color w:val="37474F"/>
                <w:sz w:val="19"/>
                <w:szCs w:val="19"/>
              </w:rPr>
              <w:t xml:space="preserve">Compare</w:t>
            </w:r>
          </w:p>
        </w:tc>
        <w:tc>
          <w:tcPr>
            <w:tcW w:type="dxa" w:w="6960"/>
            <w:shd w:fill="FFFFFF" w:color="auto" w:val="clear"/>
            <w:tcMar>
              <w:top w:type="dxa" w:w="70"/>
              <w:left w:type="dxa" w:w="120"/>
              <w:bottom w:type="dxa" w:w="70"/>
              <w:right w:type="dxa" w:w="120"/>
            </w:tcMar>
          </w:tcPr>
          <w:p>
            <w:r>
              <w:rPr>
                <w:color w:val="37474F"/>
                <w:sz w:val="19"/>
                <w:szCs w:val="19"/>
              </w:rPr>
              <w:t xml:space="preserve">Synchronization &amp; Consistency Engine surfaces version contradictions and diff analysis</w:t>
            </w:r>
          </w:p>
        </w:tc>
      </w:tr>
      <w:tr>
        <w:tc>
          <w:tcPr>
            <w:tcW w:type="dxa" w:w="2400"/>
            <w:shd w:fill="F1F8E9" w:color="auto" w:val="clear"/>
            <w:tcMar>
              <w:top w:type="dxa" w:w="70"/>
              <w:left w:type="dxa" w:w="120"/>
              <w:bottom w:type="dxa" w:w="70"/>
              <w:right w:type="dxa" w:w="120"/>
            </w:tcMar>
          </w:tcPr>
          <w:p>
            <w:r>
              <w:rPr>
                <w:color w:val="37474F"/>
                <w:sz w:val="19"/>
                <w:szCs w:val="19"/>
              </w:rPr>
              <w:t xml:space="preserve">Summarize</w:t>
            </w:r>
          </w:p>
        </w:tc>
        <w:tc>
          <w:tcPr>
            <w:tcW w:type="dxa" w:w="6960"/>
            <w:shd w:fill="F1F8E9" w:color="auto" w:val="clear"/>
            <w:tcMar>
              <w:top w:type="dxa" w:w="70"/>
              <w:left w:type="dxa" w:w="120"/>
              <w:bottom w:type="dxa" w:w="70"/>
              <w:right w:type="dxa" w:w="120"/>
            </w:tcMar>
          </w:tcPr>
          <w:p>
            <w:r>
              <w:rPr>
                <w:color w:val="37474F"/>
                <w:sz w:val="19"/>
                <w:szCs w:val="19"/>
              </w:rPr>
              <w:t xml:space="preserve">AI Orchestration Engine compresses entity history and evidence trail into a structured narrative</w:t>
            </w:r>
          </w:p>
        </w:tc>
      </w:tr>
      <w:tr>
        <w:tc>
          <w:tcPr>
            <w:tcW w:type="dxa" w:w="2400"/>
            <w:shd w:fill="FFFFFF" w:color="auto" w:val="clear"/>
            <w:tcMar>
              <w:top w:type="dxa" w:w="70"/>
              <w:left w:type="dxa" w:w="120"/>
              <w:bottom w:type="dxa" w:w="70"/>
              <w:right w:type="dxa" w:w="120"/>
            </w:tcMar>
          </w:tcPr>
          <w:p>
            <w:r>
              <w:rPr>
                <w:color w:val="37474F"/>
                <w:sz w:val="19"/>
                <w:szCs w:val="19"/>
              </w:rPr>
              <w:t xml:space="preserve">Simulate</w:t>
            </w:r>
          </w:p>
        </w:tc>
        <w:tc>
          <w:tcPr>
            <w:tcW w:type="dxa" w:w="6960"/>
            <w:shd w:fill="FFFFFF" w:color="auto" w:val="clear"/>
            <w:tcMar>
              <w:top w:type="dxa" w:w="70"/>
              <w:left w:type="dxa" w:w="120"/>
              <w:bottom w:type="dxa" w:w="70"/>
              <w:right w:type="dxa" w:w="120"/>
            </w:tcMar>
          </w:tcPr>
          <w:p>
            <w:r>
              <w:rPr>
                <w:color w:val="37474F"/>
                <w:sz w:val="19"/>
                <w:szCs w:val="19"/>
              </w:rPr>
              <w:t xml:space="preserve">Simulation Engine runs a forward projection over the PIG with user-specified perturbations</w:t>
            </w:r>
          </w:p>
        </w:tc>
      </w:tr>
    </w:tbl>
    <w:p>
      <w:pPr>
        <w:spacing w:after="160"/>
      </w:pPr>
      <w:r>
        <w:t xml:space="preserve"/>
      </w:r>
    </w:p>
    <w:p>
      <w:pPr>
        <w:spacing w:after="140" w:before="320"/>
      </w:pPr>
      <w:r>
        <w:rPr>
          <w:b/>
          <w:bCs/>
          <w:color w:val="1A5C2A"/>
          <w:sz w:val="26"/>
          <w:szCs w:val="26"/>
        </w:rPr>
        <w:t xml:space="preserve">Why Invisibility Is a Product Decision, Not Just UX</w:t>
      </w:r>
    </w:p>
    <w:p>
      <w:pPr>
        <w:spacing w:after="160"/>
      </w:pPr>
      <w:r>
        <w:rPr>
          <w:color w:val="37474F"/>
          <w:sz w:val="22"/>
          <w:szCs w:val="22"/>
        </w:rPr>
        <w:t xml:space="preserve">Named AI features compete with each other for user attention and trust. "Copilot" versus "Recommend" versus "Predict" creates cognitive overhead — users wonder which button to press and what the difference is. When AI is invisible, users interact with the outcome, not the mechanism.</w:t>
      </w:r>
    </w:p>
    <w:p>
      <w:pPr>
        <w:spacing w:after="160"/>
      </w:pPr>
      <w:r>
        <w:rPr>
          <w:color w:val="37474F"/>
          <w:sz w:val="22"/>
          <w:szCs w:val="22"/>
        </w:rPr>
        <w:t xml:space="preserve">Every AI output in Green PM carries evidence_refs[] — pointers to the PIG nodes and evidence records that produced the output. Users can always ask "why" — and Green PM answers with data, not with "the AI said so."</w:t>
      </w:r>
    </w:p>
    <w:p>
      <w:pPr>
        <w:spacing w:after="200"/>
      </w:pPr>
      <w:r>
        <w:t xml:space="preserve"/>
      </w:r>
    </w:p>
    <w:p>
      <w:pPr>
        <w:pBdr>
          <w:bottom w:val="single" w:color="2E7D32" w:sz="8"/>
        </w:pBdr>
        <w:spacing w:after="200" w:before="560"/>
      </w:pPr>
      <w:r>
        <w:rPr>
          <w:b/>
          <w:bCs/>
          <w:color w:val="2E7D32"/>
          <w:sz w:val="34"/>
          <w:szCs w:val="34"/>
        </w:rPr>
        <w:t xml:space="preserve">9. Engineering Readiness — Why It Matters</w:t>
      </w:r>
    </w:p>
    <w:p>
      <w:pPr>
        <w:spacing w:after="160"/>
      </w:pPr>
      <w:r>
        <w:rPr>
          <w:color w:val="37474F"/>
          <w:sz w:val="22"/>
          <w:szCs w:val="22"/>
        </w:rPr>
        <w:t xml:space="preserve">Progress percentages are a construction-era metric. A system at 92% progress may have a single unclosed punch list item that blocks commissioning for 6 weeks. Progress hides critical blockers; readiness exposes them.</w:t>
      </w:r>
    </w:p>
    <w:p>
      <w:pPr>
        <w:spacing w:after="120"/>
      </w:pPr>
      <w:r>
        <w:t xml:space="preserve"/>
      </w:r>
    </w:p>
    <w:p>
      <w:pPr>
        <w:spacing w:after="160"/>
      </w:pPr>
      <w:r>
        <w:rPr>
          <w:color w:val="37474F"/>
          <w:sz w:val="22"/>
          <w:szCs w:val="22"/>
        </w:rPr>
        <w:t xml:space="preserve">EPC executives instinctively understand this. When a project director asks "are we ready for commissioning?" they are not asking for a Gantt chart. They are asking whether every prerequisite has been verified. The Readiness Engine answers that question with structured data, not a bar chart.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A5C2A" w:color="auto" w:val="clear"/>
            <w:tcMar>
              <w:top w:type="dxa" w:w="90"/>
              <w:left w:type="dxa" w:w="120"/>
              <w:bottom w:type="dxa" w:w="90"/>
              <w:right w:type="dxa" w:w="120"/>
            </w:tcMar>
          </w:tcPr>
          <w:p>
            <w:r>
              <w:rPr>
                <w:b/>
                <w:bCs/>
                <w:color w:val="FFFFFF"/>
                <w:sz w:val="20"/>
                <w:szCs w:val="20"/>
              </w:rPr>
              <w:t xml:space="preserve">Gate</w:t>
            </w:r>
          </w:p>
        </w:tc>
        <w:tc>
          <w:tcPr>
            <w:tcW w:type="dxa" w:w="3560"/>
            <w:shd w:fill="1A5C2A" w:color="auto" w:val="clear"/>
            <w:tcMar>
              <w:top w:type="dxa" w:w="90"/>
              <w:left w:type="dxa" w:w="120"/>
              <w:bottom w:type="dxa" w:w="90"/>
              <w:right w:type="dxa" w:w="120"/>
            </w:tcMar>
          </w:tcPr>
          <w:p>
            <w:r>
              <w:rPr>
                <w:b/>
                <w:bCs/>
                <w:color w:val="FFFFFF"/>
                <w:sz w:val="20"/>
                <w:szCs w:val="20"/>
              </w:rPr>
              <w:t xml:space="preserve">Criteria</w:t>
            </w:r>
          </w:p>
        </w:tc>
        <w:tc>
          <w:tcPr>
            <w:tcW w:type="dxa" w:w="3600"/>
            <w:shd w:fill="1A5C2A" w:color="auto" w:val="clear"/>
            <w:tcMar>
              <w:top w:type="dxa" w:w="90"/>
              <w:left w:type="dxa" w:w="120"/>
              <w:bottom w:type="dxa" w:w="90"/>
              <w:right w:type="dxa" w:w="120"/>
            </w:tcMar>
          </w:tcPr>
          <w:p>
            <w:r>
              <w:rPr>
                <w:b/>
                <w:bCs/>
                <w:color w:val="FFFFFF"/>
                <w:sz w:val="20"/>
                <w:szCs w:val="20"/>
              </w:rPr>
              <w:t xml:space="preserve">Commercial Significance</w:t>
            </w:r>
          </w:p>
        </w:tc>
      </w:tr>
      <w:tr>
        <w:tc>
          <w:tcPr>
            <w:tcW w:type="dxa" w:w="2200"/>
            <w:shd w:fill="FFFFFF" w:color="auto" w:val="clear"/>
            <w:tcMar>
              <w:top w:type="dxa" w:w="70"/>
              <w:left w:type="dxa" w:w="120"/>
              <w:bottom w:type="dxa" w:w="70"/>
              <w:right w:type="dxa" w:w="120"/>
            </w:tcMar>
          </w:tcPr>
          <w:p>
            <w:r>
              <w:rPr>
                <w:color w:val="37474F"/>
                <w:sz w:val="19"/>
                <w:szCs w:val="19"/>
              </w:rPr>
              <w:t xml:space="preserve">Engineering Readiness</w:t>
            </w:r>
          </w:p>
        </w:tc>
        <w:tc>
          <w:tcPr>
            <w:tcW w:type="dxa" w:w="3560"/>
            <w:shd w:fill="FFFFFF" w:color="auto" w:val="clear"/>
            <w:tcMar>
              <w:top w:type="dxa" w:w="70"/>
              <w:left w:type="dxa" w:w="120"/>
              <w:bottom w:type="dxa" w:w="70"/>
              <w:right w:type="dxa" w:w="120"/>
            </w:tcMar>
          </w:tcPr>
          <w:p>
            <w:r>
              <w:rPr>
                <w:color w:val="37474F"/>
                <w:sz w:val="19"/>
                <w:szCs w:val="19"/>
              </w:rPr>
              <w:t xml:space="preserve">All IFC drawings issued; all specifications approved</w:t>
            </w:r>
          </w:p>
        </w:tc>
        <w:tc>
          <w:tcPr>
            <w:tcW w:type="dxa" w:w="3600"/>
            <w:shd w:fill="FFFFFF" w:color="auto" w:val="clear"/>
            <w:tcMar>
              <w:top w:type="dxa" w:w="70"/>
              <w:left w:type="dxa" w:w="120"/>
              <w:bottom w:type="dxa" w:w="70"/>
              <w:right w:type="dxa" w:w="120"/>
            </w:tcMar>
          </w:tcPr>
          <w:p>
            <w:r>
              <w:rPr>
                <w:color w:val="37474F"/>
                <w:sz w:val="19"/>
                <w:szCs w:val="19"/>
              </w:rPr>
              <w:t xml:space="preserve">Defines whether construction can start on any system — the most common cause of field rework is construction starting from non-IFC drawings</w:t>
            </w:r>
          </w:p>
        </w:tc>
      </w:tr>
      <w:tr>
        <w:tc>
          <w:tcPr>
            <w:tcW w:type="dxa" w:w="2200"/>
            <w:shd w:fill="F1F8E9" w:color="auto" w:val="clear"/>
            <w:tcMar>
              <w:top w:type="dxa" w:w="70"/>
              <w:left w:type="dxa" w:w="120"/>
              <w:bottom w:type="dxa" w:w="70"/>
              <w:right w:type="dxa" w:w="120"/>
            </w:tcMar>
          </w:tcPr>
          <w:p>
            <w:r>
              <w:rPr>
                <w:color w:val="37474F"/>
                <w:sz w:val="19"/>
                <w:szCs w:val="19"/>
              </w:rPr>
              <w:t xml:space="preserve">Material Readiness</w:t>
            </w:r>
          </w:p>
        </w:tc>
        <w:tc>
          <w:tcPr>
            <w:tcW w:type="dxa" w:w="3560"/>
            <w:shd w:fill="F1F8E9" w:color="auto" w:val="clear"/>
            <w:tcMar>
              <w:top w:type="dxa" w:w="70"/>
              <w:left w:type="dxa" w:w="120"/>
              <w:bottom w:type="dxa" w:w="70"/>
              <w:right w:type="dxa" w:w="120"/>
            </w:tcMar>
          </w:tcPr>
          <w:p>
            <w:r>
              <w:rPr>
                <w:color w:val="37474F"/>
                <w:sz w:val="19"/>
                <w:szCs w:val="19"/>
              </w:rPr>
              <w:t xml:space="preserve">All materials on site; all inspections passed</w:t>
            </w:r>
          </w:p>
        </w:tc>
        <w:tc>
          <w:tcPr>
            <w:tcW w:type="dxa" w:w="3600"/>
            <w:shd w:fill="F1F8E9" w:color="auto" w:val="clear"/>
            <w:tcMar>
              <w:top w:type="dxa" w:w="70"/>
              <w:left w:type="dxa" w:w="120"/>
              <w:bottom w:type="dxa" w:w="70"/>
              <w:right w:type="dxa" w:w="120"/>
            </w:tcMar>
          </w:tcPr>
          <w:p>
            <w:r>
              <w:rPr>
                <w:color w:val="37474F"/>
                <w:sz w:val="19"/>
                <w:szCs w:val="19"/>
              </w:rPr>
              <w:t xml:space="preserve">Directly determines whether construction activities can proceed — material shortages are the most common schedule impact in EPC</w:t>
            </w:r>
          </w:p>
        </w:tc>
      </w:tr>
      <w:tr>
        <w:tc>
          <w:tcPr>
            <w:tcW w:type="dxa" w:w="2200"/>
            <w:shd w:fill="FFFFFF" w:color="auto" w:val="clear"/>
            <w:tcMar>
              <w:top w:type="dxa" w:w="70"/>
              <w:left w:type="dxa" w:w="120"/>
              <w:bottom w:type="dxa" w:w="70"/>
              <w:right w:type="dxa" w:w="120"/>
            </w:tcMar>
          </w:tcPr>
          <w:p>
            <w:r>
              <w:rPr>
                <w:color w:val="37474F"/>
                <w:sz w:val="19"/>
                <w:szCs w:val="19"/>
              </w:rPr>
              <w:t xml:space="preserve">Construction Readiness</w:t>
            </w:r>
          </w:p>
        </w:tc>
        <w:tc>
          <w:tcPr>
            <w:tcW w:type="dxa" w:w="3560"/>
            <w:shd w:fill="FFFFFF" w:color="auto" w:val="clear"/>
            <w:tcMar>
              <w:top w:type="dxa" w:w="70"/>
              <w:left w:type="dxa" w:w="120"/>
              <w:bottom w:type="dxa" w:w="70"/>
              <w:right w:type="dxa" w:w="120"/>
            </w:tcMar>
          </w:tcPr>
          <w:p>
            <w:r>
              <w:rPr>
                <w:color w:val="37474F"/>
                <w:sz w:val="19"/>
                <w:szCs w:val="19"/>
              </w:rPr>
              <w:t xml:space="preserve">All prerequisites met; permits in place</w:t>
            </w:r>
          </w:p>
        </w:tc>
        <w:tc>
          <w:tcPr>
            <w:tcW w:type="dxa" w:w="3600"/>
            <w:shd w:fill="FFFFFF" w:color="auto" w:val="clear"/>
            <w:tcMar>
              <w:top w:type="dxa" w:w="70"/>
              <w:left w:type="dxa" w:w="120"/>
              <w:bottom w:type="dxa" w:w="70"/>
              <w:right w:type="dxa" w:w="120"/>
            </w:tcMar>
          </w:tcPr>
          <w:p>
            <w:r>
              <w:rPr>
                <w:color w:val="37474F"/>
                <w:sz w:val="19"/>
                <w:szCs w:val="19"/>
              </w:rPr>
              <w:t xml:space="preserve">Consolidates engineering + material readiness with regulatory compliance — required before any major construction activity</w:t>
            </w:r>
          </w:p>
        </w:tc>
      </w:tr>
      <w:tr>
        <w:tc>
          <w:tcPr>
            <w:tcW w:type="dxa" w:w="2200"/>
            <w:shd w:fill="F1F8E9" w:color="auto" w:val="clear"/>
            <w:tcMar>
              <w:top w:type="dxa" w:w="70"/>
              <w:left w:type="dxa" w:w="120"/>
              <w:bottom w:type="dxa" w:w="70"/>
              <w:right w:type="dxa" w:w="120"/>
            </w:tcMar>
          </w:tcPr>
          <w:p>
            <w:r>
              <w:rPr>
                <w:color w:val="37474F"/>
                <w:sz w:val="19"/>
                <w:szCs w:val="19"/>
              </w:rPr>
              <w:t xml:space="preserve">Quality Readiness</w:t>
            </w:r>
          </w:p>
        </w:tc>
        <w:tc>
          <w:tcPr>
            <w:tcW w:type="dxa" w:w="3560"/>
            <w:shd w:fill="F1F8E9" w:color="auto" w:val="clear"/>
            <w:tcMar>
              <w:top w:type="dxa" w:w="70"/>
              <w:left w:type="dxa" w:w="120"/>
              <w:bottom w:type="dxa" w:w="70"/>
              <w:right w:type="dxa" w:w="120"/>
            </w:tcMar>
          </w:tcPr>
          <w:p>
            <w:r>
              <w:rPr>
                <w:color w:val="37474F"/>
                <w:sz w:val="19"/>
                <w:szCs w:val="19"/>
              </w:rPr>
              <w:t xml:space="preserve">QA/QC protocols in place; inspection plans approved</w:t>
            </w:r>
          </w:p>
        </w:tc>
        <w:tc>
          <w:tcPr>
            <w:tcW w:type="dxa" w:w="3600"/>
            <w:shd w:fill="F1F8E9" w:color="auto" w:val="clear"/>
            <w:tcMar>
              <w:top w:type="dxa" w:w="70"/>
              <w:left w:type="dxa" w:w="120"/>
              <w:bottom w:type="dxa" w:w="70"/>
              <w:right w:type="dxa" w:w="120"/>
            </w:tcMar>
          </w:tcPr>
          <w:p>
            <w:r>
              <w:rPr>
                <w:color w:val="37474F"/>
                <w:sz w:val="19"/>
                <w:szCs w:val="19"/>
              </w:rPr>
              <w:t xml:space="preserve">Assures that quality processes are active before construction commences — prevents latent defects discovered at commissioning</w:t>
            </w:r>
          </w:p>
        </w:tc>
      </w:tr>
      <w:tr>
        <w:tc>
          <w:tcPr>
            <w:tcW w:type="dxa" w:w="2200"/>
            <w:shd w:fill="FFFFFF" w:color="auto" w:val="clear"/>
            <w:tcMar>
              <w:top w:type="dxa" w:w="70"/>
              <w:left w:type="dxa" w:w="120"/>
              <w:bottom w:type="dxa" w:w="70"/>
              <w:right w:type="dxa" w:w="120"/>
            </w:tcMar>
          </w:tcPr>
          <w:p>
            <w:r>
              <w:rPr>
                <w:color w:val="37474F"/>
                <w:sz w:val="19"/>
                <w:szCs w:val="19"/>
              </w:rPr>
              <w:t xml:space="preserve">Commissioning Readiness</w:t>
            </w:r>
          </w:p>
        </w:tc>
        <w:tc>
          <w:tcPr>
            <w:tcW w:type="dxa" w:w="3560"/>
            <w:shd w:fill="FFFFFF" w:color="auto" w:val="clear"/>
            <w:tcMar>
              <w:top w:type="dxa" w:w="70"/>
              <w:left w:type="dxa" w:w="120"/>
              <w:bottom w:type="dxa" w:w="70"/>
              <w:right w:type="dxa" w:w="120"/>
            </w:tcMar>
          </w:tcPr>
          <w:p>
            <w:r>
              <w:rPr>
                <w:color w:val="37474F"/>
                <w:sz w:val="19"/>
                <w:szCs w:val="19"/>
              </w:rPr>
              <w:t xml:space="preserve">All systems complete; punch lists cleared</w:t>
            </w:r>
          </w:p>
        </w:tc>
        <w:tc>
          <w:tcPr>
            <w:tcW w:type="dxa" w:w="3600"/>
            <w:shd w:fill="FFFFFF" w:color="auto" w:val="clear"/>
            <w:tcMar>
              <w:top w:type="dxa" w:w="70"/>
              <w:left w:type="dxa" w:w="120"/>
              <w:bottom w:type="dxa" w:w="70"/>
              <w:right w:type="dxa" w:w="120"/>
            </w:tcMar>
          </w:tcPr>
          <w:p>
            <w:r>
              <w:rPr>
                <w:color w:val="37474F"/>
                <w:sz w:val="19"/>
                <w:szCs w:val="19"/>
              </w:rPr>
              <w:t xml:space="preserve">The commercial gate that determines whether the project can move from construction to commissioning — often the most contentious milestone</w:t>
            </w:r>
          </w:p>
        </w:tc>
      </w:tr>
      <w:tr>
        <w:tc>
          <w:tcPr>
            <w:tcW w:type="dxa" w:w="2200"/>
            <w:shd w:fill="F1F8E9" w:color="auto" w:val="clear"/>
            <w:tcMar>
              <w:top w:type="dxa" w:w="70"/>
              <w:left w:type="dxa" w:w="120"/>
              <w:bottom w:type="dxa" w:w="70"/>
              <w:right w:type="dxa" w:w="120"/>
            </w:tcMar>
          </w:tcPr>
          <w:p>
            <w:r>
              <w:rPr>
                <w:color w:val="37474F"/>
                <w:sz w:val="19"/>
                <w:szCs w:val="19"/>
              </w:rPr>
              <w:t xml:space="preserve">COD Readiness</w:t>
            </w:r>
          </w:p>
        </w:tc>
        <w:tc>
          <w:tcPr>
            <w:tcW w:type="dxa" w:w="3560"/>
            <w:shd w:fill="F1F8E9" w:color="auto" w:val="clear"/>
            <w:tcMar>
              <w:top w:type="dxa" w:w="70"/>
              <w:left w:type="dxa" w:w="120"/>
              <w:bottom w:type="dxa" w:w="70"/>
              <w:right w:type="dxa" w:w="120"/>
            </w:tcMar>
          </w:tcPr>
          <w:p>
            <w:r>
              <w:rPr>
                <w:color w:val="37474F"/>
                <w:sz w:val="19"/>
                <w:szCs w:val="19"/>
              </w:rPr>
              <w:t xml:space="preserve">All handover documents signed; regulatory clearances obtained</w:t>
            </w:r>
          </w:p>
        </w:tc>
        <w:tc>
          <w:tcPr>
            <w:tcW w:type="dxa" w:w="3600"/>
            <w:shd w:fill="F1F8E9" w:color="auto" w:val="clear"/>
            <w:tcMar>
              <w:top w:type="dxa" w:w="70"/>
              <w:left w:type="dxa" w:w="120"/>
              <w:bottom w:type="dxa" w:w="70"/>
              <w:right w:type="dxa" w:w="120"/>
            </w:tcMar>
          </w:tcPr>
          <w:p>
            <w:r>
              <w:rPr>
                <w:color w:val="37474F"/>
                <w:sz w:val="19"/>
                <w:szCs w:val="19"/>
              </w:rPr>
              <w:t xml:space="preserve">Commercial Operations Date — the highest-value milestone in EPC. COD readiness determines revenue commencement</w:t>
            </w:r>
          </w:p>
        </w:tc>
      </w:tr>
    </w:tbl>
    <w:p>
      <w:pPr>
        <w:spacing w:after="160"/>
      </w:pPr>
      <w:r>
        <w:t xml:space="preserve"/>
      </w:r>
    </w:p>
    <w:p>
      <w:pPr>
        <w:spacing w:after="140" w:before="320"/>
      </w:pPr>
      <w:r>
        <w:rPr>
          <w:b/>
          <w:bCs/>
          <w:color w:val="1A5C2A"/>
          <w:sz w:val="26"/>
          <w:szCs w:val="26"/>
        </w:rPr>
        <w:t xml:space="preserve">Readiness in the Executive Digital Twin</w:t>
      </w:r>
    </w:p>
    <w:p>
      <w:pPr>
        <w:spacing w:after="160"/>
      </w:pPr>
      <w:r>
        <w:rPr>
          <w:color w:val="37474F"/>
          <w:sz w:val="22"/>
          <w:szCs w:val="22"/>
        </w:rPr>
        <w:t xml:space="preserve">Every Monday morning, the Project Command Centre synthesises the six readiness gates into the Executive Digital Twin. Executives see: which gates are green, which are amber, which are red, what is blocking each amber/red gate, who owns the blocking items, and what the projected date is if blockers are resolved this week versus next week.</w:t>
      </w:r>
    </w:p>
    <w:p>
      <w:pPr>
        <w:spacing w:after="160"/>
      </w:pPr>
      <w:r>
        <w:rPr>
          <w:color w:val="37474F"/>
          <w:sz w:val="22"/>
          <w:szCs w:val="22"/>
        </w:rPr>
        <w:t xml:space="preserve">This is not a dashboard. A dashboard shows metrics. The Executive Digital Twin shows the current state of project reality, the trajectory, and the decisions that must be made this week to avoid next week's delay.</w:t>
      </w:r>
    </w:p>
    <w:p>
      <w:pPr>
        <w:spacing w:after="200"/>
      </w:pPr>
      <w:r>
        <w:t xml:space="preserve"/>
      </w:r>
    </w:p>
    <w:p>
      <w:pPr>
        <w:pBdr>
          <w:bottom w:val="single" w:color="2E7D32" w:sz="8"/>
        </w:pBdr>
        <w:spacing w:after="200" w:before="560"/>
      </w:pPr>
      <w:r>
        <w:rPr>
          <w:b/>
          <w:bCs/>
          <w:color w:val="2E7D32"/>
          <w:sz w:val="34"/>
          <w:szCs w:val="34"/>
        </w:rPr>
        <w:t xml:space="preserve">10. v5 Validation Questions</w:t>
      </w:r>
    </w:p>
    <w:p>
      <w:pPr>
        <w:spacing w:after="160"/>
      </w:pPr>
      <w:r>
        <w:rPr>
          <w:color w:val="37474F"/>
          <w:sz w:val="22"/>
          <w:szCs w:val="22"/>
        </w:rPr>
        <w:t xml:space="preserve">These 12 questions define what it means for Green PM v5 to be a genuine Engineering Project Operating System. A product that cannot answer all 12 with "yes" is a project management tool, not an operating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5000"/>
      </w:tblGrid>
      <w:tr>
        <w:trPr>
          <w:tblHeader/>
        </w:trPr>
        <w:tc>
          <w:tcPr>
            <w:tcW w:type="dxa" w:w="700"/>
            <w:shd w:fill="1A5C2A" w:color="auto" w:val="clear"/>
            <w:tcMar>
              <w:top w:type="dxa" w:w="90"/>
              <w:left w:type="dxa" w:w="120"/>
              <w:bottom w:type="dxa" w:w="90"/>
              <w:right w:type="dxa" w:w="120"/>
            </w:tcMar>
          </w:tcPr>
          <w:p>
            <w:r>
              <w:rPr>
                <w:b/>
                <w:bCs/>
                <w:color w:val="FFFFFF"/>
                <w:sz w:val="20"/>
                <w:szCs w:val="20"/>
              </w:rPr>
              <w:t xml:space="preserve">ID</w:t>
            </w:r>
          </w:p>
        </w:tc>
        <w:tc>
          <w:tcPr>
            <w:tcW w:type="dxa" w:w="3660"/>
            <w:shd w:fill="1A5C2A" w:color="auto" w:val="clear"/>
            <w:tcMar>
              <w:top w:type="dxa" w:w="90"/>
              <w:left w:type="dxa" w:w="120"/>
              <w:bottom w:type="dxa" w:w="90"/>
              <w:right w:type="dxa" w:w="120"/>
            </w:tcMar>
          </w:tcPr>
          <w:p>
            <w:r>
              <w:rPr>
                <w:b/>
                <w:bCs/>
                <w:color w:val="FFFFFF"/>
                <w:sz w:val="20"/>
                <w:szCs w:val="20"/>
              </w:rPr>
              <w:t xml:space="preserve">Question</w:t>
            </w:r>
          </w:p>
        </w:tc>
        <w:tc>
          <w:tcPr>
            <w:tcW w:type="dxa" w:w="5000"/>
            <w:shd w:fill="1A5C2A" w:color="auto" w:val="clear"/>
            <w:tcMar>
              <w:top w:type="dxa" w:w="90"/>
              <w:left w:type="dxa" w:w="120"/>
              <w:bottom w:type="dxa" w:w="90"/>
              <w:right w:type="dxa" w:w="120"/>
            </w:tcMar>
          </w:tcPr>
          <w:p>
            <w:r>
              <w:rPr>
                <w:b/>
                <w:bCs/>
                <w:color w:val="FFFFFF"/>
                <w:sz w:val="20"/>
                <w:szCs w:val="20"/>
              </w:rPr>
              <w:t xml:space="preserve">Green PM v5 Answer</w:t>
            </w:r>
          </w:p>
        </w:tc>
      </w:tr>
      <w:tr>
        <w:tc>
          <w:tcPr>
            <w:tcW w:type="dxa" w:w="700"/>
            <w:shd w:fill="FFFFFF" w:color="auto" w:val="clear"/>
            <w:tcMar>
              <w:top w:type="dxa" w:w="70"/>
              <w:left w:type="dxa" w:w="120"/>
              <w:bottom w:type="dxa" w:w="70"/>
              <w:right w:type="dxa" w:w="120"/>
            </w:tcMar>
          </w:tcPr>
          <w:p>
            <w:r>
              <w:rPr>
                <w:color w:val="37474F"/>
                <w:sz w:val="19"/>
                <w:szCs w:val="19"/>
              </w:rPr>
              <w:t xml:space="preserve">VQ-01</w:t>
            </w:r>
          </w:p>
        </w:tc>
        <w:tc>
          <w:tcPr>
            <w:tcW w:type="dxa" w:w="3660"/>
            <w:shd w:fill="FFFFFF" w:color="auto" w:val="clear"/>
            <w:tcMar>
              <w:top w:type="dxa" w:w="70"/>
              <w:left w:type="dxa" w:w="120"/>
              <w:bottom w:type="dxa" w:w="70"/>
              <w:right w:type="dxa" w:w="120"/>
            </w:tcMar>
          </w:tcPr>
          <w:p>
            <w:r>
              <w:rPr>
                <w:color w:val="37474F"/>
                <w:sz w:val="19"/>
                <w:szCs w:val="19"/>
              </w:rPr>
              <w:t xml:space="preserve">Can a PM see everything about one activity without switching screens?</w:t>
            </w:r>
          </w:p>
        </w:tc>
        <w:tc>
          <w:tcPr>
            <w:tcW w:type="dxa" w:w="5000"/>
            <w:shd w:fill="FFFFFF" w:color="auto" w:val="clear"/>
            <w:tcMar>
              <w:top w:type="dxa" w:w="70"/>
              <w:left w:type="dxa" w:w="120"/>
              <w:bottom w:type="dxa" w:w="70"/>
              <w:right w:type="dxa" w:w="120"/>
            </w:tcMar>
          </w:tcPr>
          <w:p>
            <w:r>
              <w:rPr>
                <w:color w:val="37474F"/>
                <w:sz w:val="19"/>
                <w:szCs w:val="19"/>
              </w:rPr>
              <w:t xml:space="preserve">Yes — Activity Workspace: schedule position, evidence trail, risks, changes, drawings, vendor dependencies, readiness status, and coordination items in one view, powered by PIG traversal</w:t>
            </w:r>
          </w:p>
        </w:tc>
      </w:tr>
      <w:tr>
        <w:tc>
          <w:tcPr>
            <w:tcW w:type="dxa" w:w="700"/>
            <w:shd w:fill="F1F8E9" w:color="auto" w:val="clear"/>
            <w:tcMar>
              <w:top w:type="dxa" w:w="70"/>
              <w:left w:type="dxa" w:w="120"/>
              <w:bottom w:type="dxa" w:w="70"/>
              <w:right w:type="dxa" w:w="120"/>
            </w:tcMar>
          </w:tcPr>
          <w:p>
            <w:r>
              <w:rPr>
                <w:color w:val="37474F"/>
                <w:sz w:val="19"/>
                <w:szCs w:val="19"/>
              </w:rPr>
              <w:t xml:space="preserve">VQ-02</w:t>
            </w:r>
          </w:p>
        </w:tc>
        <w:tc>
          <w:tcPr>
            <w:tcW w:type="dxa" w:w="3660"/>
            <w:shd w:fill="F1F8E9" w:color="auto" w:val="clear"/>
            <w:tcMar>
              <w:top w:type="dxa" w:w="70"/>
              <w:left w:type="dxa" w:w="120"/>
              <w:bottom w:type="dxa" w:w="70"/>
              <w:right w:type="dxa" w:w="120"/>
            </w:tcMar>
          </w:tcPr>
          <w:p>
            <w:r>
              <w:rPr>
                <w:color w:val="37474F"/>
                <w:sz w:val="19"/>
                <w:szCs w:val="19"/>
              </w:rPr>
              <w:t xml:space="preserve">Does the system detect contradictions between documents?</w:t>
            </w:r>
          </w:p>
        </w:tc>
        <w:tc>
          <w:tcPr>
            <w:tcW w:type="dxa" w:w="5000"/>
            <w:shd w:fill="F1F8E9" w:color="auto" w:val="clear"/>
            <w:tcMar>
              <w:top w:type="dxa" w:w="70"/>
              <w:left w:type="dxa" w:w="120"/>
              <w:bottom w:type="dxa" w:w="70"/>
              <w:right w:type="dxa" w:w="120"/>
            </w:tcMar>
          </w:tcPr>
          <w:p>
            <w:r>
              <w:rPr>
                <w:color w:val="37474F"/>
                <w:sz w:val="19"/>
                <w:szCs w:val="19"/>
              </w:rPr>
              <w:t xml:space="preserve">Yes — Synchronization &amp; Consistency Engine compares edge weights across related PIG nodes; CONFLICTS_WITH edges are generated automatically when entity versions are inconsistent</w:t>
            </w:r>
          </w:p>
        </w:tc>
      </w:tr>
      <w:tr>
        <w:tc>
          <w:tcPr>
            <w:tcW w:type="dxa" w:w="700"/>
            <w:shd w:fill="FFFFFF" w:color="auto" w:val="clear"/>
            <w:tcMar>
              <w:top w:type="dxa" w:w="70"/>
              <w:left w:type="dxa" w:w="120"/>
              <w:bottom w:type="dxa" w:w="70"/>
              <w:right w:type="dxa" w:w="120"/>
            </w:tcMar>
          </w:tcPr>
          <w:p>
            <w:r>
              <w:rPr>
                <w:color w:val="37474F"/>
                <w:sz w:val="19"/>
                <w:szCs w:val="19"/>
              </w:rPr>
              <w:t xml:space="preserve">VQ-03</w:t>
            </w:r>
          </w:p>
        </w:tc>
        <w:tc>
          <w:tcPr>
            <w:tcW w:type="dxa" w:w="3660"/>
            <w:shd w:fill="FFFFFF" w:color="auto" w:val="clear"/>
            <w:tcMar>
              <w:top w:type="dxa" w:w="70"/>
              <w:left w:type="dxa" w:w="120"/>
              <w:bottom w:type="dxa" w:w="70"/>
              <w:right w:type="dxa" w:w="120"/>
            </w:tcMar>
          </w:tcPr>
          <w:p>
            <w:r>
              <w:rPr>
                <w:color w:val="37474F"/>
                <w:sz w:val="19"/>
                <w:szCs w:val="19"/>
              </w:rPr>
              <w:t xml:space="preserve">Can an executive simulate "what if vendor delays 3 weeks"?</w:t>
            </w:r>
          </w:p>
        </w:tc>
        <w:tc>
          <w:tcPr>
            <w:tcW w:type="dxa" w:w="5000"/>
            <w:shd w:fill="FFFFFF" w:color="auto" w:val="clear"/>
            <w:tcMar>
              <w:top w:type="dxa" w:w="70"/>
              <w:left w:type="dxa" w:w="120"/>
              <w:bottom w:type="dxa" w:w="70"/>
              <w:right w:type="dxa" w:w="120"/>
            </w:tcMar>
          </w:tcPr>
          <w:p>
            <w:r>
              <w:rPr>
                <w:color w:val="37474F"/>
                <w:sz w:val="19"/>
                <w:szCs w:val="19"/>
              </w:rPr>
              <w:t xml:space="preserve">Yes — Simulation Engine accepts any PIG node perturbation, propagates via BLOCKS, DEPENDS_ON, IMPACTS edges, and outputs revised schedule impact, budget impact, and recommended mitigations</w:t>
            </w:r>
          </w:p>
        </w:tc>
      </w:tr>
      <w:tr>
        <w:tc>
          <w:tcPr>
            <w:tcW w:type="dxa" w:w="700"/>
            <w:shd w:fill="F1F8E9" w:color="auto" w:val="clear"/>
            <w:tcMar>
              <w:top w:type="dxa" w:w="70"/>
              <w:left w:type="dxa" w:w="120"/>
              <w:bottom w:type="dxa" w:w="70"/>
              <w:right w:type="dxa" w:w="120"/>
            </w:tcMar>
          </w:tcPr>
          <w:p>
            <w:r>
              <w:rPr>
                <w:color w:val="37474F"/>
                <w:sz w:val="19"/>
                <w:szCs w:val="19"/>
              </w:rPr>
              <w:t xml:space="preserve">VQ-04</w:t>
            </w:r>
          </w:p>
        </w:tc>
        <w:tc>
          <w:tcPr>
            <w:tcW w:type="dxa" w:w="3660"/>
            <w:shd w:fill="F1F8E9" w:color="auto" w:val="clear"/>
            <w:tcMar>
              <w:top w:type="dxa" w:w="70"/>
              <w:left w:type="dxa" w:w="120"/>
              <w:bottom w:type="dxa" w:w="70"/>
              <w:right w:type="dxa" w:w="120"/>
            </w:tcMar>
          </w:tcPr>
          <w:p>
            <w:r>
              <w:rPr>
                <w:color w:val="37474F"/>
                <w:sz w:val="19"/>
                <w:szCs w:val="19"/>
              </w:rPr>
              <w:t xml:space="preserve">Does every AI output show its evidence?</w:t>
            </w:r>
          </w:p>
        </w:tc>
        <w:tc>
          <w:tcPr>
            <w:tcW w:type="dxa" w:w="5000"/>
            <w:shd w:fill="F1F8E9" w:color="auto" w:val="clear"/>
            <w:tcMar>
              <w:top w:type="dxa" w:w="70"/>
              <w:left w:type="dxa" w:w="120"/>
              <w:bottom w:type="dxa" w:w="70"/>
              <w:right w:type="dxa" w:w="120"/>
            </w:tcMar>
          </w:tcPr>
          <w:p>
            <w:r>
              <w:rPr>
                <w:color w:val="37474F"/>
                <w:sz w:val="19"/>
                <w:szCs w:val="19"/>
              </w:rPr>
              <w:t xml:space="preserve">Yes — every AI-generated output carries evidence_refs[] referencing the PIG node IDs and evidence records that produced it. Users can always drill into the evidence chain</w:t>
            </w:r>
          </w:p>
        </w:tc>
      </w:tr>
      <w:tr>
        <w:tc>
          <w:tcPr>
            <w:tcW w:type="dxa" w:w="700"/>
            <w:shd w:fill="FFFFFF" w:color="auto" w:val="clear"/>
            <w:tcMar>
              <w:top w:type="dxa" w:w="70"/>
              <w:left w:type="dxa" w:w="120"/>
              <w:bottom w:type="dxa" w:w="70"/>
              <w:right w:type="dxa" w:w="120"/>
            </w:tcMar>
          </w:tcPr>
          <w:p>
            <w:r>
              <w:rPr>
                <w:color w:val="37474F"/>
                <w:sz w:val="19"/>
                <w:szCs w:val="19"/>
              </w:rPr>
              <w:t xml:space="preserve">VQ-05</w:t>
            </w:r>
          </w:p>
        </w:tc>
        <w:tc>
          <w:tcPr>
            <w:tcW w:type="dxa" w:w="3660"/>
            <w:shd w:fill="FFFFFF" w:color="auto" w:val="clear"/>
            <w:tcMar>
              <w:top w:type="dxa" w:w="70"/>
              <w:left w:type="dxa" w:w="120"/>
              <w:bottom w:type="dxa" w:w="70"/>
              <w:right w:type="dxa" w:w="120"/>
            </w:tcMar>
          </w:tcPr>
          <w:p>
            <w:r>
              <w:rPr>
                <w:color w:val="37474F"/>
                <w:sz w:val="19"/>
                <w:szCs w:val="19"/>
              </w:rPr>
              <w:t xml:space="preserve">Can the system distinguish what is known vs what is inferred?</w:t>
            </w:r>
          </w:p>
        </w:tc>
        <w:tc>
          <w:tcPr>
            <w:tcW w:type="dxa" w:w="5000"/>
            <w:shd w:fill="FFFFFF" w:color="auto" w:val="clear"/>
            <w:tcMar>
              <w:top w:type="dxa" w:w="70"/>
              <w:left w:type="dxa" w:w="120"/>
              <w:bottom w:type="dxa" w:w="70"/>
              <w:right w:type="dxa" w:w="120"/>
            </w:tcMar>
          </w:tcPr>
          <w:p>
            <w:r>
              <w:rPr>
                <w:color w:val="37474F"/>
                <w:sz w:val="19"/>
                <w:szCs w:val="19"/>
              </w:rPr>
              <w:t xml:space="preserve">Yes — Evidence Score (source count, recency, corroboration, diversity, reliability) and Confidence Score are always separate fields; "known" has high evidence score, "inferred" has high confidence but lower evidence score</w:t>
            </w:r>
          </w:p>
        </w:tc>
      </w:tr>
      <w:tr>
        <w:tc>
          <w:tcPr>
            <w:tcW w:type="dxa" w:w="700"/>
            <w:shd w:fill="F1F8E9" w:color="auto" w:val="clear"/>
            <w:tcMar>
              <w:top w:type="dxa" w:w="70"/>
              <w:left w:type="dxa" w:w="120"/>
              <w:bottom w:type="dxa" w:w="70"/>
              <w:right w:type="dxa" w:w="120"/>
            </w:tcMar>
          </w:tcPr>
          <w:p>
            <w:r>
              <w:rPr>
                <w:color w:val="37474F"/>
                <w:sz w:val="19"/>
                <w:szCs w:val="19"/>
              </w:rPr>
              <w:t xml:space="preserve">VQ-06</w:t>
            </w:r>
          </w:p>
        </w:tc>
        <w:tc>
          <w:tcPr>
            <w:tcW w:type="dxa" w:w="3660"/>
            <w:shd w:fill="F1F8E9" w:color="auto" w:val="clear"/>
            <w:tcMar>
              <w:top w:type="dxa" w:w="70"/>
              <w:left w:type="dxa" w:w="120"/>
              <w:bottom w:type="dxa" w:w="70"/>
              <w:right w:type="dxa" w:w="120"/>
            </w:tcMar>
          </w:tcPr>
          <w:p>
            <w:r>
              <w:rPr>
                <w:color w:val="37474F"/>
                <w:sz w:val="19"/>
                <w:szCs w:val="19"/>
              </w:rPr>
              <w:t xml:space="preserve">Does it track that actions were actually taken, not just recommended?</w:t>
            </w:r>
          </w:p>
        </w:tc>
        <w:tc>
          <w:tcPr>
            <w:tcW w:type="dxa" w:w="5000"/>
            <w:shd w:fill="F1F8E9" w:color="auto" w:val="clear"/>
            <w:tcMar>
              <w:top w:type="dxa" w:w="70"/>
              <w:left w:type="dxa" w:w="120"/>
              <w:bottom w:type="dxa" w:w="70"/>
              <w:right w:type="dxa" w:w="120"/>
            </w:tcMar>
          </w:tcPr>
          <w:p>
            <w:r>
              <w:rPr>
                <w:color w:val="37474F"/>
                <w:sz w:val="19"/>
                <w:szCs w:val="19"/>
              </w:rPr>
              <w:t xml:space="preserve">Yes — Coordination Engine tracks acknowledgment, execution, and verified closure for every coordination item. Actions that were not taken show in the Command Centre as open coordination items</w:t>
            </w:r>
          </w:p>
        </w:tc>
      </w:tr>
      <w:tr>
        <w:tc>
          <w:tcPr>
            <w:tcW w:type="dxa" w:w="700"/>
            <w:shd w:fill="FFFFFF" w:color="auto" w:val="clear"/>
            <w:tcMar>
              <w:top w:type="dxa" w:w="70"/>
              <w:left w:type="dxa" w:w="120"/>
              <w:bottom w:type="dxa" w:w="70"/>
              <w:right w:type="dxa" w:w="120"/>
            </w:tcMar>
          </w:tcPr>
          <w:p>
            <w:r>
              <w:rPr>
                <w:color w:val="37474F"/>
                <w:sz w:val="19"/>
                <w:szCs w:val="19"/>
              </w:rPr>
              <w:t xml:space="preserve">VQ-07</w:t>
            </w:r>
          </w:p>
        </w:tc>
        <w:tc>
          <w:tcPr>
            <w:tcW w:type="dxa" w:w="3660"/>
            <w:shd w:fill="FFFFFF" w:color="auto" w:val="clear"/>
            <w:tcMar>
              <w:top w:type="dxa" w:w="70"/>
              <w:left w:type="dxa" w:w="120"/>
              <w:bottom w:type="dxa" w:w="70"/>
              <w:right w:type="dxa" w:w="120"/>
            </w:tcMar>
          </w:tcPr>
          <w:p>
            <w:r>
              <w:rPr>
                <w:color w:val="37474F"/>
                <w:sz w:val="19"/>
                <w:szCs w:val="19"/>
              </w:rPr>
              <w:t xml:space="preserve">Can a new client be onboarded without code changes?</w:t>
            </w:r>
          </w:p>
        </w:tc>
        <w:tc>
          <w:tcPr>
            <w:tcW w:type="dxa" w:w="5000"/>
            <w:shd w:fill="FFFFFF" w:color="auto" w:val="clear"/>
            <w:tcMar>
              <w:top w:type="dxa" w:w="70"/>
              <w:left w:type="dxa" w:w="120"/>
              <w:bottom w:type="dxa" w:w="70"/>
              <w:right w:type="dxa" w:w="120"/>
            </w:tcMar>
          </w:tcPr>
          <w:p>
            <w:r>
              <w:rPr>
                <w:color w:val="37474F"/>
                <w:sz w:val="19"/>
                <w:szCs w:val="19"/>
              </w:rPr>
              <w:t xml:space="preserve">Yes — Green PM Studio contains 15 builders (project config, entity types, approval workflows, readiness gate criteria, engine thresholds, role definitions, report templates). Full configuration in 14 days, no code changes</w:t>
            </w:r>
          </w:p>
        </w:tc>
      </w:tr>
      <w:tr>
        <w:tc>
          <w:tcPr>
            <w:tcW w:type="dxa" w:w="700"/>
            <w:shd w:fill="F1F8E9" w:color="auto" w:val="clear"/>
            <w:tcMar>
              <w:top w:type="dxa" w:w="70"/>
              <w:left w:type="dxa" w:w="120"/>
              <w:bottom w:type="dxa" w:w="70"/>
              <w:right w:type="dxa" w:w="120"/>
            </w:tcMar>
          </w:tcPr>
          <w:p>
            <w:r>
              <w:rPr>
                <w:color w:val="37474F"/>
                <w:sz w:val="19"/>
                <w:szCs w:val="19"/>
              </w:rPr>
              <w:t xml:space="preserve">VQ-08</w:t>
            </w:r>
          </w:p>
        </w:tc>
        <w:tc>
          <w:tcPr>
            <w:tcW w:type="dxa" w:w="3660"/>
            <w:shd w:fill="F1F8E9" w:color="auto" w:val="clear"/>
            <w:tcMar>
              <w:top w:type="dxa" w:w="70"/>
              <w:left w:type="dxa" w:w="120"/>
              <w:bottom w:type="dxa" w:w="70"/>
              <w:right w:type="dxa" w:w="120"/>
            </w:tcMar>
          </w:tcPr>
          <w:p>
            <w:r>
              <w:rPr>
                <w:color w:val="37474F"/>
                <w:sz w:val="19"/>
                <w:szCs w:val="19"/>
              </w:rPr>
              <w:t xml:space="preserve">Does institutional knowledge accumulate and improve decisions?</w:t>
            </w:r>
          </w:p>
        </w:tc>
        <w:tc>
          <w:tcPr>
            <w:tcW w:type="dxa" w:w="5000"/>
            <w:shd w:fill="F1F8E9" w:color="auto" w:val="clear"/>
            <w:tcMar>
              <w:top w:type="dxa" w:w="70"/>
              <w:left w:type="dxa" w:w="120"/>
              <w:bottom w:type="dxa" w:w="70"/>
              <w:right w:type="dxa" w:w="120"/>
            </w:tcMar>
          </w:tcPr>
          <w:p>
            <w:r>
              <w:rPr>
                <w:color w:val="37474F"/>
                <w:sz w:val="19"/>
                <w:szCs w:val="19"/>
              </w:rPr>
              <w:t xml:space="preserve">Yes — Organizational Memory Engine stores outcomes of past decisions, vendor recovery patterns, risk mitigations that worked, and change delay profiles. Every new decision, risk, and simulation benefits from historical patterns</w:t>
            </w:r>
          </w:p>
        </w:tc>
      </w:tr>
      <w:tr>
        <w:tc>
          <w:tcPr>
            <w:tcW w:type="dxa" w:w="700"/>
            <w:shd w:fill="FFFFFF" w:color="auto" w:val="clear"/>
            <w:tcMar>
              <w:top w:type="dxa" w:w="70"/>
              <w:left w:type="dxa" w:w="120"/>
              <w:bottom w:type="dxa" w:w="70"/>
              <w:right w:type="dxa" w:w="120"/>
            </w:tcMar>
          </w:tcPr>
          <w:p>
            <w:r>
              <w:rPr>
                <w:color w:val="37474F"/>
                <w:sz w:val="19"/>
                <w:szCs w:val="19"/>
              </w:rPr>
              <w:t xml:space="preserve">VQ-09</w:t>
            </w:r>
          </w:p>
        </w:tc>
        <w:tc>
          <w:tcPr>
            <w:tcW w:type="dxa" w:w="3660"/>
            <w:shd w:fill="FFFFFF" w:color="auto" w:val="clear"/>
            <w:tcMar>
              <w:top w:type="dxa" w:w="70"/>
              <w:left w:type="dxa" w:w="120"/>
              <w:bottom w:type="dxa" w:w="70"/>
              <w:right w:type="dxa" w:w="120"/>
            </w:tcMar>
          </w:tcPr>
          <w:p>
            <w:r>
              <w:rPr>
                <w:color w:val="37474F"/>
                <w:sz w:val="19"/>
                <w:szCs w:val="19"/>
              </w:rPr>
              <w:t xml:space="preserve">Does it know when a project is truly ready for commissioning?</w:t>
            </w:r>
          </w:p>
        </w:tc>
        <w:tc>
          <w:tcPr>
            <w:tcW w:type="dxa" w:w="5000"/>
            <w:shd w:fill="FFFFFF" w:color="auto" w:val="clear"/>
            <w:tcMar>
              <w:top w:type="dxa" w:w="70"/>
              <w:left w:type="dxa" w:w="120"/>
              <w:bottom w:type="dxa" w:w="70"/>
              <w:right w:type="dxa" w:w="120"/>
            </w:tcMar>
          </w:tcPr>
          <w:p>
            <w:r>
              <w:rPr>
                <w:color w:val="37474F"/>
                <w:sz w:val="19"/>
                <w:szCs w:val="19"/>
              </w:rPr>
              <w:t xml:space="preserve">Yes — Readiness Engine tracks all 6 gate types. Commissioning Readiness gate has structured criteria (system completion, punch list status, pre-commissioning checksheets), completion percentage, and a list of specific blocking items</w:t>
            </w:r>
          </w:p>
        </w:tc>
      </w:tr>
      <w:tr>
        <w:tc>
          <w:tcPr>
            <w:tcW w:type="dxa" w:w="700"/>
            <w:shd w:fill="F1F8E9" w:color="auto" w:val="clear"/>
            <w:tcMar>
              <w:top w:type="dxa" w:w="70"/>
              <w:left w:type="dxa" w:w="120"/>
              <w:bottom w:type="dxa" w:w="70"/>
              <w:right w:type="dxa" w:w="120"/>
            </w:tcMar>
          </w:tcPr>
          <w:p>
            <w:r>
              <w:rPr>
                <w:color w:val="37474F"/>
                <w:sz w:val="19"/>
                <w:szCs w:val="19"/>
              </w:rPr>
              <w:t xml:space="preserve">VQ-10</w:t>
            </w:r>
          </w:p>
        </w:tc>
        <w:tc>
          <w:tcPr>
            <w:tcW w:type="dxa" w:w="3660"/>
            <w:shd w:fill="F1F8E9" w:color="auto" w:val="clear"/>
            <w:tcMar>
              <w:top w:type="dxa" w:w="70"/>
              <w:left w:type="dxa" w:w="120"/>
              <w:bottom w:type="dxa" w:w="70"/>
              <w:right w:type="dxa" w:w="120"/>
            </w:tcMar>
          </w:tcPr>
          <w:p>
            <w:r>
              <w:rPr>
                <w:color w:val="37474F"/>
                <w:sz w:val="19"/>
                <w:szCs w:val="19"/>
              </w:rPr>
              <w:t xml:space="preserve">Can it explain WHY it is recommending something?</w:t>
            </w:r>
          </w:p>
        </w:tc>
        <w:tc>
          <w:tcPr>
            <w:tcW w:type="dxa" w:w="5000"/>
            <w:shd w:fill="F1F8E9" w:color="auto" w:val="clear"/>
            <w:tcMar>
              <w:top w:type="dxa" w:w="70"/>
              <w:left w:type="dxa" w:w="120"/>
              <w:bottom w:type="dxa" w:w="70"/>
              <w:right w:type="dxa" w:w="120"/>
            </w:tcMar>
          </w:tcPr>
          <w:p>
            <w:r>
              <w:rPr>
                <w:color w:val="37474F"/>
                <w:sz w:val="19"/>
                <w:szCs w:val="19"/>
              </w:rPr>
              <w:t xml:space="preserve">Yes — Recommendation Engine always cites the engine outputs that drove the recommendation (e.g., "Risk Engine: probability 0.7, impact: 18 days; Vendor Intelligence: reliability score 0.45; Forecasting: revised COD +23 days")</w:t>
            </w:r>
          </w:p>
        </w:tc>
      </w:tr>
      <w:tr>
        <w:tc>
          <w:tcPr>
            <w:tcW w:type="dxa" w:w="700"/>
            <w:shd w:fill="FFFFFF" w:color="auto" w:val="clear"/>
            <w:tcMar>
              <w:top w:type="dxa" w:w="70"/>
              <w:left w:type="dxa" w:w="120"/>
              <w:bottom w:type="dxa" w:w="70"/>
              <w:right w:type="dxa" w:w="120"/>
            </w:tcMar>
          </w:tcPr>
          <w:p>
            <w:r>
              <w:rPr>
                <w:color w:val="37474F"/>
                <w:sz w:val="19"/>
                <w:szCs w:val="19"/>
              </w:rPr>
              <w:t xml:space="preserve">VQ-11</w:t>
            </w:r>
          </w:p>
        </w:tc>
        <w:tc>
          <w:tcPr>
            <w:tcW w:type="dxa" w:w="3660"/>
            <w:shd w:fill="FFFFFF" w:color="auto" w:val="clear"/>
            <w:tcMar>
              <w:top w:type="dxa" w:w="70"/>
              <w:left w:type="dxa" w:w="120"/>
              <w:bottom w:type="dxa" w:w="70"/>
              <w:right w:type="dxa" w:w="120"/>
            </w:tcMar>
          </w:tcPr>
          <w:p>
            <w:r>
              <w:rPr>
                <w:color w:val="37474F"/>
                <w:sz w:val="19"/>
                <w:szCs w:val="19"/>
              </w:rPr>
              <w:t xml:space="preserve">Does it connect every entity to every related entity?</w:t>
            </w:r>
          </w:p>
        </w:tc>
        <w:tc>
          <w:tcPr>
            <w:tcW w:type="dxa" w:w="5000"/>
            <w:shd w:fill="FFFFFF" w:color="auto" w:val="clear"/>
            <w:tcMar>
              <w:top w:type="dxa" w:w="70"/>
              <w:left w:type="dxa" w:w="120"/>
              <w:bottom w:type="dxa" w:w="70"/>
              <w:right w:type="dxa" w:w="120"/>
            </w:tcMar>
          </w:tcPr>
          <w:p>
            <w:r>
              <w:rPr>
                <w:color w:val="37474F"/>
                <w:sz w:val="19"/>
                <w:szCs w:val="19"/>
              </w:rPr>
              <w:t xml:space="preserve">Yes — the Project Intelligence Graph with 22 node types and 30+ typed edge types means every entity is connected to every related entity. A Change node connects to affected Activities (IMPACTS), required Decisions (REQUIRES), affected Drawings (REFERENCES), and created Coordination Items (TRIGGERS)</w:t>
            </w:r>
          </w:p>
        </w:tc>
      </w:tr>
      <w:tr>
        <w:tc>
          <w:tcPr>
            <w:tcW w:type="dxa" w:w="700"/>
            <w:shd w:fill="F1F8E9" w:color="auto" w:val="clear"/>
            <w:tcMar>
              <w:top w:type="dxa" w:w="70"/>
              <w:left w:type="dxa" w:w="120"/>
              <w:bottom w:type="dxa" w:w="70"/>
              <w:right w:type="dxa" w:w="120"/>
            </w:tcMar>
          </w:tcPr>
          <w:p>
            <w:r>
              <w:rPr>
                <w:color w:val="37474F"/>
                <w:sz w:val="19"/>
                <w:szCs w:val="19"/>
              </w:rPr>
              <w:t xml:space="preserve">VQ-12</w:t>
            </w:r>
          </w:p>
        </w:tc>
        <w:tc>
          <w:tcPr>
            <w:tcW w:type="dxa" w:w="3660"/>
            <w:shd w:fill="F1F8E9" w:color="auto" w:val="clear"/>
            <w:tcMar>
              <w:top w:type="dxa" w:w="70"/>
              <w:left w:type="dxa" w:w="120"/>
              <w:bottom w:type="dxa" w:w="70"/>
              <w:right w:type="dxa" w:w="120"/>
            </w:tcMar>
          </w:tcPr>
          <w:p>
            <w:r>
              <w:rPr>
                <w:color w:val="37474F"/>
                <w:sz w:val="19"/>
                <w:szCs w:val="19"/>
              </w:rPr>
              <w:t xml:space="preserve">Does it speak the language of EPC executives?</w:t>
            </w:r>
          </w:p>
        </w:tc>
        <w:tc>
          <w:tcPr>
            <w:tcW w:type="dxa" w:w="5000"/>
            <w:shd w:fill="F1F8E9" w:color="auto" w:val="clear"/>
            <w:tcMar>
              <w:top w:type="dxa" w:w="70"/>
              <w:left w:type="dxa" w:w="120"/>
              <w:bottom w:type="dxa" w:w="70"/>
              <w:right w:type="dxa" w:w="120"/>
            </w:tcMar>
          </w:tcPr>
          <w:p>
            <w:r>
              <w:rPr>
                <w:color w:val="37474F"/>
                <w:sz w:val="19"/>
                <w:szCs w:val="19"/>
              </w:rPr>
              <w:t xml:space="preserve">Yes — readiness, not progress; aligned, not communicated; coordinated, not notified; gate-cleared, not approved; institutional pattern, not past performance. The vocabulary is EPC operations, not project management software</w:t>
            </w:r>
          </w:p>
        </w:tc>
      </w:tr>
    </w:tbl>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560"/>
    </w:pPr>
    <w:rPr>
      <w:rFonts w:ascii="Calibri" w:cs="Calibri" w:eastAsia="Calibri" w:hAnsi="Calibri"/>
      <w:b/>
      <w:bCs/>
      <w:color w:val="2E7D32"/>
      <w:sz w:val="34"/>
      <w:szCs w:val="34"/>
    </w:rPr>
  </w:style>
  <w:style w:type="paragraph" w:styleId="Heading2">
    <w:name w:val="Heading 2"/>
    <w:basedOn w:val="Normal"/>
    <w:next w:val="Normal"/>
    <w:pPr>
      <w:spacing w:after="140" w:before="320"/>
    </w:pPr>
    <w:rPr>
      <w:rFonts w:ascii="Calibri" w:cs="Calibri" w:eastAsia="Calibri" w:hAnsi="Calibri"/>
      <w:b/>
      <w:bCs/>
      <w:color w:val="1A5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Executive Review Summary</dc:title>
  <dc:creator>Green PM</dc:creator>
  <dc:description>Architecture summary for v5 — Engineering Project Operating System</dc:description>
  <cp:lastModifiedBy>Un-named</cp:lastModifiedBy>
  <cp:revision>1</cp:revision>
  <dcterms:created xsi:type="dcterms:W3CDTF">2026-08-03T10:58:30.844Z</dcterms:created>
  <dcterms:modified xsi:type="dcterms:W3CDTF">2026-08-03T10:58:30.858Z</dcterms:modified>
</cp:coreProperties>
</file>

<file path=docProps/custom.xml><?xml version="1.0" encoding="utf-8"?>
<Properties xmlns="http://schemas.openxmlformats.org/officeDocument/2006/custom-properties" xmlns:vt="http://schemas.openxmlformats.org/officeDocument/2006/docPropsVTypes"/>
</file>