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b/>
          <w:bCs/>
          <w:color w:val="2E7D32"/>
          <w:sz w:val="56"/>
          <w:szCs w:val="56"/>
        </w:rPr>
        <w:t xml:space="preserve">Green PM</w:t>
      </w:r>
    </w:p>
    <w:p>
      <w:pPr>
        <w:spacing w:after="80"/>
        <w:jc w:val="center"/>
      </w:pPr>
      <w:r>
        <w:rPr>
          <w:color w:val="37474F"/>
          <w:sz w:val="38"/>
          <w:szCs w:val="38"/>
        </w:rPr>
        <w:t xml:space="preserve">v5 Gap Resolution Matrix</w:t>
      </w:r>
    </w:p>
    <w:p>
      <w:pPr>
        <w:spacing w:after="80"/>
        <w:jc w:val="center"/>
      </w:pPr>
      <w:r>
        <w:rPr>
          <w:color w:val="1A5C2A"/>
          <w:sz w:val="26"/>
          <w:szCs w:val="26"/>
        </w:rPr>
        <w:t xml:space="preserve">Engineering Project Operating System</w:t>
      </w:r>
    </w:p>
    <w:p>
      <w:pPr>
        <w:spacing w:after="400"/>
        <w:jc w:val="center"/>
      </w:pPr>
      <w:r>
        <w:rPr>
          <w:color w:val="9E9E9E"/>
          <w:sz w:val="20"/>
          <w:szCs w:val="20"/>
        </w:rPr>
        <w:t xml:space="preserve">August 2026  —  Confidential</w:t>
      </w:r>
    </w:p>
    <w:p>
      <w:pPr>
        <w:pBdr>
          <w:left w:val="single" w:color="2E7D32" w:sz="12"/>
        </w:pBdr>
        <w:shd w:fill="E8F5E9" w:color="auto" w:val="clear"/>
        <w:spacing w:after="240" w:before="200"/>
        <w:ind w:left="440" w:right="440"/>
      </w:pPr>
      <w:r>
        <w:rPr>
          <w:b/>
          <w:bCs/>
          <w:color w:val="1A5C2A"/>
          <w:sz w:val="22"/>
          <w:szCs w:val="22"/>
        </w:rPr>
        <w:t xml:space="preserve">63 identified gaps from v4 across 18 categories. All resolved in v5 through the Project Intelligence Graph, 4 new engines, 5 renamed/consolidated engines, and 10 entity workspace types.</w:t>
      </w:r>
    </w:p>
    <w:p>
      <w:pPr>
        <w:spacing w:after="280"/>
      </w:pPr>
      <w:r>
        <w:t xml:space="preserve"/>
      </w:r>
    </w:p>
    <w:p>
      <w:pPr>
        <w:pBdr>
          <w:bottom w:val="single" w:color="2E7D32" w:sz="8"/>
        </w:pBdr>
        <w:spacing w:after="200" w:before="560"/>
      </w:pPr>
      <w:r>
        <w:rPr>
          <w:b/>
          <w:bCs/>
          <w:color w:val="2E7D32"/>
          <w:sz w:val="34"/>
          <w:szCs w:val="34"/>
        </w:rPr>
        <w:t xml:space="preserve">Gap Summary</w:t>
      </w:r>
    </w:p>
    <w:p>
      <w:pPr>
        <w:spacing w:after="160"/>
      </w:pPr>
      <w:r>
        <w:rPr>
          <w:color w:val="37474F"/>
          <w:sz w:val="22"/>
          <w:szCs w:val="22"/>
        </w:rPr>
        <w:t xml:space="preserve">The v4 → v5 gap analysis identified 63 distinct gaps, an increase from 55 in v4. The additional gaps reflect a more rigorous discipline test applied to engine architecture, and the explicit identification of readiness, simulation, and memory as missing capability categories.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A5C2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shd w:fill="1A5C2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Total gaps identified</w:t>
            </w:r>
          </w:p>
        </w:tc>
        <w:tc>
          <w:tcPr>
            <w:tcW w:type="dxa" w:w="656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color w:val="37474F"/>
                <w:sz w:val="20"/>
                <w:szCs w:val="20"/>
              </w:rPr>
              <w:t xml:space="preserve">63 gaps across 18 categories</w:t>
            </w:r>
          </w:p>
        </w:tc>
      </w:tr>
      <w:tr>
        <w:tc>
          <w:tcPr>
            <w:tcW w:type="dxa" w:w="2800"/>
            <w:shd w:fill="F1F8E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Gaps in v4 analysis</w:t>
            </w:r>
          </w:p>
        </w:tc>
        <w:tc>
          <w:tcPr>
            <w:tcW w:type="dxa" w:w="6560"/>
            <w:shd w:fill="F1F8E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color w:val="37474F"/>
                <w:sz w:val="20"/>
                <w:szCs w:val="20"/>
              </w:rPr>
              <w:t xml:space="preserve">55 gaps across 14 categories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New categories in v5</w:t>
            </w:r>
          </w:p>
        </w:tc>
        <w:tc>
          <w:tcPr>
            <w:tcW w:type="dxa" w:w="656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color w:val="37474F"/>
                <w:sz w:val="20"/>
                <w:szCs w:val="20"/>
              </w:rPr>
              <w:t xml:space="preserve">4 new categories: Readiness, Simulation, Graph Model, Workflow Processing</w:t>
            </w:r>
          </w:p>
        </w:tc>
      </w:tr>
      <w:tr>
        <w:tc>
          <w:tcPr>
            <w:tcW w:type="dxa" w:w="2800"/>
            <w:shd w:fill="F1F8E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All gaps status</w:t>
            </w:r>
          </w:p>
        </w:tc>
        <w:tc>
          <w:tcPr>
            <w:tcW w:type="dxa" w:w="6560"/>
            <w:shd w:fill="F1F8E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color w:val="37474F"/>
                <w:sz w:val="20"/>
                <w:szCs w:val="20"/>
              </w:rPr>
              <w:t xml:space="preserve">All 63 resolved in v5 architecture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Engines added</w:t>
            </w:r>
          </w:p>
        </w:tc>
        <w:tc>
          <w:tcPr>
            <w:tcW w:type="dxa" w:w="656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color w:val="37474F"/>
                <w:sz w:val="20"/>
                <w:szCs w:val="20"/>
              </w:rPr>
              <w:t xml:space="preserve">4 new engines: Readiness, Simulation, Coordination, Organizational Memory</w:t>
            </w:r>
          </w:p>
        </w:tc>
      </w:tr>
      <w:tr>
        <w:tc>
          <w:tcPr>
            <w:tcW w:type="dxa" w:w="2800"/>
            <w:shd w:fill="F1F8E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Engines dropped</w:t>
            </w:r>
          </w:p>
        </w:tc>
        <w:tc>
          <w:tcPr>
            <w:tcW w:type="dxa" w:w="6560"/>
            <w:shd w:fill="F1F8E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color w:val="37474F"/>
                <w:sz w:val="20"/>
                <w:szCs w:val="20"/>
              </w:rPr>
              <w:t xml:space="preserve">2 engines dropped (discipline test failed): Workflow Engine, Configuration Engine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Engines renamed</w:t>
            </w:r>
          </w:p>
        </w:tc>
        <w:tc>
          <w:tcPr>
            <w:tcW w:type="dxa" w:w="656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color w:val="37474F"/>
                <w:sz w:val="20"/>
                <w:szCs w:val="20"/>
              </w:rPr>
              <w:t xml:space="preserve">2 engines renamed: Communication→Organizational Alignment; Synchronization→Synchronization &amp; Consistency</w:t>
            </w:r>
          </w:p>
        </w:tc>
      </w:tr>
      <w:tr>
        <w:tc>
          <w:tcPr>
            <w:tcW w:type="dxa" w:w="2800"/>
            <w:shd w:fill="F1F8E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New architectural foundation</w:t>
            </w:r>
          </w:p>
        </w:tc>
        <w:tc>
          <w:tcPr>
            <w:tcW w:type="dxa" w:w="6560"/>
            <w:shd w:fill="F1F8E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color w:val="37474F"/>
                <w:sz w:val="20"/>
                <w:szCs w:val="20"/>
              </w:rPr>
              <w:t xml:space="preserve">Project Intelligence Graph (22 node types, 30+ edge types) — all engines query PIG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Entity workspaces</w:t>
            </w:r>
          </w:p>
        </w:tc>
        <w:tc>
          <w:tcPr>
            <w:tcW w:type="dxa" w:w="6560"/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color w:val="37474F"/>
                <w:sz w:val="20"/>
                <w:szCs w:val="20"/>
              </w:rPr>
              <w:t xml:space="preserve">Expanded from 5 to 10 workspace types</w:t>
            </w:r>
          </w:p>
        </w:tc>
      </w:tr>
      <w:tr>
        <w:tc>
          <w:tcPr>
            <w:tcW w:type="dxa" w:w="2800"/>
            <w:shd w:fill="F1F8E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Time to onboard new client</w:t>
            </w:r>
          </w:p>
        </w:tc>
        <w:tc>
          <w:tcPr>
            <w:tcW w:type="dxa" w:w="6560"/>
            <w:shd w:fill="F1F8E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color w:val="37474F"/>
                <w:sz w:val="20"/>
                <w:szCs w:val="20"/>
              </w:rPr>
              <w:t xml:space="preserve">14 days via Green PM Studio — no code changes required</w:t>
            </w:r>
          </w:p>
        </w:tc>
      </w:tr>
    </w:tbl>
    <w:p>
      <w:pPr>
        <w:spacing w:after="320"/>
      </w:pPr>
      <w:r>
        <w:t xml:space="preserve"/>
      </w:r>
    </w:p>
    <w:p>
      <w:pPr>
        <w:pBdr>
          <w:bottom w:val="single" w:color="2E7D32" w:sz="8"/>
        </w:pBdr>
        <w:spacing w:after="200" w:before="560"/>
      </w:pPr>
      <w:r>
        <w:rPr>
          <w:b/>
          <w:bCs/>
          <w:color w:val="2E7D32"/>
          <w:sz w:val="34"/>
          <w:szCs w:val="34"/>
        </w:rPr>
        <w:t xml:space="preserve">Full Gap Resolution Matrix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260"/>
        <w:gridCol w:w="2260"/>
        <w:gridCol w:w="1640"/>
        <w:gridCol w:w="1300"/>
      </w:tblGrid>
      <w:tr>
        <w:trPr>
          <w:tblHeader/>
        </w:trPr>
        <w:tc>
          <w:tcPr>
            <w:tcW w:type="dxa" w:w="700"/>
            <w:shd w:fill="1A5C2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ID</w:t>
            </w:r>
          </w:p>
        </w:tc>
        <w:tc>
          <w:tcPr>
            <w:tcW w:type="dxa" w:w="1200"/>
            <w:shd w:fill="1A5C2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60"/>
            <w:shd w:fill="1A5C2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 (v4)</w:t>
            </w:r>
          </w:p>
        </w:tc>
        <w:tc>
          <w:tcPr>
            <w:tcW w:type="dxa" w:w="2260"/>
            <w:shd w:fill="1A5C2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 (v5)</w:t>
            </w:r>
          </w:p>
        </w:tc>
        <w:tc>
          <w:tcPr>
            <w:tcW w:type="dxa" w:w="1640"/>
            <w:shd w:fill="1A5C2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Engine / Feature</w:t>
            </w:r>
          </w:p>
        </w:tc>
        <w:tc>
          <w:tcPr>
            <w:tcW w:type="dxa" w:w="1300"/>
            <w:shd w:fill="1A5C2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1. Architecture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ARCH-01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 unified relationship graph — each engine maintained its own view of entity relationships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Intelligence Graph (PIG): all relationship data lives in graph_nodes + graph_edges tables; every engine queries the PIG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Project Intelligence Graph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ARCH-02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Engines were data stores AND intelligence disciplines — dual responsibility caused inconsistency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Engines are now pure intelligence disciplines — they query the PIG; they do not own relationship data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All 17 Engines + PIG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ARCH-03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Impact Engine maintained its own dependency map, diverging from schedule data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Impact Engine now traverses PIG DEPENDS_ON and BLOCKS edges — single source of truth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Impact Analysis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ARCH-04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Risk Engine maintained its own entity links separate from the schedule and drawing models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Risk Engine reads RAISES_RISK_TO and MONITORS edges from PIG — no separate risk linkage tables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Risk Engine + PIG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ARCH-05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New engines required schema changes in multiple existing engines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New engines add new node types and edge types to PIG — existing engines unaffected; clean extension model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PIG schema (graph_edge_types)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2. Intelligence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INT-01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Forecasting was subsumed under Recommendation Engine — not independently queryable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Independent Forecasting Engine: 6 domains (schedule, budget, quality, resource, commissioning, cash flow)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Forecasting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INT-02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 scenario modelling — PMs could not run "what if" projections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Simulation Engine: user specifies perturbation on any PIG node; engine propagates via DEPENDS_ON, BLOCKS, IMPACTS edges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Simulation Engine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INT-03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Evidence Score was the only quality signal — no calibrated confidence score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Evidence Score v5 separated from Confidence Score — Evidence = what we captured; Confidence = how certain we are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Evidence Engine v5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INT-04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Decision Engine had no institutional learning — every decision started from scratch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Organizational Memory Engine powers Decision Engine: "In 27 similar decisions, Option B reduced delay by 18%"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Decision Engine + Memory Engine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INT-05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Recommendation Engine outputs were not tracked to outcomes — no feedback loop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Coordination Engine tracks acknowledgment → execution → verification → closure for every recommendation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Coordination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3. Execution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EXE-01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Execution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 close loop on actions — intelligence was generated but action was not verified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Coordination Engine: 8-stage pipeline from Event to Closure; coordination_items records track every step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Coordination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EXE-02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Execution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Notification did not distinguish between received and acknowledged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Coordination Engine tracks: notification sent, acknowledged (with timestamp), action executed, outcome verified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Coordination Engine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EXE-03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Execution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Actions assigned to teams had no verified completion status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coordination_closures table: closure_type, verified_by, evidence_ref, closed_at — every item verifiably closed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Coordination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EXE-04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Execution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Intelligence outputs not tracked to outcomes — learning loop missing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Coordination Engine closure feeds Organizational Memory Engine — outcomes update memory_records and memory_patterns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Coordination + Memory Engine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EXE-05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Execution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PM visibility into pending actions was fragmented across module views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Command Centre: open coordination items surface as a dedicated panel with owner, due date, status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Project Command Centre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4. Readiness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READ-01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Readiness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 readiness concept — only progress percentages, which do not signal blocker status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Readiness Engine: 6 gate types, each with structured criteria, completion %, and explicit blocking items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Readiness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READ-02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Readiness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Commissioning readiness had no structured gate — teams relied on informal checklists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Commissioning Readiness gate: system completion, punch list clearance, pre-commissioning checksheets, all tracked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Readiness Engine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READ-03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Readiness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COD readiness not tracked by the system — the most commercially critical milestone was manual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COD Readiness gate: handover documents signed, regulatory clearances obtained — structured and tracked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Readiness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READ-04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Readiness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Engineering readiness (IFC status) not connected to construction activity readiness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Engineering Readiness gate GATES edge connects to Construction activities — blocks activity start if not cleared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Readiness Engine + PIG (GATES edge)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5. Organizational Memory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MEM-01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Org Memory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Lessons Learned concept was too narrow — captured post-project only, rarely referenced in-flight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Organizational Memory Engine: real-time institutional store updated throughout project lifecycle, not at close-out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Organizational Memory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MEM-02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Org Memory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Decision Engine had no access to historical decision outcomes from past projects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Memory Engine provides memory_records + memory_patterns; Decision Engine queries patterns before presenting options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Memory Engine + Decision Engine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MEM-03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Org Memory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Risk patterns were not matched against historical risk mitigations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Risk Engine queries Memory Engine for historical similar risks and their resolution effectiveness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Risk Engine + Memory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MEM-04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Org Memory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Simulation Engine calibration was theoretical — no historical grounding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Simulation Engine calibrates projections using memory_patterns (delay profiles, recovery times by change type)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Simulation + Memory Engine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6. Entity Experience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ENT-01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Entity Exp.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Only 5 entity workspace types — Equipment, Vendor, Shipment, Change, Decision had no dedicated workspace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10 entity workspace types: all 5 plus Drawing, Equipment, Decision, Package, WBS workspaces added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Entity Workspaces v5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ENT-02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Entity Exp.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Equipment had no dedicated workspace — FAT, commissioning, and installation were in separate views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Equipment Workspace: tag, spec, PO, vendor, FAT, shipment, installation activity, commissioning, QA — one view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Equipment Workspace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ENT-03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Entity Exp.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Workspaces assembled data from separate queries — slow, inconsistent, navigation-heavy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All workspaces powered by PIG traversal from the opened entity node — single graph query, all connections surfaced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PIG + Entity Workspaces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ENT-04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Entity Exp.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WBS level roll-up required manual aggregation — not available as a live workspace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WBS Workspace: live roll-up of progress, evidence score, cost, resource loading, risk exposure, readiness status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WBS Workspace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7. Alignment vs Communication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ALN-01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Alignment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Communication &amp; Alignment Engine implied messaging — focus was on sending, not on verified alignment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Renamed Organizational Alignment Engine: core function is verifying that stakeholders are aligned, not just notified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Org Alignment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ALN-02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Alignment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Acknowledgment was not tracked — a notification sent was treated as a notification received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Alignment Engine tracks: sent, delivered, read, acknowledged, acted on — five distinct states per communication item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Org Alignment Engine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ALN-03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Alignment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Team misalignment was detectable only manually — no engine-level contradiction of alignment state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Alignment gap alerts generated when two stakeholders have acknowledged different versions of the same entity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Org Alignment Engine + PIG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8. Consistency Detection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SYNC-01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Synchronization Engine implied keeping things updated — did not actively detect contradictions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Renamed Synchronization &amp; Consistency Engine: contradiction detection is the primary function, update propagation secondary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Sync &amp; Consistency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SYNC-02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 contradiction detection between document revisions — Drawing Rev D vs Schedule Rev C not flagged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CONFLICTS_WITH edges created automatically when entity versions are inconsistent across related nodes in PIG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Sync &amp; Consistency Engine + PIG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SYNC-03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Resolution recommendations were generic — no evidence basis for resolution priority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Resolution recommendations cite the entities in conflict, the edge weight, and which version has higher evidence score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Sync &amp; Consistency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9. AI Visibility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AI-01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AI Visibility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Engine names appeared in the UI — users saw "Recommendation Engine" and "Risk Engine" labels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 engine names in UI — users see action verbs: Explain, Predict, Recommend, Simulate, Search, Compare, Summarize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UI Invisibility Rule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AI-02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AI Visibility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"AI Copilot" was branded explicitly — competing identity with the product brand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Rebranded as "Ask Green PM" chat input — single AI identity is "Green PM", no sub-brand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Ask Green PM (UI)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AI-03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AI Visibility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AI outputs did not always carry evidence references — "AI said so" with no traceability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Every AI output carries evidence_refs[] — pointers to PIG node IDs and evidence records that produced the output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AI Orchestration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10. Executive Experience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EXEC-01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Exec Exp.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Dashboards were not role-specific — executives and PMs saw the same metrics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Executive Digital Twin: three panels (Reality, Forecast, Required Decisions) — purpose-built for executive consumption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Executive Digital Twin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EXEC-02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Exec Exp.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 weekly synthesised executive view — executives had to navigate to find what mattered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Command Centre delivers EDT every Monday: current state, trajectory, decisions required this week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Project Command Centre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EXEC-03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Exec Exp.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KPIs were shown without trend direction — a number without context is noise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 KPIs without trend direction in EDT; no charts without narrative context — every metric has directional framing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Executive Digital Twin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EXEC-04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Exec Exp.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Required decisions were buried in multiple views — no consolidated decision demand list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Required Decisions panel in EDT: what the executive must decide this week, with evidence basis and consequence of delay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Executive Digital Twin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11. Simulation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SIM-01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Simulation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 scenario planning — PMs had to run mental models of "what if" situations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Simulation Engine: perturbation on any PIG node, propagated via BLOCKS, DEPENDS_ON, IMPACTS edges, full output in seconds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Simulation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SIM-02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Simulation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Schedule forecasts were static — updated when a user manually revised the schedule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Dynamic simulation over PIG: any event triggers re-computation of forward projections via Pub/Sub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Simulation Engine + Pub/Sub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SIM-03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Simulation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 calibration of simulations — theoretical projections not grounded in project history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Simulation Engine calibrates against Organizational Memory Engine: delay profiles, recovery times, historical patterns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Simulation + Memory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12. Graph Model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GRPH-01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Graph Model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Entity links were implicit — foreign key relationships not modelled as typed edges with semantics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Explicit typed edges: every relationship has a type (BLOCKS, DEPENDS_ON, etc.) with semantic meaning and weight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PIG (graph_edges)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GRPH-02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Graph Model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 weight on relationships — a BLOCKS edge was equally important whether it was critical path or optional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Weighted edges: numeric weight field on every edge; Impact Engine uses weights to prioritise cascading impact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PIG edge weight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GRPH-03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Graph Model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Contradictions between entity versions were not surfaced automatically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CONFLICTS_WITH edge type created by Sync &amp; Consistency Engine when version inconsistencies are detected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PIG + Sync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GRPH-04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Graph Model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Graph traversal required custom queries per use case — no standard traversal API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Graph traversal layer in PIG implementation: standard depth-first and breadth-first traversal with edge type filters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PIG traversal layer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13. Vendor Experience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VND-01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Vendor Exp.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Vendor portal was limited to deliverable submission — no visibility into their own performance scores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Vendor Workspace: vendors see all 6 performance dimension scores, trend, causal attribution, and improvement areas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Vendor Workspace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VND-02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Vendor Exp.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6-dimension vendor scoring was not exposed to vendors — scores used only internally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Vendor portal view: vendors see their scores with explanations; they can see what is driving low scores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Vendor Intelligence Engine + Portal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VND-03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Vendor Exp.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Vendor correspondence was separate from performance record — no unified vendor view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Vendor Workspace consolidates: deliverables, performance scores, contract milestones, NCRs, correspondence, payment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Vendor Workspace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14. Discipline Test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DISC-01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Discipline Test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Workflow Engine did not pass both discipline tests — it was a generic process manager, not an intelligence discipline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Workflow Engine dropped; absorbed into event processing core (Pub/Sub pipeline) — cleaner engine boundaries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Event Processing Core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DISC-02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Discipline Test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Configuration Engine did not pass both discipline tests — it was infrastructure, not an intelligence discipline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Configuration Engine dropped; absorbed into Green PM Studio — Studio owns all configuration, no engine boundary conflict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Green PM Studio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15. Forecasting Independence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FCST-01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Forecasting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Forecasting was subsumed under Recommendation Engine — could not be queried independently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Independent Forecasting Engine: independently queryable, sourcing inputs from all 16 other engines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Forecasting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FCST-02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Forecasting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Only schedule forecasting was implemented — no budget, quality, or commissioning forecast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6 forecast domains: schedule, budget, quality, resource, commissioning completion, cash flow — all independent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Forecasting Engine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FCST-03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Forecasting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Forecasting did not account for Readiness gate status — could forecast completion of incomplete systems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Forecasting Engine inputs Readiness Engine status — forecasts conditioned on gate clearance state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Forecasting Engine + Readiness Engine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16. Configuration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CFG-01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Configuration Engine existed as a runtime engine — configuration should be a build-time concern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Configuration Engine absorbed into Green PM Studio: 15 builders, configuration is a pre-project setup activity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Green PM Studio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CFG-02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Configuration changes required touching engine code — no separation of configuration from logic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Green PM Studio: all engine thresholds, approval workflows, readiness gate criteria, role definitions configurable in UI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Green PM Studio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17. Workflow Processing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WF-01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Workflow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Workflow Engine was too generic — tried to model all project workflows, resulting in competing abstractions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Workflow Engine dropped; project workflows are event-driven Pub/Sub pipelines, not a separate engine concern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Event Processing Core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WF-02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Workflow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Workflow Engine blurred engine boundaries — other engines referenced workflow state instead of PIG state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Clean engine boundaries in v5: all engines reference PIG state only; no inter-engine state dependencies via workflow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All Engines + PIG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gridSpan w:val="6"/>
            <w:shd w:fill="004D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18. Product Identity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ID-01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Product Identity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"Project Management" framing positioned Green PM against P6 and MS Project — feature comparison trap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"Engineering Project Operating System" framing — a category above project management, not a competitor to it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Product Positioning v5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ID-02</w:t>
            </w:r>
          </w:p>
        </w:tc>
        <w:tc>
          <w:tcPr>
            <w:tcW w:type="dxa" w:w="12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Product Identity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Competing with P6 framing invited schedule module comparison — P6 wins on Gantt sophistication</w:t>
            </w:r>
          </w:p>
        </w:tc>
        <w:tc>
          <w:tcPr>
            <w:tcW w:type="dxa" w:w="226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Complementing + eventually replacing framing: Green PM connects P6 data into the PIG; eventually schedule is native</w:t>
            </w:r>
          </w:p>
        </w:tc>
        <w:tc>
          <w:tcPr>
            <w:tcW w:type="dxa" w:w="164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Product Positioning v5</w:t>
            </w:r>
          </w:p>
        </w:tc>
        <w:tc>
          <w:tcPr>
            <w:tcW w:type="dxa" w:w="1300"/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474F"/>
                <w:sz w:val="18"/>
                <w:szCs w:val="18"/>
              </w:rPr>
              <w:t xml:space="preserve">ID-03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Product Identity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Value proposition was about features — AI-powered, real-time, integrated</w:t>
            </w:r>
          </w:p>
        </w:tc>
        <w:tc>
          <w:tcPr>
            <w:tcW w:type="dxa" w:w="2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Value proposition is about the architectural claim: the only Engineering Project Operating System — PIG + 17 engines proves it</w:t>
            </w:r>
          </w:p>
        </w:tc>
        <w:tc>
          <w:tcPr>
            <w:tcW w:type="dxa" w:w="1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Product Identity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</w:tbl>
    <w:p>
      <w:pPr>
        <w:spacing w:after="200"/>
      </w:pPr>
      <w:r>
        <w:t xml:space="preserve"/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74F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PM v5 Gap Resolution Matrix</dc:title>
  <dc:creator>Green PM</dc:creator>
  <dc:description>63 gap resolutions across 18 categories — v4 to v5</dc:description>
  <cp:lastModifiedBy>Un-named</cp:lastModifiedBy>
  <cp:revision>1</cp:revision>
  <dcterms:created xsi:type="dcterms:W3CDTF">2026-08-03T11:01:36.139Z</dcterms:created>
  <dcterms:modified xsi:type="dcterms:W3CDTF">2026-08-03T11:01:36.141Z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