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Calibri" w:cs="Calibri" w:eastAsia="Calibri" w:hAnsi="Calibri"/>
          <w:b/>
          <w:bCs/>
          <w:color w:val="2E7D32"/>
          <w:sz w:val="44"/>
          <w:szCs w:val="44"/>
        </w:rPr>
        <w:t xml:space="preserve">Green PM  v5</w:t>
      </w:r>
    </w:p>
    <w:p>
      <w:pPr>
        <w:spacing w:after="160" w:before="0"/>
        <w:jc w:val="center"/>
      </w:pPr>
      <w:r>
        <w:rPr>
          <w:rFonts w:ascii="Calibri" w:cs="Calibri" w:eastAsia="Calibri" w:hAnsi="Calibri"/>
          <w:b/>
          <w:bCs/>
          <w:color w:val="1B5E20"/>
          <w:sz w:val="56"/>
          <w:szCs w:val="56"/>
        </w:rPr>
        <w:t xml:space="preserve">Green PM Studio</w:t>
      </w:r>
    </w:p>
    <w:p>
      <w:pPr>
        <w:spacing w:after="80" w:before="0"/>
        <w:jc w:val="center"/>
      </w:pPr>
      <w:r>
        <w:rPr>
          <w:rFonts w:ascii="Calibri" w:cs="Calibri" w:eastAsia="Calibri" w:hAnsi="Calibri"/>
          <w:color w:val="555555"/>
          <w:sz w:val="26"/>
          <w:szCs w:val="26"/>
        </w:rPr>
        <w:t xml:space="preserve">Configuration Layer — 15 Builders — Technical Reference</w:t>
      </w:r>
    </w:p>
    <w:p>
      <w:pPr>
        <w:spacing w:after="720" w:before="0"/>
        <w:jc w:val="center"/>
      </w:pPr>
      <w:r>
        <w:rPr>
          <w:rFonts w:ascii="Calibri" w:cs="Calibri" w:eastAsia="Calibri" w:hAnsi="Calibri"/>
          <w:color w:val="777777"/>
          <w:sz w:val="22"/>
          <w:szCs w:val="22"/>
        </w:rPr>
        <w:t xml:space="preserve">Version 5.0  |  August 2026</w:t>
      </w:r>
    </w:p>
    <w:p>
      <w:r>
        <w:br w:type="page"/>
      </w:r>
    </w:p>
    <w:p>
      <w:pPr>
        <w:pBdr>
          <w:bottom w:val="single" w:color="1B5E20" w:sz="6" w:space="4"/>
        </w:pBdr>
        <w:spacing w:after="240" w:before="480"/>
      </w:pPr>
      <w:r>
        <w:rPr>
          <w:rFonts w:ascii="Calibri" w:cs="Calibri" w:eastAsia="Calibri" w:hAnsi="Calibri"/>
          <w:b/>
          <w:bCs/>
          <w:color w:val="1B5E20"/>
          <w:sz w:val="36"/>
          <w:szCs w:val="36"/>
        </w:rPr>
        <w:t xml:space="preserve">Green PM Studio — Overview</w:t>
      </w:r>
    </w:p>
    <w:p>
      <w:pPr>
        <w:spacing w:after="80" w:before="80"/>
        <w:jc w:val="left"/>
      </w:pPr>
      <w:r>
        <w:rPr>
          <w:rFonts w:ascii="Calibri" w:cs="Calibri" w:eastAsia="Calibri" w:hAnsi="Calibri"/>
          <w:b w:val="false"/>
          <w:bCs w:val="false"/>
          <w:color w:val="000000"/>
          <w:sz w:val="22"/>
          <w:szCs w:val="22"/>
        </w:rPr>
        <w:t xml:space="preserve">Green PM Studio is the configuration layer that makes Green PM a true multi-tenant platform. It absorbed the v4 Configuration Engine entirely — every client-specific adaptation that previously required code changes now happens through Studio builders. No deployment, no code, no engineering ticket.</w:t>
      </w:r>
    </w:p>
    <w:p>
      <w:pPr>
        <w:spacing w:after="60" w:before="60"/>
      </w:pPr>
    </w:p>
    <w:p>
      <w:pPr>
        <w:spacing w:after="80" w:before="80"/>
        <w:jc w:val="left"/>
      </w:pPr>
      <w:r>
        <w:rPr>
          <w:rFonts w:ascii="Calibri" w:cs="Calibri" w:eastAsia="Calibri" w:hAnsi="Calibri"/>
          <w:b/>
          <w:bCs/>
          <w:color w:val="000000"/>
          <w:sz w:val="22"/>
          <w:szCs w:val="22"/>
        </w:rPr>
        <w:t xml:space="preserve">The fundamental promise: every new client is a new tenant record plus a Studio configuration. That is all that is required to go live.</w:t>
      </w:r>
    </w:p>
    <w:p>
      <w:pPr>
        <w:spacing w:after="60" w:before="60"/>
      </w:pPr>
    </w:p>
    <w:p>
      <w:pPr>
        <w:spacing w:after="160" w:before="320"/>
      </w:pPr>
      <w:r>
        <w:rPr>
          <w:rFonts w:ascii="Calibri" w:cs="Calibri" w:eastAsia="Calibri" w:hAnsi="Calibri"/>
          <w:b/>
          <w:bCs/>
          <w:color w:val="2E7D32"/>
          <w:sz w:val="28"/>
          <w:szCs w:val="28"/>
        </w:rPr>
        <w:t xml:space="preserve">Studio Principles</w:t>
      </w:r>
    </w:p>
    <w:p>
      <w:pPr>
        <w:pStyle w:val="ListParagraph"/>
        <w:numPr>
          <w:ilvl w:val="0"/>
          <w:numId w:val="1"/>
        </w:numPr>
        <w:spacing w:after="60" w:before="60"/>
      </w:pPr>
      <w:r>
        <w:rPr>
          <w:rFonts w:ascii="Calibri" w:cs="Calibri" w:eastAsia="Calibri" w:hAnsi="Calibri"/>
          <w:sz w:val="22"/>
          <w:szCs w:val="22"/>
        </w:rPr>
        <w:t xml:space="preserve">Every client = tenant record + Studio configuration, zero code — Studio is the only place client-specific behaviour lives</w:t>
      </w:r>
    </w:p>
    <w:p>
      <w:pPr>
        <w:pStyle w:val="ListParagraph"/>
        <w:numPr>
          <w:ilvl w:val="0"/>
          <w:numId w:val="1"/>
        </w:numPr>
        <w:spacing w:after="60" w:before="60"/>
      </w:pPr>
      <w:r>
        <w:rPr>
          <w:rFonts w:ascii="Calibri" w:cs="Calibri" w:eastAsia="Calibri" w:hAnsi="Calibri"/>
          <w:sz w:val="22"/>
          <w:szCs w:val="22"/>
        </w:rPr>
        <w:t xml:space="preserve">Onboarding in 14 days or less — a new EPC project should be fully configured and operational in Green PM within two weeks, using only Studio builders</w:t>
      </w:r>
    </w:p>
    <w:p>
      <w:pPr>
        <w:pStyle w:val="ListParagraph"/>
        <w:numPr>
          <w:ilvl w:val="0"/>
          <w:numId w:val="1"/>
        </w:numPr>
        <w:spacing w:after="60" w:before="60"/>
      </w:pPr>
      <w:r>
        <w:rPr>
          <w:rFonts w:ascii="Calibri" w:cs="Calibri" w:eastAsia="Calibri" w:hAnsi="Calibri"/>
          <w:sz w:val="22"/>
          <w:szCs w:val="22"/>
        </w:rPr>
        <w:t xml:space="preserve">Studio is admin-only — access restricted to the Studio Admin role; no other role can access any builder</w:t>
      </w:r>
    </w:p>
    <w:p>
      <w:pPr>
        <w:pStyle w:val="ListParagraph"/>
        <w:numPr>
          <w:ilvl w:val="0"/>
          <w:numId w:val="1"/>
        </w:numPr>
        <w:spacing w:after="60" w:before="60"/>
      </w:pPr>
      <w:r>
        <w:rPr>
          <w:rFonts w:ascii="Calibri" w:cs="Calibri" w:eastAsia="Calibri" w:hAnsi="Calibri"/>
          <w:sz w:val="22"/>
          <w:szCs w:val="22"/>
        </w:rPr>
        <w:t xml:space="preserve">All Studio changes are audited — every configuration change is recorded with timestamp, actor, previous value, new value; immutable audit log</w:t>
      </w:r>
    </w:p>
    <w:p>
      <w:pPr>
        <w:pStyle w:val="ListParagraph"/>
        <w:numPr>
          <w:ilvl w:val="0"/>
          <w:numId w:val="1"/>
        </w:numPr>
        <w:spacing w:after="60" w:before="60"/>
      </w:pPr>
      <w:r>
        <w:rPr>
          <w:rFonts w:ascii="Calibri" w:cs="Calibri" w:eastAsia="Calibri" w:hAnsi="Calibri"/>
          <w:sz w:val="22"/>
          <w:szCs w:val="22"/>
        </w:rPr>
        <w:t xml:space="preserve">Studio configuration is exportable — every tenant's configuration can be exported as a JSON bundle for reuse across projects or to create a client-specific template</w:t>
      </w:r>
    </w:p>
    <w:p>
      <w:pPr>
        <w:pStyle w:val="ListParagraph"/>
        <w:numPr>
          <w:ilvl w:val="0"/>
          <w:numId w:val="1"/>
        </w:numPr>
        <w:spacing w:after="60" w:before="60"/>
      </w:pPr>
      <w:r>
        <w:rPr>
          <w:rFonts w:ascii="Calibri" w:cs="Calibri" w:eastAsia="Calibri" w:hAnsi="Calibri"/>
          <w:sz w:val="22"/>
          <w:szCs w:val="22"/>
        </w:rPr>
        <w:t xml:space="preserve">Builders are independent but consistent — each builder configures one domain; changes in one builder do not cascade silently to others</w:t>
      </w:r>
    </w:p>
    <w:p>
      <w:pPr>
        <w:pStyle w:val="ListParagraph"/>
        <w:numPr>
          <w:ilvl w:val="0"/>
          <w:numId w:val="1"/>
        </w:numPr>
        <w:spacing w:after="60" w:before="60"/>
      </w:pPr>
      <w:r>
        <w:rPr>
          <w:rFonts w:ascii="Calibri" w:cs="Calibri" w:eastAsia="Calibri" w:hAnsi="Calibri"/>
          <w:sz w:val="22"/>
          <w:szCs w:val="22"/>
        </w:rPr>
        <w:t xml:space="preserve">Preview mode — every builder has a preview pane showing how the configuration will render before it is activated</w:t>
      </w:r>
    </w:p>
    <w:p>
      <w:pPr>
        <w:spacing w:after="60" w:before="60"/>
      </w:pPr>
    </w:p>
    <w:p>
      <w:pPr>
        <w:spacing w:after="160" w:before="320"/>
      </w:pPr>
      <w:r>
        <w:rPr>
          <w:rFonts w:ascii="Calibri" w:cs="Calibri" w:eastAsia="Calibri" w:hAnsi="Calibri"/>
          <w:b/>
          <w:bCs/>
          <w:color w:val="2E7D32"/>
          <w:sz w:val="28"/>
          <w:szCs w:val="28"/>
        </w:rPr>
        <w:t xml:space="preserve">Studio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Access Level</w:t>
            </w:r>
          </w:p>
        </w:tc>
        <w:tc>
          <w:tcPr>
            <w:tcW w:type="dxa" w:w="2500"/>
            <w:shd w:fill="2E7D32" w:color="auto" w:val="clear"/>
          </w:tcPr>
          <w:p>
            <w:pPr>
              <w:spacing w:after="80" w:before="80"/>
            </w:pPr>
            <w:r>
              <w:rPr>
                <w:rFonts w:ascii="Calibri" w:cs="Calibri" w:eastAsia="Calibri" w:hAnsi="Calibri"/>
                <w:b/>
                <w:bCs/>
                <w:color w:val="FFFFFF"/>
                <w:sz w:val="20"/>
                <w:szCs w:val="20"/>
              </w:rPr>
              <w:t xml:space="preserve">Who Holds It</w:t>
            </w:r>
          </w:p>
        </w:tc>
        <w:tc>
          <w:tcPr>
            <w:tcW w:type="dxa" w:w="4360"/>
            <w:shd w:fill="2E7D32" w:color="auto" w:val="clear"/>
          </w:tcPr>
          <w:p>
            <w:pPr>
              <w:spacing w:after="80" w:before="80"/>
            </w:pPr>
            <w:r>
              <w:rPr>
                <w:rFonts w:ascii="Calibri" w:cs="Calibri" w:eastAsia="Calibri" w:hAnsi="Calibri"/>
                <w:b/>
                <w:bCs/>
                <w:color w:val="FFFFFF"/>
                <w:sz w:val="20"/>
                <w:szCs w:val="20"/>
              </w:rPr>
              <w:t xml:space="preserve">What They Can Do</w:t>
            </w:r>
          </w:p>
        </w:tc>
      </w:tr>
      <w:tr>
        <w:tc>
          <w:tcPr>
            <w:tcW w:type="dxa" w:w="2500"/>
            <w:shd w:fill="FFFFFF" w:color="auto" w:val="clear"/>
          </w:tcPr>
          <w:p>
            <w:pPr>
              <w:spacing w:after="60" w:before="60"/>
            </w:pPr>
            <w:r>
              <w:rPr>
                <w:rFonts w:ascii="Calibri" w:cs="Calibri" w:eastAsia="Calibri" w:hAnsi="Calibri"/>
                <w:sz w:val="20"/>
                <w:szCs w:val="20"/>
              </w:rPr>
              <w:t xml:space="preserve">Studio Admin</w:t>
            </w:r>
          </w:p>
        </w:tc>
        <w:tc>
          <w:tcPr>
            <w:tcW w:type="dxa" w:w="2500"/>
            <w:shd w:fill="FFFFFF" w:color="auto" w:val="clear"/>
          </w:tcPr>
          <w:p>
            <w:pPr>
              <w:spacing w:after="60" w:before="60"/>
            </w:pPr>
            <w:r>
              <w:rPr>
                <w:rFonts w:ascii="Calibri" w:cs="Calibri" w:eastAsia="Calibri" w:hAnsi="Calibri"/>
                <w:sz w:val="20"/>
                <w:szCs w:val="20"/>
              </w:rPr>
              <w:t xml:space="preserve">Explicitly assigned by Tenant Owner; max 3 per tenant</w:t>
            </w:r>
          </w:p>
        </w:tc>
        <w:tc>
          <w:tcPr>
            <w:tcW w:type="dxa" w:w="4360"/>
            <w:shd w:fill="FFFFFF" w:color="auto" w:val="clear"/>
          </w:tcPr>
          <w:p>
            <w:pPr>
              <w:spacing w:after="60" w:before="60"/>
            </w:pPr>
            <w:r>
              <w:rPr>
                <w:rFonts w:ascii="Calibri" w:cs="Calibri" w:eastAsia="Calibri" w:hAnsi="Calibri"/>
                <w:sz w:val="20"/>
                <w:szCs w:val="20"/>
              </w:rPr>
              <w:t xml:space="preserve">Access all 15 builders; create, edit, delete configurations; export/import bundles; view full audit log</w:t>
            </w:r>
          </w:p>
        </w:tc>
      </w:tr>
      <w:tr>
        <w:tc>
          <w:tcPr>
            <w:tcW w:type="dxa" w:w="2500"/>
            <w:shd w:fill="F1F8E9" w:color="auto" w:val="clear"/>
          </w:tcPr>
          <w:p>
            <w:pPr>
              <w:spacing w:after="60" w:before="60"/>
            </w:pPr>
            <w:r>
              <w:rPr>
                <w:rFonts w:ascii="Calibri" w:cs="Calibri" w:eastAsia="Calibri" w:hAnsi="Calibri"/>
                <w:sz w:val="20"/>
                <w:szCs w:val="20"/>
              </w:rPr>
              <w:t xml:space="preserve">Tenant Owner</w:t>
            </w:r>
          </w:p>
        </w:tc>
        <w:tc>
          <w:tcPr>
            <w:tcW w:type="dxa" w:w="2500"/>
            <w:shd w:fill="F1F8E9" w:color="auto" w:val="clear"/>
          </w:tcPr>
          <w:p>
            <w:pPr>
              <w:spacing w:after="60" w:before="60"/>
            </w:pPr>
            <w:r>
              <w:rPr>
                <w:rFonts w:ascii="Calibri" w:cs="Calibri" w:eastAsia="Calibri" w:hAnsi="Calibri"/>
                <w:sz w:val="20"/>
                <w:szCs w:val="20"/>
              </w:rPr>
              <w:t xml:space="preserve">One per tenant (assigned at onboarding)</w:t>
            </w:r>
          </w:p>
        </w:tc>
        <w:tc>
          <w:tcPr>
            <w:tcW w:type="dxa" w:w="4360"/>
            <w:shd w:fill="F1F8E9" w:color="auto" w:val="clear"/>
          </w:tcPr>
          <w:p>
            <w:pPr>
              <w:spacing w:after="60" w:before="60"/>
            </w:pPr>
            <w:r>
              <w:rPr>
                <w:rFonts w:ascii="Calibri" w:cs="Calibri" w:eastAsia="Calibri" w:hAnsi="Calibri"/>
                <w:sz w:val="20"/>
                <w:szCs w:val="20"/>
              </w:rPr>
              <w:t xml:space="preserve">Assign Studio Admin role; view Studio audit log; cannot directly edit builder configurations</w:t>
            </w:r>
          </w:p>
        </w:tc>
      </w:tr>
      <w:tr>
        <w:tc>
          <w:tcPr>
            <w:tcW w:type="dxa" w:w="2500"/>
            <w:shd w:fill="FFFFFF" w:color="auto" w:val="clear"/>
          </w:tcPr>
          <w:p>
            <w:pPr>
              <w:spacing w:after="60" w:before="60"/>
            </w:pPr>
            <w:r>
              <w:rPr>
                <w:rFonts w:ascii="Calibri" w:cs="Calibri" w:eastAsia="Calibri" w:hAnsi="Calibri"/>
                <w:sz w:val="20"/>
                <w:szCs w:val="20"/>
              </w:rPr>
              <w:t xml:space="preserve">All other roles</w:t>
            </w:r>
          </w:p>
        </w:tc>
        <w:tc>
          <w:tcPr>
            <w:tcW w:type="dxa" w:w="2500"/>
            <w:shd w:fill="FFFFFF" w:color="auto" w:val="clear"/>
          </w:tcPr>
          <w:p>
            <w:pPr>
              <w:spacing w:after="60" w:before="60"/>
            </w:pPr>
            <w:r>
              <w:rPr>
                <w:rFonts w:ascii="Calibri" w:cs="Calibri" w:eastAsia="Calibri" w:hAnsi="Calibri"/>
                <w:sz w:val="20"/>
                <w:szCs w:val="20"/>
              </w:rPr>
              <w:t xml:space="preserve">N/A</w:t>
            </w:r>
          </w:p>
        </w:tc>
        <w:tc>
          <w:tcPr>
            <w:tcW w:type="dxa" w:w="4360"/>
            <w:shd w:fill="FFFFFF" w:color="auto" w:val="clear"/>
          </w:tcPr>
          <w:p>
            <w:pPr>
              <w:spacing w:after="60" w:before="60"/>
            </w:pPr>
            <w:r>
              <w:rPr>
                <w:rFonts w:ascii="Calibri" w:cs="Calibri" w:eastAsia="Calibri" w:hAnsi="Calibri"/>
                <w:sz w:val="20"/>
                <w:szCs w:val="20"/>
              </w:rPr>
              <w:t xml:space="preserve">No Studio access — Studio is not visible in navigation</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1 — Stage Gate Builder</w:t>
      </w:r>
    </w:p>
    <w:p>
      <w:pPr>
        <w:spacing w:after="80" w:before="80"/>
        <w:jc w:val="left"/>
      </w:pPr>
      <w:r>
        <w:rPr>
          <w:rFonts w:ascii="Calibri" w:cs="Calibri" w:eastAsia="Calibri" w:hAnsi="Calibri"/>
          <w:b w:val="false"/>
          <w:bCs w:val="false"/>
          <w:color w:val="000000"/>
          <w:sz w:val="22"/>
          <w:szCs w:val="22"/>
        </w:rPr>
        <w:t xml:space="preserve">Purpose: The Stage Gate Builder configures the formal review gates that govern project phase transitions. Every EPC project has review points where the organisation formally certifies readiness to proceed to the next phase — the Stage Gate Builder defines those points, their criteria, who must approve them, and what documentation is required. In Green PM v5, the Stage Gate Builder works in conjunction with the Readiness Engine: Readiness Gate criteria flow from this builder into the Readiness Engine's gate-tracking logic. A project cannot be marked as having passed a gate unless all mandatory criteria are satisfied and the configured approval chain has signed off.</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Gate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Human-readable name for the stage gate (e.g., 'Design Freeze Gate', 'Construction Readiness Review')</w:t>
            </w:r>
          </w:p>
        </w:tc>
      </w:tr>
      <w:tr>
        <w:tc>
          <w:tcPr>
            <w:tcW w:type="dxa" w:w="2500"/>
            <w:shd w:fill="F1F8E9" w:color="auto" w:val="clear"/>
          </w:tcPr>
          <w:p>
            <w:pPr>
              <w:spacing w:after="60" w:before="60"/>
            </w:pPr>
            <w:r>
              <w:rPr>
                <w:rFonts w:ascii="Calibri" w:cs="Calibri" w:eastAsia="Calibri" w:hAnsi="Calibri"/>
                <w:sz w:val="20"/>
                <w:szCs w:val="20"/>
              </w:rPr>
              <w:t xml:space="preserve">Gate Description</w:t>
            </w:r>
          </w:p>
        </w:tc>
        <w:tc>
          <w:tcPr>
            <w:tcW w:type="dxa" w:w="1200"/>
            <w:shd w:fill="F1F8E9" w:color="auto" w:val="clear"/>
          </w:tcPr>
          <w:p>
            <w:pPr>
              <w:spacing w:after="60" w:before="60"/>
            </w:pPr>
            <w:r>
              <w:rPr>
                <w:rFonts w:ascii="Calibri" w:cs="Calibri" w:eastAsia="Calibri" w:hAnsi="Calibri"/>
                <w:sz w:val="20"/>
                <w:szCs w:val="20"/>
              </w:rPr>
              <w:t xml:space="preserve">Text (long)</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Full description of what this gate certifies and its purpose in the project lifecycle</w:t>
            </w:r>
          </w:p>
        </w:tc>
      </w:tr>
      <w:tr>
        <w:tc>
          <w:tcPr>
            <w:tcW w:type="dxa" w:w="2500"/>
            <w:shd w:fill="FFFFFF" w:color="auto" w:val="clear"/>
          </w:tcPr>
          <w:p>
            <w:pPr>
              <w:spacing w:after="60" w:before="60"/>
            </w:pPr>
            <w:r>
              <w:rPr>
                <w:rFonts w:ascii="Calibri" w:cs="Calibri" w:eastAsia="Calibri" w:hAnsi="Calibri"/>
                <w:sz w:val="20"/>
                <w:szCs w:val="20"/>
              </w:rPr>
              <w:t xml:space="preserve">Gate Type</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custom</w:t>
            </w:r>
          </w:p>
        </w:tc>
        <w:tc>
          <w:tcPr>
            <w:tcW w:type="dxa" w:w="4100"/>
            <w:shd w:fill="FFFFFF" w:color="auto" w:val="clear"/>
          </w:tcPr>
          <w:p>
            <w:pPr>
              <w:spacing w:after="60" w:before="60"/>
            </w:pPr>
            <w:r>
              <w:rPr>
                <w:rFonts w:ascii="Calibri" w:cs="Calibri" w:eastAsia="Calibri" w:hAnsi="Calibri"/>
                <w:sz w:val="20"/>
                <w:szCs w:val="20"/>
              </w:rPr>
              <w:t xml:space="preserve">One of the 6 standard types (Engineering, Material, Construction, Quality, Commissioning, COD) or 'custom' for additional gates</w:t>
            </w:r>
          </w:p>
        </w:tc>
      </w:tr>
      <w:tr>
        <w:tc>
          <w:tcPr>
            <w:tcW w:type="dxa" w:w="2500"/>
            <w:shd w:fill="F1F8E9" w:color="auto" w:val="clear"/>
          </w:tcPr>
          <w:p>
            <w:pPr>
              <w:spacing w:after="60" w:before="60"/>
            </w:pPr>
            <w:r>
              <w:rPr>
                <w:rFonts w:ascii="Calibri" w:cs="Calibri" w:eastAsia="Calibri" w:hAnsi="Calibri"/>
                <w:sz w:val="20"/>
                <w:szCs w:val="20"/>
              </w:rPr>
              <w:t xml:space="preserve">Mandatory Criteria</w:t>
            </w:r>
          </w:p>
        </w:tc>
        <w:tc>
          <w:tcPr>
            <w:tcW w:type="dxa" w:w="1200"/>
            <w:shd w:fill="F1F8E9" w:color="auto" w:val="clear"/>
          </w:tcPr>
          <w:p>
            <w:pPr>
              <w:spacing w:after="60" w:before="60"/>
            </w:pPr>
            <w:r>
              <w:rPr>
                <w:rFonts w:ascii="Calibri" w:cs="Calibri" w:eastAsia="Calibri" w:hAnsi="Calibri"/>
                <w:sz w:val="20"/>
                <w:szCs w:val="20"/>
              </w:rPr>
              <w:t xml:space="preserve">Checklist (array)</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Ordered list of criteria that must be 100% complete before gate can pass; each item has a name, description, and evidence requirement</w:t>
            </w:r>
          </w:p>
        </w:tc>
      </w:tr>
      <w:tr>
        <w:tc>
          <w:tcPr>
            <w:tcW w:type="dxa" w:w="2500"/>
            <w:shd w:fill="FFFFFF" w:color="auto" w:val="clear"/>
          </w:tcPr>
          <w:p>
            <w:pPr>
              <w:spacing w:after="60" w:before="60"/>
            </w:pPr>
            <w:r>
              <w:rPr>
                <w:rFonts w:ascii="Calibri" w:cs="Calibri" w:eastAsia="Calibri" w:hAnsi="Calibri"/>
                <w:sz w:val="20"/>
                <w:szCs w:val="20"/>
              </w:rPr>
              <w:t xml:space="preserve">Approval Chain</w:t>
            </w:r>
          </w:p>
        </w:tc>
        <w:tc>
          <w:tcPr>
            <w:tcW w:type="dxa" w:w="1200"/>
            <w:shd w:fill="FFFFFF" w:color="auto" w:val="clear"/>
          </w:tcPr>
          <w:p>
            <w:pPr>
              <w:spacing w:after="60" w:before="60"/>
            </w:pPr>
            <w:r>
              <w:rPr>
                <w:rFonts w:ascii="Calibri" w:cs="Calibri" w:eastAsia="Calibri" w:hAnsi="Calibri"/>
                <w:sz w:val="20"/>
                <w:szCs w:val="20"/>
              </w:rPr>
              <w:t xml:space="preserve">Role references (array)</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Ordered list of roles that must approve the gate, in sequence; parallel approval not supported for gates</w:t>
            </w:r>
          </w:p>
        </w:tc>
      </w:tr>
      <w:tr>
        <w:tc>
          <w:tcPr>
            <w:tcW w:type="dxa" w:w="2500"/>
            <w:shd w:fill="F1F8E9" w:color="auto" w:val="clear"/>
          </w:tcPr>
          <w:p>
            <w:pPr>
              <w:spacing w:after="60" w:before="60"/>
            </w:pPr>
            <w:r>
              <w:rPr>
                <w:rFonts w:ascii="Calibri" w:cs="Calibri" w:eastAsia="Calibri" w:hAnsi="Calibri"/>
                <w:sz w:val="20"/>
                <w:szCs w:val="20"/>
              </w:rPr>
              <w:t xml:space="preserve">Document Requirements</w:t>
            </w:r>
          </w:p>
        </w:tc>
        <w:tc>
          <w:tcPr>
            <w:tcW w:type="dxa" w:w="1200"/>
            <w:shd w:fill="F1F8E9" w:color="auto" w:val="clear"/>
          </w:tcPr>
          <w:p>
            <w:pPr>
              <w:spacing w:after="60" w:before="60"/>
            </w:pPr>
            <w:r>
              <w:rPr>
                <w:rFonts w:ascii="Calibri" w:cs="Calibri" w:eastAsia="Calibri" w:hAnsi="Calibri"/>
                <w:sz w:val="20"/>
                <w:szCs w:val="20"/>
              </w:rPr>
              <w:t xml:space="preserve">Multi-select</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Documents that must be attached to the gate record before approval is offered (drawing register extract, inspection reports, etc.)</w:t>
            </w:r>
          </w:p>
        </w:tc>
      </w:tr>
      <w:tr>
        <w:tc>
          <w:tcPr>
            <w:tcW w:type="dxa" w:w="2500"/>
            <w:shd w:fill="FFFFFF" w:color="auto" w:val="clear"/>
          </w:tcPr>
          <w:p>
            <w:pPr>
              <w:spacing w:after="60" w:before="60"/>
            </w:pPr>
            <w:r>
              <w:rPr>
                <w:rFonts w:ascii="Calibri" w:cs="Calibri" w:eastAsia="Calibri" w:hAnsi="Calibri"/>
                <w:sz w:val="20"/>
                <w:szCs w:val="20"/>
              </w:rPr>
              <w:t xml:space="preserve">Evidence Threshold</w:t>
            </w:r>
          </w:p>
        </w:tc>
        <w:tc>
          <w:tcPr>
            <w:tcW w:type="dxa" w:w="1200"/>
            <w:shd w:fill="FFFFFF" w:color="auto" w:val="clear"/>
          </w:tcPr>
          <w:p>
            <w:pPr>
              <w:spacing w:after="60" w:before="60"/>
            </w:pPr>
            <w:r>
              <w:rPr>
                <w:rFonts w:ascii="Calibri" w:cs="Calibri" w:eastAsia="Calibri" w:hAnsi="Calibri"/>
                <w:sz w:val="20"/>
                <w:szCs w:val="20"/>
              </w:rPr>
              <w:t xml:space="preserve">Numeric (0-1)</w:t>
            </w:r>
          </w:p>
        </w:tc>
        <w:tc>
          <w:tcPr>
            <w:tcW w:type="dxa" w:w="1560"/>
            <w:shd w:fill="FFFFFF" w:color="auto" w:val="clear"/>
          </w:tcPr>
          <w:p>
            <w:pPr>
              <w:spacing w:after="60" w:before="60"/>
            </w:pPr>
            <w:r>
              <w:rPr>
                <w:rFonts w:ascii="Calibri" w:cs="Calibri" w:eastAsia="Calibri" w:hAnsi="Calibri"/>
                <w:sz w:val="20"/>
                <w:szCs w:val="20"/>
              </w:rPr>
              <w:t xml:space="preserve">0.70</w:t>
            </w:r>
          </w:p>
        </w:tc>
        <w:tc>
          <w:tcPr>
            <w:tcW w:type="dxa" w:w="4100"/>
            <w:shd w:fill="FFFFFF" w:color="auto" w:val="clear"/>
          </w:tcPr>
          <w:p>
            <w:pPr>
              <w:spacing w:after="60" w:before="60"/>
            </w:pPr>
            <w:r>
              <w:rPr>
                <w:rFonts w:ascii="Calibri" w:cs="Calibri" w:eastAsia="Calibri" w:hAnsi="Calibri"/>
                <w:sz w:val="20"/>
                <w:szCs w:val="20"/>
              </w:rPr>
              <w:t xml:space="preserve">Minimum average Evidence Score across all in-scope activities for this gate to be eligible for approval</w:t>
            </w:r>
          </w:p>
        </w:tc>
      </w:tr>
      <w:tr>
        <w:tc>
          <w:tcPr>
            <w:tcW w:type="dxa" w:w="2500"/>
            <w:shd w:fill="F1F8E9" w:color="auto" w:val="clear"/>
          </w:tcPr>
          <w:p>
            <w:pPr>
              <w:spacing w:after="60" w:before="60"/>
            </w:pPr>
            <w:r>
              <w:rPr>
                <w:rFonts w:ascii="Calibri" w:cs="Calibri" w:eastAsia="Calibri" w:hAnsi="Calibri"/>
                <w:sz w:val="20"/>
                <w:szCs w:val="20"/>
              </w:rPr>
              <w:t xml:space="preserve">Minimum Evidence Score</w:t>
            </w:r>
          </w:p>
        </w:tc>
        <w:tc>
          <w:tcPr>
            <w:tcW w:type="dxa" w:w="1200"/>
            <w:shd w:fill="F1F8E9" w:color="auto" w:val="clear"/>
          </w:tcPr>
          <w:p>
            <w:pPr>
              <w:spacing w:after="60" w:before="60"/>
            </w:pPr>
            <w:r>
              <w:rPr>
                <w:rFonts w:ascii="Calibri" w:cs="Calibri" w:eastAsia="Calibri" w:hAnsi="Calibri"/>
                <w:sz w:val="20"/>
                <w:szCs w:val="20"/>
              </w:rPr>
              <w:t xml:space="preserve">Numeric (0-1)</w:t>
            </w:r>
          </w:p>
        </w:tc>
        <w:tc>
          <w:tcPr>
            <w:tcW w:type="dxa" w:w="1560"/>
            <w:shd w:fill="F1F8E9" w:color="auto" w:val="clear"/>
          </w:tcPr>
          <w:p>
            <w:pPr>
              <w:spacing w:after="60" w:before="60"/>
            </w:pPr>
            <w:r>
              <w:rPr>
                <w:rFonts w:ascii="Calibri" w:cs="Calibri" w:eastAsia="Calibri" w:hAnsi="Calibri"/>
                <w:sz w:val="20"/>
                <w:szCs w:val="20"/>
              </w:rPr>
              <w:t xml:space="preserve">0.40</w:t>
            </w:r>
          </w:p>
        </w:tc>
        <w:tc>
          <w:tcPr>
            <w:tcW w:type="dxa" w:w="4100"/>
            <w:shd w:fill="F1F8E9" w:color="auto" w:val="clear"/>
          </w:tcPr>
          <w:p>
            <w:pPr>
              <w:spacing w:after="60" w:before="60"/>
            </w:pPr>
            <w:r>
              <w:rPr>
                <w:rFonts w:ascii="Calibri" w:cs="Calibri" w:eastAsia="Calibri" w:hAnsi="Calibri"/>
                <w:sz w:val="20"/>
                <w:szCs w:val="20"/>
              </w:rPr>
              <w:t xml:space="preserve">Minimum Evidence Score for any individual in-scope activity — no activity may fall below this floor when gate approval is sought</w:t>
            </w:r>
          </w:p>
        </w:tc>
      </w:tr>
      <w:tr>
        <w:tc>
          <w:tcPr>
            <w:tcW w:type="dxa" w:w="2500"/>
            <w:shd w:fill="FFFFFF" w:color="auto" w:val="clear"/>
          </w:tcPr>
          <w:p>
            <w:pPr>
              <w:spacing w:after="60" w:before="60"/>
            </w:pPr>
            <w:r>
              <w:rPr>
                <w:rFonts w:ascii="Calibri" w:cs="Calibri" w:eastAsia="Calibri" w:hAnsi="Calibri"/>
                <w:sz w:val="20"/>
                <w:szCs w:val="20"/>
              </w:rPr>
              <w:t xml:space="preserve">Blocking Item Policy</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all_blocking</w:t>
            </w:r>
          </w:p>
        </w:tc>
        <w:tc>
          <w:tcPr>
            <w:tcW w:type="dxa" w:w="4100"/>
            <w:shd w:fill="FFFFFF" w:color="auto" w:val="clear"/>
          </w:tcPr>
          <w:p>
            <w:pPr>
              <w:spacing w:after="60" w:before="60"/>
            </w:pPr>
            <w:r>
              <w:rPr>
                <w:rFonts w:ascii="Calibri" w:cs="Calibri" w:eastAsia="Calibri" w:hAnsi="Calibri"/>
                <w:sz w:val="20"/>
                <w:szCs w:val="20"/>
              </w:rPr>
              <w:t xml:space="preserve">all_blocking: no blocking item may be open; advisory_only: blocking items generate warnings but do not prevent approval</w:t>
            </w:r>
          </w:p>
        </w:tc>
      </w:tr>
      <w:tr>
        <w:tc>
          <w:tcPr>
            <w:tcW w:type="dxa" w:w="2500"/>
            <w:shd w:fill="F1F8E9" w:color="auto" w:val="clear"/>
          </w:tcPr>
          <w:p>
            <w:pPr>
              <w:spacing w:after="60" w:before="60"/>
            </w:pPr>
            <w:r>
              <w:rPr>
                <w:rFonts w:ascii="Calibri" w:cs="Calibri" w:eastAsia="Calibri" w:hAnsi="Calibri"/>
                <w:sz w:val="20"/>
                <w:szCs w:val="20"/>
              </w:rPr>
              <w:t xml:space="preserve">Notify on Pass</w:t>
            </w:r>
          </w:p>
        </w:tc>
        <w:tc>
          <w:tcPr>
            <w:tcW w:type="dxa" w:w="1200"/>
            <w:shd w:fill="F1F8E9" w:color="auto" w:val="clear"/>
          </w:tcPr>
          <w:p>
            <w:pPr>
              <w:spacing w:after="60" w:before="60"/>
            </w:pPr>
            <w:r>
              <w:rPr>
                <w:rFonts w:ascii="Calibri" w:cs="Calibri" w:eastAsia="Calibri" w:hAnsi="Calibri"/>
                <w:sz w:val="20"/>
                <w:szCs w:val="20"/>
              </w:rPr>
              <w:t xml:space="preserve">Role references (array)</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Roles to be notified when this gate passes — via Notification Rule Builder channels</w:t>
            </w:r>
          </w:p>
        </w:tc>
      </w:tr>
      <w:tr>
        <w:tc>
          <w:tcPr>
            <w:tcW w:type="dxa" w:w="2500"/>
            <w:shd w:fill="FFFFFF" w:color="auto" w:val="clear"/>
          </w:tcPr>
          <w:p>
            <w:pPr>
              <w:spacing w:after="60" w:before="60"/>
            </w:pPr>
            <w:r>
              <w:rPr>
                <w:rFonts w:ascii="Calibri" w:cs="Calibri" w:eastAsia="Calibri" w:hAnsi="Calibri"/>
                <w:sz w:val="20"/>
                <w:szCs w:val="20"/>
              </w:rPr>
              <w:t xml:space="preserve">Gate Sequence</w:t>
            </w:r>
          </w:p>
        </w:tc>
        <w:tc>
          <w:tcPr>
            <w:tcW w:type="dxa" w:w="1200"/>
            <w:shd w:fill="FFFFFF" w:color="auto" w:val="clear"/>
          </w:tcPr>
          <w:p>
            <w:pPr>
              <w:spacing w:after="60" w:before="60"/>
            </w:pPr>
            <w:r>
              <w:rPr>
                <w:rFonts w:ascii="Calibri" w:cs="Calibri" w:eastAsia="Calibri" w:hAnsi="Calibri"/>
                <w:sz w:val="20"/>
                <w:szCs w:val="20"/>
              </w:rPr>
              <w:t xml:space="preserve">Integer</w:t>
            </w:r>
          </w:p>
        </w:tc>
        <w:tc>
          <w:tcPr>
            <w:tcW w:type="dxa" w:w="1560"/>
            <w:shd w:fill="FFFFFF" w:color="auto" w:val="clear"/>
          </w:tcPr>
          <w:p>
            <w:pPr>
              <w:spacing w:after="60" w:before="60"/>
            </w:pPr>
            <w:r>
              <w:rPr>
                <w:rFonts w:ascii="Calibri" w:cs="Calibri" w:eastAsia="Calibri" w:hAnsi="Calibri"/>
                <w:sz w:val="20"/>
                <w:szCs w:val="20"/>
              </w:rPr>
              <w:t xml:space="preserve">auto</w:t>
            </w:r>
          </w:p>
        </w:tc>
        <w:tc>
          <w:tcPr>
            <w:tcW w:type="dxa" w:w="4100"/>
            <w:shd w:fill="FFFFFF" w:color="auto" w:val="clear"/>
          </w:tcPr>
          <w:p>
            <w:pPr>
              <w:spacing w:after="60" w:before="60"/>
            </w:pPr>
            <w:r>
              <w:rPr>
                <w:rFonts w:ascii="Calibri" w:cs="Calibri" w:eastAsia="Calibri" w:hAnsi="Calibri"/>
                <w:sz w:val="20"/>
                <w:szCs w:val="20"/>
              </w:rPr>
              <w:t xml:space="preserve">Numeric order of this gate in the project lifecycle — determines display order and prerequisite chain</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2 — WBS Template Builder</w:t>
      </w:r>
    </w:p>
    <w:p>
      <w:pPr>
        <w:spacing w:after="80" w:before="80"/>
        <w:jc w:val="left"/>
      </w:pPr>
      <w:r>
        <w:rPr>
          <w:rFonts w:ascii="Calibri" w:cs="Calibri" w:eastAsia="Calibri" w:hAnsi="Calibri"/>
          <w:b w:val="false"/>
          <w:bCs w:val="false"/>
          <w:color w:val="000000"/>
          <w:sz w:val="22"/>
          <w:szCs w:val="22"/>
        </w:rPr>
        <w:t xml:space="preserve">Purpose: The WBS Template Builder configures the Work Breakdown Structure template for a project or client. The WBS is the skeleton of every project in Green PM — every activity, risk, change, drawing, and vendor deliverable is anchored to a WBS node. The builder defines the hierarchy depth, naming conventions, discipline codes, and standard WBS codes used across the project. Once configured and activated, the WBS template is applied when a new project is created for this tenant, providing instant scaffold for the project structure. Studio Admins can apply different templates to different projects within the same tenant.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WBS Levels</w:t>
            </w:r>
          </w:p>
        </w:tc>
        <w:tc>
          <w:tcPr>
            <w:tcW w:type="dxa" w:w="1200"/>
            <w:shd w:fill="FFFFFF" w:color="auto" w:val="clear"/>
          </w:tcPr>
          <w:p>
            <w:pPr>
              <w:spacing w:after="60" w:before="60"/>
            </w:pPr>
            <w:r>
              <w:rPr>
                <w:rFonts w:ascii="Calibri" w:cs="Calibri" w:eastAsia="Calibri" w:hAnsi="Calibri"/>
                <w:sz w:val="20"/>
                <w:szCs w:val="20"/>
              </w:rPr>
              <w:t xml:space="preserve">Integer (1-6)</w:t>
            </w:r>
          </w:p>
        </w:tc>
        <w:tc>
          <w:tcPr>
            <w:tcW w:type="dxa" w:w="1560"/>
            <w:shd w:fill="FFFFFF" w:color="auto" w:val="clear"/>
          </w:tcPr>
          <w:p>
            <w:pPr>
              <w:spacing w:after="60" w:before="60"/>
            </w:pPr>
            <w:r>
              <w:rPr>
                <w:rFonts w:ascii="Calibri" w:cs="Calibri" w:eastAsia="Calibri" w:hAnsi="Calibri"/>
                <w:sz w:val="20"/>
                <w:szCs w:val="20"/>
              </w:rPr>
              <w:t xml:space="preserve">4</w:t>
            </w:r>
          </w:p>
        </w:tc>
        <w:tc>
          <w:tcPr>
            <w:tcW w:type="dxa" w:w="4100"/>
            <w:shd w:fill="FFFFFF" w:color="auto" w:val="clear"/>
          </w:tcPr>
          <w:p>
            <w:pPr>
              <w:spacing w:after="60" w:before="60"/>
            </w:pPr>
            <w:r>
              <w:rPr>
                <w:rFonts w:ascii="Calibri" w:cs="Calibri" w:eastAsia="Calibri" w:hAnsi="Calibri"/>
                <w:sz w:val="20"/>
                <w:szCs w:val="20"/>
              </w:rPr>
              <w:t xml:space="preserve">Number of WBS hierarchy levels — EPC projects typically use 4-5 levels (Project &gt; Area &gt; System &gt; Work Package &gt; Activity)</w:t>
            </w:r>
          </w:p>
        </w:tc>
      </w:tr>
      <w:tr>
        <w:tc>
          <w:tcPr>
            <w:tcW w:type="dxa" w:w="2500"/>
            <w:shd w:fill="F1F8E9" w:color="auto" w:val="clear"/>
          </w:tcPr>
          <w:p>
            <w:pPr>
              <w:spacing w:after="60" w:before="60"/>
            </w:pPr>
            <w:r>
              <w:rPr>
                <w:rFonts w:ascii="Calibri" w:cs="Calibri" w:eastAsia="Calibri" w:hAnsi="Calibri"/>
                <w:sz w:val="20"/>
                <w:szCs w:val="20"/>
              </w:rPr>
              <w:t xml:space="preserve">Level Names</w:t>
            </w:r>
          </w:p>
        </w:tc>
        <w:tc>
          <w:tcPr>
            <w:tcW w:type="dxa" w:w="1200"/>
            <w:shd w:fill="F1F8E9" w:color="auto" w:val="clear"/>
          </w:tcPr>
          <w:p>
            <w:pPr>
              <w:spacing w:after="60" w:before="60"/>
            </w:pPr>
            <w:r>
              <w:rPr>
                <w:rFonts w:ascii="Calibri" w:cs="Calibri" w:eastAsia="Calibri" w:hAnsi="Calibri"/>
                <w:sz w:val="20"/>
                <w:szCs w:val="20"/>
              </w:rPr>
              <w:t xml:space="preserve">Text array</w:t>
            </w:r>
          </w:p>
        </w:tc>
        <w:tc>
          <w:tcPr>
            <w:tcW w:type="dxa" w:w="1560"/>
            <w:shd w:fill="F1F8E9" w:color="auto" w:val="clear"/>
          </w:tcPr>
          <w:p>
            <w:pPr>
              <w:spacing w:after="60" w:before="60"/>
            </w:pPr>
            <w:r>
              <w:rPr>
                <w:rFonts w:ascii="Calibri" w:cs="Calibri" w:eastAsia="Calibri" w:hAnsi="Calibri"/>
                <w:sz w:val="20"/>
                <w:szCs w:val="20"/>
              </w:rPr>
              <w:t xml:space="preserve">[Project, Area, System, Work Package]</w:t>
            </w:r>
          </w:p>
        </w:tc>
        <w:tc>
          <w:tcPr>
            <w:tcW w:type="dxa" w:w="4100"/>
            <w:shd w:fill="F1F8E9" w:color="auto" w:val="clear"/>
          </w:tcPr>
          <w:p>
            <w:pPr>
              <w:spacing w:after="60" w:before="60"/>
            </w:pPr>
            <w:r>
              <w:rPr>
                <w:rFonts w:ascii="Calibri" w:cs="Calibri" w:eastAsia="Calibri" w:hAnsi="Calibri"/>
                <w:sz w:val="20"/>
                <w:szCs w:val="20"/>
              </w:rPr>
              <w:t xml:space="preserve">Human-readable name for each level, used in navigation and reports</w:t>
            </w:r>
          </w:p>
        </w:tc>
      </w:tr>
      <w:tr>
        <w:tc>
          <w:tcPr>
            <w:tcW w:type="dxa" w:w="2500"/>
            <w:shd w:fill="FFFFFF" w:color="auto" w:val="clear"/>
          </w:tcPr>
          <w:p>
            <w:pPr>
              <w:spacing w:after="60" w:before="60"/>
            </w:pPr>
            <w:r>
              <w:rPr>
                <w:rFonts w:ascii="Calibri" w:cs="Calibri" w:eastAsia="Calibri" w:hAnsi="Calibri"/>
                <w:sz w:val="20"/>
                <w:szCs w:val="20"/>
              </w:rPr>
              <w:t xml:space="preserve">Naming Convention</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alphanumeric</w:t>
            </w:r>
          </w:p>
        </w:tc>
        <w:tc>
          <w:tcPr>
            <w:tcW w:type="dxa" w:w="4100"/>
            <w:shd w:fill="FFFFFF" w:color="auto" w:val="clear"/>
          </w:tcPr>
          <w:p>
            <w:pPr>
              <w:spacing w:after="60" w:before="60"/>
            </w:pPr>
            <w:r>
              <w:rPr>
                <w:rFonts w:ascii="Calibri" w:cs="Calibri" w:eastAsia="Calibri" w:hAnsi="Calibri"/>
                <w:sz w:val="20"/>
                <w:szCs w:val="20"/>
              </w:rPr>
              <w:t xml:space="preserve">Format for WBS codes at each level: alphanumeric (A1.B2.C3) or numeric (1.1.1.1) or hybrid</w:t>
            </w:r>
          </w:p>
        </w:tc>
      </w:tr>
      <w:tr>
        <w:tc>
          <w:tcPr>
            <w:tcW w:type="dxa" w:w="2500"/>
            <w:shd w:fill="F1F8E9" w:color="auto" w:val="clear"/>
          </w:tcPr>
          <w:p>
            <w:pPr>
              <w:spacing w:after="60" w:before="60"/>
            </w:pPr>
            <w:r>
              <w:rPr>
                <w:rFonts w:ascii="Calibri" w:cs="Calibri" w:eastAsia="Calibri" w:hAnsi="Calibri"/>
                <w:sz w:val="20"/>
                <w:szCs w:val="20"/>
              </w:rPr>
              <w:t xml:space="preserve">Level Separator</w:t>
            </w:r>
          </w:p>
        </w:tc>
        <w:tc>
          <w:tcPr>
            <w:tcW w:type="dxa" w:w="1200"/>
            <w:shd w:fill="F1F8E9" w:color="auto" w:val="clear"/>
          </w:tcPr>
          <w:p>
            <w:pPr>
              <w:spacing w:after="60" w:before="60"/>
            </w:pPr>
            <w:r>
              <w:rPr>
                <w:rFonts w:ascii="Calibri" w:cs="Calibri" w:eastAsia="Calibri" w:hAnsi="Calibri"/>
                <w:sz w:val="20"/>
                <w:szCs w:val="20"/>
              </w:rPr>
              <w:t xml:space="preserve">Character</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Character used to separate WBS level codes in the full WBS path</w:t>
            </w:r>
          </w:p>
        </w:tc>
      </w:tr>
      <w:tr>
        <w:tc>
          <w:tcPr>
            <w:tcW w:type="dxa" w:w="2500"/>
            <w:shd w:fill="FFFFFF" w:color="auto" w:val="clear"/>
          </w:tcPr>
          <w:p>
            <w:pPr>
              <w:spacing w:after="60" w:before="60"/>
            </w:pPr>
            <w:r>
              <w:rPr>
                <w:rFonts w:ascii="Calibri" w:cs="Calibri" w:eastAsia="Calibri" w:hAnsi="Calibri"/>
                <w:sz w:val="20"/>
                <w:szCs w:val="20"/>
              </w:rPr>
              <w:t xml:space="preserve">Discipline Codes</w:t>
            </w:r>
          </w:p>
        </w:tc>
        <w:tc>
          <w:tcPr>
            <w:tcW w:type="dxa" w:w="1200"/>
            <w:shd w:fill="FFFFFF" w:color="auto" w:val="clear"/>
          </w:tcPr>
          <w:p>
            <w:pPr>
              <w:spacing w:after="60" w:before="60"/>
            </w:pPr>
            <w:r>
              <w:rPr>
                <w:rFonts w:ascii="Calibri" w:cs="Calibri" w:eastAsia="Calibri" w:hAnsi="Calibri"/>
                <w:sz w:val="20"/>
                <w:szCs w:val="20"/>
              </w:rPr>
              <w:t xml:space="preserve">Text array</w:t>
            </w:r>
          </w:p>
        </w:tc>
        <w:tc>
          <w:tcPr>
            <w:tcW w:type="dxa" w:w="1560"/>
            <w:shd w:fill="FFFFFF" w:color="auto" w:val="clear"/>
          </w:tcPr>
          <w:p>
            <w:pPr>
              <w:spacing w:after="60" w:before="60"/>
            </w:pPr>
            <w:r>
              <w:rPr>
                <w:rFonts w:ascii="Calibri" w:cs="Calibri" w:eastAsia="Calibri" w:hAnsi="Calibri"/>
                <w:sz w:val="20"/>
                <w:szCs w:val="20"/>
              </w:rPr>
              <w:t xml:space="preserve">[C, M, P, E, I, CM]</w:t>
            </w:r>
          </w:p>
        </w:tc>
        <w:tc>
          <w:tcPr>
            <w:tcW w:type="dxa" w:w="4100"/>
            <w:shd w:fill="FFFFFF" w:color="auto" w:val="clear"/>
          </w:tcPr>
          <w:p>
            <w:pPr>
              <w:spacing w:after="60" w:before="60"/>
            </w:pPr>
            <w:r>
              <w:rPr>
                <w:rFonts w:ascii="Calibri" w:cs="Calibri" w:eastAsia="Calibri" w:hAnsi="Calibri"/>
                <w:sz w:val="20"/>
                <w:szCs w:val="20"/>
              </w:rPr>
              <w:t xml:space="preserve">Short codes for each engineering discipline: Civil (C), Mechanical (M), Piping (P), Electrical (E), Instrumentation &amp; Control (I), Commissioning (CM)</w:t>
            </w:r>
          </w:p>
        </w:tc>
      </w:tr>
      <w:tr>
        <w:tc>
          <w:tcPr>
            <w:tcW w:type="dxa" w:w="2500"/>
            <w:shd w:fill="F1F8E9" w:color="auto" w:val="clear"/>
          </w:tcPr>
          <w:p>
            <w:pPr>
              <w:spacing w:after="60" w:before="60"/>
            </w:pPr>
            <w:r>
              <w:rPr>
                <w:rFonts w:ascii="Calibri" w:cs="Calibri" w:eastAsia="Calibri" w:hAnsi="Calibri"/>
                <w:sz w:val="20"/>
                <w:szCs w:val="20"/>
              </w:rPr>
              <w:t xml:space="preserve">Civil WBS Codes</w:t>
            </w:r>
          </w:p>
        </w:tc>
        <w:tc>
          <w:tcPr>
            <w:tcW w:type="dxa" w:w="1200"/>
            <w:shd w:fill="F1F8E9" w:color="auto" w:val="clear"/>
          </w:tcPr>
          <w:p>
            <w:pPr>
              <w:spacing w:after="60" w:before="60"/>
            </w:pPr>
            <w:r>
              <w:rPr>
                <w:rFonts w:ascii="Calibri" w:cs="Calibri" w:eastAsia="Calibri" w:hAnsi="Calibri"/>
                <w:sz w:val="20"/>
                <w:szCs w:val="20"/>
              </w:rPr>
              <w:t xml:space="preserve">Text array (standard)</w:t>
            </w:r>
          </w:p>
        </w:tc>
        <w:tc>
          <w:tcPr>
            <w:tcW w:type="dxa" w:w="1560"/>
            <w:shd w:fill="F1F8E9" w:color="auto" w:val="clear"/>
          </w:tcPr>
          <w:p>
            <w:pPr>
              <w:spacing w:after="60" w:before="60"/>
            </w:pPr>
            <w:r>
              <w:rPr>
                <w:rFonts w:ascii="Calibri" w:cs="Calibri" w:eastAsia="Calibri" w:hAnsi="Calibri"/>
                <w:sz w:val="20"/>
                <w:szCs w:val="20"/>
              </w:rPr>
              <w:t xml:space="preserve">[CIV-FOUND, CIV-STRUCT, CIV-ARCH, CIV-DRAIN]</w:t>
            </w:r>
          </w:p>
        </w:tc>
        <w:tc>
          <w:tcPr>
            <w:tcW w:type="dxa" w:w="4100"/>
            <w:shd w:fill="F1F8E9" w:color="auto" w:val="clear"/>
          </w:tcPr>
          <w:p>
            <w:pPr>
              <w:spacing w:after="60" w:before="60"/>
            </w:pPr>
            <w:r>
              <w:rPr>
                <w:rFonts w:ascii="Calibri" w:cs="Calibri" w:eastAsia="Calibri" w:hAnsi="Calibri"/>
                <w:sz w:val="20"/>
                <w:szCs w:val="20"/>
              </w:rPr>
              <w:t xml:space="preserve">Standard WBS code set for Civil discipline — can be extended or modified</w:t>
            </w:r>
          </w:p>
        </w:tc>
      </w:tr>
      <w:tr>
        <w:tc>
          <w:tcPr>
            <w:tcW w:type="dxa" w:w="2500"/>
            <w:shd w:fill="FFFFFF" w:color="auto" w:val="clear"/>
          </w:tcPr>
          <w:p>
            <w:pPr>
              <w:spacing w:after="60" w:before="60"/>
            </w:pPr>
            <w:r>
              <w:rPr>
                <w:rFonts w:ascii="Calibri" w:cs="Calibri" w:eastAsia="Calibri" w:hAnsi="Calibri"/>
                <w:sz w:val="20"/>
                <w:szCs w:val="20"/>
              </w:rPr>
              <w:t xml:space="preserve">Mechanical WBS Codes</w:t>
            </w:r>
          </w:p>
        </w:tc>
        <w:tc>
          <w:tcPr>
            <w:tcW w:type="dxa" w:w="1200"/>
            <w:shd w:fill="FFFFFF" w:color="auto" w:val="clear"/>
          </w:tcPr>
          <w:p>
            <w:pPr>
              <w:spacing w:after="60" w:before="60"/>
            </w:pPr>
            <w:r>
              <w:rPr>
                <w:rFonts w:ascii="Calibri" w:cs="Calibri" w:eastAsia="Calibri" w:hAnsi="Calibri"/>
                <w:sz w:val="20"/>
                <w:szCs w:val="20"/>
              </w:rPr>
              <w:t xml:space="preserve">Text array (standard)</w:t>
            </w:r>
          </w:p>
        </w:tc>
        <w:tc>
          <w:tcPr>
            <w:tcW w:type="dxa" w:w="1560"/>
            <w:shd w:fill="FFFFFF" w:color="auto" w:val="clear"/>
          </w:tcPr>
          <w:p>
            <w:pPr>
              <w:spacing w:after="60" w:before="60"/>
            </w:pPr>
            <w:r>
              <w:rPr>
                <w:rFonts w:ascii="Calibri" w:cs="Calibri" w:eastAsia="Calibri" w:hAnsi="Calibri"/>
                <w:sz w:val="20"/>
                <w:szCs w:val="20"/>
              </w:rPr>
              <w:t xml:space="preserve">[MECH-EQUIP, MECH-ROTAT, MECH-STATIC, MECH-HVAC]</w:t>
            </w:r>
          </w:p>
        </w:tc>
        <w:tc>
          <w:tcPr>
            <w:tcW w:type="dxa" w:w="4100"/>
            <w:shd w:fill="FFFFFF" w:color="auto" w:val="clear"/>
          </w:tcPr>
          <w:p>
            <w:pPr>
              <w:spacing w:after="60" w:before="60"/>
            </w:pPr>
            <w:r>
              <w:rPr>
                <w:rFonts w:ascii="Calibri" w:cs="Calibri" w:eastAsia="Calibri" w:hAnsi="Calibri"/>
                <w:sz w:val="20"/>
                <w:szCs w:val="20"/>
              </w:rPr>
              <w:t xml:space="preserve">Standard WBS code set for Mechanical discipline</w:t>
            </w:r>
          </w:p>
        </w:tc>
      </w:tr>
      <w:tr>
        <w:tc>
          <w:tcPr>
            <w:tcW w:type="dxa" w:w="2500"/>
            <w:shd w:fill="F1F8E9" w:color="auto" w:val="clear"/>
          </w:tcPr>
          <w:p>
            <w:pPr>
              <w:spacing w:after="60" w:before="60"/>
            </w:pPr>
            <w:r>
              <w:rPr>
                <w:rFonts w:ascii="Calibri" w:cs="Calibri" w:eastAsia="Calibri" w:hAnsi="Calibri"/>
                <w:sz w:val="20"/>
                <w:szCs w:val="20"/>
              </w:rPr>
              <w:t xml:space="preserve">Piping WBS Codes</w:t>
            </w:r>
          </w:p>
        </w:tc>
        <w:tc>
          <w:tcPr>
            <w:tcW w:type="dxa" w:w="1200"/>
            <w:shd w:fill="F1F8E9" w:color="auto" w:val="clear"/>
          </w:tcPr>
          <w:p>
            <w:pPr>
              <w:spacing w:after="60" w:before="60"/>
            </w:pPr>
            <w:r>
              <w:rPr>
                <w:rFonts w:ascii="Calibri" w:cs="Calibri" w:eastAsia="Calibri" w:hAnsi="Calibri"/>
                <w:sz w:val="20"/>
                <w:szCs w:val="20"/>
              </w:rPr>
              <w:t xml:space="preserve">Text array (standard)</w:t>
            </w:r>
          </w:p>
        </w:tc>
        <w:tc>
          <w:tcPr>
            <w:tcW w:type="dxa" w:w="1560"/>
            <w:shd w:fill="F1F8E9" w:color="auto" w:val="clear"/>
          </w:tcPr>
          <w:p>
            <w:pPr>
              <w:spacing w:after="60" w:before="60"/>
            </w:pPr>
            <w:r>
              <w:rPr>
                <w:rFonts w:ascii="Calibri" w:cs="Calibri" w:eastAsia="Calibri" w:hAnsi="Calibri"/>
                <w:sz w:val="20"/>
                <w:szCs w:val="20"/>
              </w:rPr>
              <w:t xml:space="preserve">[PIP-PROC, PIP-UTIL, PIP-INSUL, PIP-PAINT]</w:t>
            </w:r>
          </w:p>
        </w:tc>
        <w:tc>
          <w:tcPr>
            <w:tcW w:type="dxa" w:w="4100"/>
            <w:shd w:fill="F1F8E9" w:color="auto" w:val="clear"/>
          </w:tcPr>
          <w:p>
            <w:pPr>
              <w:spacing w:after="60" w:before="60"/>
            </w:pPr>
            <w:r>
              <w:rPr>
                <w:rFonts w:ascii="Calibri" w:cs="Calibri" w:eastAsia="Calibri" w:hAnsi="Calibri"/>
                <w:sz w:val="20"/>
                <w:szCs w:val="20"/>
              </w:rPr>
              <w:t xml:space="preserve">Standard WBS code set for Piping discipline</w:t>
            </w:r>
          </w:p>
        </w:tc>
      </w:tr>
      <w:tr>
        <w:tc>
          <w:tcPr>
            <w:tcW w:type="dxa" w:w="2500"/>
            <w:shd w:fill="FFFFFF" w:color="auto" w:val="clear"/>
          </w:tcPr>
          <w:p>
            <w:pPr>
              <w:spacing w:after="60" w:before="60"/>
            </w:pPr>
            <w:r>
              <w:rPr>
                <w:rFonts w:ascii="Calibri" w:cs="Calibri" w:eastAsia="Calibri" w:hAnsi="Calibri"/>
                <w:sz w:val="20"/>
                <w:szCs w:val="20"/>
              </w:rPr>
              <w:t xml:space="preserve">Electrical WBS Codes</w:t>
            </w:r>
          </w:p>
        </w:tc>
        <w:tc>
          <w:tcPr>
            <w:tcW w:type="dxa" w:w="1200"/>
            <w:shd w:fill="FFFFFF" w:color="auto" w:val="clear"/>
          </w:tcPr>
          <w:p>
            <w:pPr>
              <w:spacing w:after="60" w:before="60"/>
            </w:pPr>
            <w:r>
              <w:rPr>
                <w:rFonts w:ascii="Calibri" w:cs="Calibri" w:eastAsia="Calibri" w:hAnsi="Calibri"/>
                <w:sz w:val="20"/>
                <w:szCs w:val="20"/>
              </w:rPr>
              <w:t xml:space="preserve">Text array (standard)</w:t>
            </w:r>
          </w:p>
        </w:tc>
        <w:tc>
          <w:tcPr>
            <w:tcW w:type="dxa" w:w="1560"/>
            <w:shd w:fill="FFFFFF" w:color="auto" w:val="clear"/>
          </w:tcPr>
          <w:p>
            <w:pPr>
              <w:spacing w:after="60" w:before="60"/>
            </w:pPr>
            <w:r>
              <w:rPr>
                <w:rFonts w:ascii="Calibri" w:cs="Calibri" w:eastAsia="Calibri" w:hAnsi="Calibri"/>
                <w:sz w:val="20"/>
                <w:szCs w:val="20"/>
              </w:rPr>
              <w:t xml:space="preserve">[ELEC-HV, ELEC-LV, ELEC-INST, ELEC-LIGHT]</w:t>
            </w:r>
          </w:p>
        </w:tc>
        <w:tc>
          <w:tcPr>
            <w:tcW w:type="dxa" w:w="4100"/>
            <w:shd w:fill="FFFFFF" w:color="auto" w:val="clear"/>
          </w:tcPr>
          <w:p>
            <w:pPr>
              <w:spacing w:after="60" w:before="60"/>
            </w:pPr>
            <w:r>
              <w:rPr>
                <w:rFonts w:ascii="Calibri" w:cs="Calibri" w:eastAsia="Calibri" w:hAnsi="Calibri"/>
                <w:sz w:val="20"/>
                <w:szCs w:val="20"/>
              </w:rPr>
              <w:t xml:space="preserve">Standard WBS code set for Electrical discipline</w:t>
            </w:r>
          </w:p>
        </w:tc>
      </w:tr>
      <w:tr>
        <w:tc>
          <w:tcPr>
            <w:tcW w:type="dxa" w:w="2500"/>
            <w:shd w:fill="F1F8E9" w:color="auto" w:val="clear"/>
          </w:tcPr>
          <w:p>
            <w:pPr>
              <w:spacing w:after="60" w:before="60"/>
            </w:pPr>
            <w:r>
              <w:rPr>
                <w:rFonts w:ascii="Calibri" w:cs="Calibri" w:eastAsia="Calibri" w:hAnsi="Calibri"/>
                <w:sz w:val="20"/>
                <w:szCs w:val="20"/>
              </w:rPr>
              <w:t xml:space="preserve">I&amp;C WBS Codes</w:t>
            </w:r>
          </w:p>
        </w:tc>
        <w:tc>
          <w:tcPr>
            <w:tcW w:type="dxa" w:w="1200"/>
            <w:shd w:fill="F1F8E9" w:color="auto" w:val="clear"/>
          </w:tcPr>
          <w:p>
            <w:pPr>
              <w:spacing w:after="60" w:before="60"/>
            </w:pPr>
            <w:r>
              <w:rPr>
                <w:rFonts w:ascii="Calibri" w:cs="Calibri" w:eastAsia="Calibri" w:hAnsi="Calibri"/>
                <w:sz w:val="20"/>
                <w:szCs w:val="20"/>
              </w:rPr>
              <w:t xml:space="preserve">Text array (standard)</w:t>
            </w:r>
          </w:p>
        </w:tc>
        <w:tc>
          <w:tcPr>
            <w:tcW w:type="dxa" w:w="1560"/>
            <w:shd w:fill="F1F8E9" w:color="auto" w:val="clear"/>
          </w:tcPr>
          <w:p>
            <w:pPr>
              <w:spacing w:after="60" w:before="60"/>
            </w:pPr>
            <w:r>
              <w:rPr>
                <w:rFonts w:ascii="Calibri" w:cs="Calibri" w:eastAsia="Calibri" w:hAnsi="Calibri"/>
                <w:sz w:val="20"/>
                <w:szCs w:val="20"/>
              </w:rPr>
              <w:t xml:space="preserve">[IC-CTRL, IC-INST, IC-COMM, IC-SCADA]</w:t>
            </w:r>
          </w:p>
        </w:tc>
        <w:tc>
          <w:tcPr>
            <w:tcW w:type="dxa" w:w="4100"/>
            <w:shd w:fill="F1F8E9" w:color="auto" w:val="clear"/>
          </w:tcPr>
          <w:p>
            <w:pPr>
              <w:spacing w:after="60" w:before="60"/>
            </w:pPr>
            <w:r>
              <w:rPr>
                <w:rFonts w:ascii="Calibri" w:cs="Calibri" w:eastAsia="Calibri" w:hAnsi="Calibri"/>
                <w:sz w:val="20"/>
                <w:szCs w:val="20"/>
              </w:rPr>
              <w:t xml:space="preserve">Standard WBS code set for Instrumentation &amp; Control discipline</w:t>
            </w:r>
          </w:p>
        </w:tc>
      </w:tr>
      <w:tr>
        <w:tc>
          <w:tcPr>
            <w:tcW w:type="dxa" w:w="2500"/>
            <w:shd w:fill="FFFFFF" w:color="auto" w:val="clear"/>
          </w:tcPr>
          <w:p>
            <w:pPr>
              <w:spacing w:after="60" w:before="60"/>
            </w:pPr>
            <w:r>
              <w:rPr>
                <w:rFonts w:ascii="Calibri" w:cs="Calibri" w:eastAsia="Calibri" w:hAnsi="Calibri"/>
                <w:sz w:val="20"/>
                <w:szCs w:val="20"/>
              </w:rPr>
              <w:t xml:space="preserve">Commissioning WBS Codes</w:t>
            </w:r>
          </w:p>
        </w:tc>
        <w:tc>
          <w:tcPr>
            <w:tcW w:type="dxa" w:w="1200"/>
            <w:shd w:fill="FFFFFF" w:color="auto" w:val="clear"/>
          </w:tcPr>
          <w:p>
            <w:pPr>
              <w:spacing w:after="60" w:before="60"/>
            </w:pPr>
            <w:r>
              <w:rPr>
                <w:rFonts w:ascii="Calibri" w:cs="Calibri" w:eastAsia="Calibri" w:hAnsi="Calibri"/>
                <w:sz w:val="20"/>
                <w:szCs w:val="20"/>
              </w:rPr>
              <w:t xml:space="preserve">Text array (standard)</w:t>
            </w:r>
          </w:p>
        </w:tc>
        <w:tc>
          <w:tcPr>
            <w:tcW w:type="dxa" w:w="1560"/>
            <w:shd w:fill="FFFFFF" w:color="auto" w:val="clear"/>
          </w:tcPr>
          <w:p>
            <w:pPr>
              <w:spacing w:after="60" w:before="60"/>
            </w:pPr>
            <w:r>
              <w:rPr>
                <w:rFonts w:ascii="Calibri" w:cs="Calibri" w:eastAsia="Calibri" w:hAnsi="Calibri"/>
                <w:sz w:val="20"/>
                <w:szCs w:val="20"/>
              </w:rPr>
              <w:t xml:space="preserve">[COMM-MECH, COMM-ELEC, COMM-SYS, COMM-PERF]</w:t>
            </w:r>
          </w:p>
        </w:tc>
        <w:tc>
          <w:tcPr>
            <w:tcW w:type="dxa" w:w="4100"/>
            <w:shd w:fill="FFFFFF" w:color="auto" w:val="clear"/>
          </w:tcPr>
          <w:p>
            <w:pPr>
              <w:spacing w:after="60" w:before="60"/>
            </w:pPr>
            <w:r>
              <w:rPr>
                <w:rFonts w:ascii="Calibri" w:cs="Calibri" w:eastAsia="Calibri" w:hAnsi="Calibri"/>
                <w:sz w:val="20"/>
                <w:szCs w:val="20"/>
              </w:rPr>
              <w:t xml:space="preserve">Standard WBS code set for Commissioning discipline</w:t>
            </w:r>
          </w:p>
        </w:tc>
      </w:tr>
      <w:tr>
        <w:tc>
          <w:tcPr>
            <w:tcW w:type="dxa" w:w="2500"/>
            <w:shd w:fill="F1F8E9" w:color="auto" w:val="clear"/>
          </w:tcPr>
          <w:p>
            <w:pPr>
              <w:spacing w:after="60" w:before="60"/>
            </w:pPr>
            <w:r>
              <w:rPr>
                <w:rFonts w:ascii="Calibri" w:cs="Calibri" w:eastAsia="Calibri" w:hAnsi="Calibri"/>
                <w:sz w:val="20"/>
                <w:szCs w:val="20"/>
              </w:rPr>
              <w:t xml:space="preserve">Allow Custom Codes</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project users can add WBS codes outside the standard set — requires Studio Admin approval if set to false</w:t>
            </w:r>
          </w:p>
        </w:tc>
      </w:tr>
      <w:tr>
        <w:tc>
          <w:tcPr>
            <w:tcW w:type="dxa" w:w="2500"/>
            <w:shd w:fill="FFFFFF" w:color="auto" w:val="clear"/>
          </w:tcPr>
          <w:p>
            <w:pPr>
              <w:spacing w:after="60" w:before="60"/>
            </w:pPr>
            <w:r>
              <w:rPr>
                <w:rFonts w:ascii="Calibri" w:cs="Calibri" w:eastAsia="Calibri" w:hAnsi="Calibri"/>
                <w:sz w:val="20"/>
                <w:szCs w:val="20"/>
              </w:rPr>
              <w:t xml:space="preserve">Code Validation Regex</w:t>
            </w:r>
          </w:p>
        </w:tc>
        <w:tc>
          <w:tcPr>
            <w:tcW w:type="dxa" w:w="1200"/>
            <w:shd w:fill="FFFFFF" w:color="auto" w:val="clear"/>
          </w:tcPr>
          <w:p>
            <w:pPr>
              <w:spacing w:after="60" w:before="60"/>
            </w:pPr>
            <w:r>
              <w:rPr>
                <w:rFonts w:ascii="Calibri" w:cs="Calibri" w:eastAsia="Calibri" w:hAnsi="Calibri"/>
                <w:sz w:val="20"/>
                <w:szCs w:val="20"/>
              </w:rPr>
              <w:t xml:space="preserve">Regex pattern</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Optional: validates that WBS codes match a client-specific format before they can be saved</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3 — Alert Rule Builder</w:t>
      </w:r>
    </w:p>
    <w:p>
      <w:pPr>
        <w:spacing w:after="80" w:before="80"/>
        <w:jc w:val="left"/>
      </w:pPr>
      <w:r>
        <w:rPr>
          <w:rFonts w:ascii="Calibri" w:cs="Calibri" w:eastAsia="Calibri" w:hAnsi="Calibri"/>
          <w:b w:val="false"/>
          <w:bCs w:val="false"/>
          <w:color w:val="000000"/>
          <w:sz w:val="22"/>
          <w:szCs w:val="22"/>
        </w:rPr>
        <w:t xml:space="preserve">Purpose: The Alert Rule Builder configures the conditions under which Green PM generates automated alerts. An alert is a system-generated notification that something has crossed a threshold or a condition has been met — it is distinct from a recommendation (which proposes an action) and from a decision (which requires a human determination). Well-configured alert rules are the difference between a project team that is surprised by problems and one that is systematically warned in advance. Alert rules in Green PM are evaluated continuously against the PIG; when a rule condition is met, the alert is generated and routed to the configured recipients via their preferred channels (configured in Builder 8, Notification Rule Builder).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Rule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Human-readable name for the alert rule (e.g., 'Critical Path Float Breach', 'Evidence Score Below Threshold')</w:t>
            </w:r>
          </w:p>
        </w:tc>
      </w:tr>
      <w:tr>
        <w:tc>
          <w:tcPr>
            <w:tcW w:type="dxa" w:w="2500"/>
            <w:shd w:fill="F1F8E9" w:color="auto" w:val="clear"/>
          </w:tcPr>
          <w:p>
            <w:pPr>
              <w:spacing w:after="60" w:before="60"/>
            </w:pPr>
            <w:r>
              <w:rPr>
                <w:rFonts w:ascii="Calibri" w:cs="Calibri" w:eastAsia="Calibri" w:hAnsi="Calibri"/>
                <w:sz w:val="20"/>
                <w:szCs w:val="20"/>
              </w:rPr>
              <w:t xml:space="preserve">Entity Type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Activity</w:t>
            </w:r>
          </w:p>
        </w:tc>
        <w:tc>
          <w:tcPr>
            <w:tcW w:type="dxa" w:w="4100"/>
            <w:shd w:fill="F1F8E9" w:color="auto" w:val="clear"/>
          </w:tcPr>
          <w:p>
            <w:pPr>
              <w:spacing w:after="60" w:before="60"/>
            </w:pPr>
            <w:r>
              <w:rPr>
                <w:rFonts w:ascii="Calibri" w:cs="Calibri" w:eastAsia="Calibri" w:hAnsi="Calibri"/>
                <w:sz w:val="20"/>
                <w:szCs w:val="20"/>
              </w:rPr>
              <w:t xml:space="preserve">The entity type this rule monitors: Activity, Risk, Change, Vendor, Drawing, Dispatch, Decision, Gate, Coordination Item</w:t>
            </w:r>
          </w:p>
        </w:tc>
      </w:tr>
      <w:tr>
        <w:tc>
          <w:tcPr>
            <w:tcW w:type="dxa" w:w="2500"/>
            <w:shd w:fill="FFFFFF" w:color="auto" w:val="clear"/>
          </w:tcPr>
          <w:p>
            <w:pPr>
              <w:spacing w:after="60" w:before="60"/>
            </w:pPr>
            <w:r>
              <w:rPr>
                <w:rFonts w:ascii="Calibri" w:cs="Calibri" w:eastAsia="Calibri" w:hAnsi="Calibri"/>
                <w:sz w:val="20"/>
                <w:szCs w:val="20"/>
              </w:rPr>
              <w:t xml:space="preserve">Condition Type</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threshold_below</w:t>
            </w:r>
          </w:p>
        </w:tc>
        <w:tc>
          <w:tcPr>
            <w:tcW w:type="dxa" w:w="4100"/>
            <w:shd w:fill="FFFFFF" w:color="auto" w:val="clear"/>
          </w:tcPr>
          <w:p>
            <w:pPr>
              <w:spacing w:after="60" w:before="60"/>
            </w:pPr>
            <w:r>
              <w:rPr>
                <w:rFonts w:ascii="Calibri" w:cs="Calibri" w:eastAsia="Calibri" w:hAnsi="Calibri"/>
                <w:sz w:val="20"/>
                <w:szCs w:val="20"/>
              </w:rPr>
              <w:t xml:space="preserve">Type of condition: threshold_below, threshold_above, status_equals, date_past, count_above, score_below, boolean_true</w:t>
            </w:r>
          </w:p>
        </w:tc>
      </w:tr>
      <w:tr>
        <w:tc>
          <w:tcPr>
            <w:tcW w:type="dxa" w:w="2500"/>
            <w:shd w:fill="F1F8E9" w:color="auto" w:val="clear"/>
          </w:tcPr>
          <w:p>
            <w:pPr>
              <w:spacing w:after="60" w:before="60"/>
            </w:pPr>
            <w:r>
              <w:rPr>
                <w:rFonts w:ascii="Calibri" w:cs="Calibri" w:eastAsia="Calibri" w:hAnsi="Calibri"/>
                <w:sz w:val="20"/>
                <w:szCs w:val="20"/>
              </w:rPr>
              <w:t xml:space="preserve">Condition Field</w:t>
            </w:r>
          </w:p>
        </w:tc>
        <w:tc>
          <w:tcPr>
            <w:tcW w:type="dxa" w:w="1200"/>
            <w:shd w:fill="F1F8E9" w:color="auto" w:val="clear"/>
          </w:tcPr>
          <w:p>
            <w:pPr>
              <w:spacing w:after="60" w:before="60"/>
            </w:pPr>
            <w:r>
              <w:rPr>
                <w:rFonts w:ascii="Calibri" w:cs="Calibri" w:eastAsia="Calibri" w:hAnsi="Calibri"/>
                <w:sz w:val="20"/>
                <w:szCs w:val="20"/>
              </w:rPr>
              <w:t xml:space="preserve">Text</w:t>
            </w:r>
          </w:p>
        </w:tc>
        <w:tc>
          <w:tcPr>
            <w:tcW w:type="dxa" w:w="1560"/>
            <w:shd w:fill="F1F8E9" w:color="auto" w:val="clear"/>
          </w:tcPr>
          <w:p>
            <w:pPr>
              <w:spacing w:after="60" w:before="60"/>
            </w:pPr>
            <w:r>
              <w:rPr>
                <w:rFonts w:ascii="Calibri" w:cs="Calibri" w:eastAsia="Calibri" w:hAnsi="Calibri"/>
                <w:sz w:val="20"/>
                <w:szCs w:val="20"/>
              </w:rPr>
              <w:t xml:space="preserve">score</w:t>
            </w:r>
          </w:p>
        </w:tc>
        <w:tc>
          <w:tcPr>
            <w:tcW w:type="dxa" w:w="4100"/>
            <w:shd w:fill="F1F8E9" w:color="auto" w:val="clear"/>
          </w:tcPr>
          <w:p>
            <w:pPr>
              <w:spacing w:after="60" w:before="60"/>
            </w:pPr>
            <w:r>
              <w:rPr>
                <w:rFonts w:ascii="Calibri" w:cs="Calibri" w:eastAsia="Calibri" w:hAnsi="Calibri"/>
                <w:sz w:val="20"/>
                <w:szCs w:val="20"/>
              </w:rPr>
              <w:t xml:space="preserve">The field on the entity to evaluate (e.g., 'evidence_score', 'total_float', 'status', 'due_date', 'overdue_days')</w:t>
            </w:r>
          </w:p>
        </w:tc>
      </w:tr>
      <w:tr>
        <w:tc>
          <w:tcPr>
            <w:tcW w:type="dxa" w:w="2500"/>
            <w:shd w:fill="FFFFFF" w:color="auto" w:val="clear"/>
          </w:tcPr>
          <w:p>
            <w:pPr>
              <w:spacing w:after="60" w:before="60"/>
            </w:pPr>
            <w:r>
              <w:rPr>
                <w:rFonts w:ascii="Calibri" w:cs="Calibri" w:eastAsia="Calibri" w:hAnsi="Calibri"/>
                <w:sz w:val="20"/>
                <w:szCs w:val="20"/>
              </w:rPr>
              <w:t xml:space="preserve">Threshold Value</w:t>
            </w:r>
          </w:p>
        </w:tc>
        <w:tc>
          <w:tcPr>
            <w:tcW w:type="dxa" w:w="1200"/>
            <w:shd w:fill="FFFFFF" w:color="auto" w:val="clear"/>
          </w:tcPr>
          <w:p>
            <w:pPr>
              <w:spacing w:after="60" w:before="60"/>
            </w:pPr>
            <w:r>
              <w:rPr>
                <w:rFonts w:ascii="Calibri" w:cs="Calibri" w:eastAsia="Calibri" w:hAnsi="Calibri"/>
                <w:sz w:val="20"/>
                <w:szCs w:val="20"/>
              </w:rPr>
              <w:t xml:space="preserve">Numeric or 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The value the condition is evaluated against — numeric for thresholds, text/enum for status equals</w:t>
            </w:r>
          </w:p>
        </w:tc>
      </w:tr>
      <w:tr>
        <w:tc>
          <w:tcPr>
            <w:tcW w:type="dxa" w:w="2500"/>
            <w:shd w:fill="F1F8E9" w:color="auto" w:val="clear"/>
          </w:tcPr>
          <w:p>
            <w:pPr>
              <w:spacing w:after="60" w:before="60"/>
            </w:pPr>
            <w:r>
              <w:rPr>
                <w:rFonts w:ascii="Calibri" w:cs="Calibri" w:eastAsia="Calibri" w:hAnsi="Calibri"/>
                <w:sz w:val="20"/>
                <w:szCs w:val="20"/>
              </w:rPr>
              <w:t xml:space="preserve">Severity</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WARNING</w:t>
            </w:r>
          </w:p>
        </w:tc>
        <w:tc>
          <w:tcPr>
            <w:tcW w:type="dxa" w:w="4100"/>
            <w:shd w:fill="F1F8E9" w:color="auto" w:val="clear"/>
          </w:tcPr>
          <w:p>
            <w:pPr>
              <w:spacing w:after="60" w:before="60"/>
            </w:pPr>
            <w:r>
              <w:rPr>
                <w:rFonts w:ascii="Calibri" w:cs="Calibri" w:eastAsia="Calibri" w:hAnsi="Calibri"/>
                <w:sz w:val="20"/>
                <w:szCs w:val="20"/>
              </w:rPr>
              <w:t xml:space="preserve">Alert severity level: INFO / WARNING / CRITICAL — controls display colour and push notification priority</w:t>
            </w:r>
          </w:p>
        </w:tc>
      </w:tr>
      <w:tr>
        <w:tc>
          <w:tcPr>
            <w:tcW w:type="dxa" w:w="2500"/>
            <w:shd w:fill="FFFFFF" w:color="auto" w:val="clear"/>
          </w:tcPr>
          <w:p>
            <w:pPr>
              <w:spacing w:after="60" w:before="60"/>
            </w:pPr>
            <w:r>
              <w:rPr>
                <w:rFonts w:ascii="Calibri" w:cs="Calibri" w:eastAsia="Calibri" w:hAnsi="Calibri"/>
                <w:sz w:val="20"/>
                <w:szCs w:val="20"/>
              </w:rPr>
              <w:t xml:space="preserve">Scope Filter</w:t>
            </w:r>
          </w:p>
        </w:tc>
        <w:tc>
          <w:tcPr>
            <w:tcW w:type="dxa" w:w="1200"/>
            <w:shd w:fill="FFFFFF" w:color="auto" w:val="clear"/>
          </w:tcPr>
          <w:p>
            <w:pPr>
              <w:spacing w:after="60" w:before="60"/>
            </w:pPr>
            <w:r>
              <w:rPr>
                <w:rFonts w:ascii="Calibri" w:cs="Calibri" w:eastAsia="Calibri" w:hAnsi="Calibri"/>
                <w:sz w:val="20"/>
                <w:szCs w:val="20"/>
              </w:rPr>
              <w:t xml:space="preserve">JSON filter</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Optional: limit rule to a subset of entities (e.g., only activities on critical path, only dispatches in transit, only risks with no mitigation)</w:t>
            </w:r>
          </w:p>
        </w:tc>
      </w:tr>
      <w:tr>
        <w:tc>
          <w:tcPr>
            <w:tcW w:type="dxa" w:w="2500"/>
            <w:shd w:fill="F1F8E9" w:color="auto" w:val="clear"/>
          </w:tcPr>
          <w:p>
            <w:pPr>
              <w:spacing w:after="60" w:before="60"/>
            </w:pPr>
            <w:r>
              <w:rPr>
                <w:rFonts w:ascii="Calibri" w:cs="Calibri" w:eastAsia="Calibri" w:hAnsi="Calibri"/>
                <w:sz w:val="20"/>
                <w:szCs w:val="20"/>
              </w:rPr>
              <w:t xml:space="preserve">Recipient Rules</w:t>
            </w:r>
          </w:p>
        </w:tc>
        <w:tc>
          <w:tcPr>
            <w:tcW w:type="dxa" w:w="1200"/>
            <w:shd w:fill="F1F8E9" w:color="auto" w:val="clear"/>
          </w:tcPr>
          <w:p>
            <w:pPr>
              <w:spacing w:after="60" w:before="60"/>
            </w:pPr>
            <w:r>
              <w:rPr>
                <w:rFonts w:ascii="Calibri" w:cs="Calibri" w:eastAsia="Calibri" w:hAnsi="Calibri"/>
                <w:sz w:val="20"/>
                <w:szCs w:val="20"/>
              </w:rPr>
              <w:t xml:space="preserve">Role references (array)</w:t>
            </w:r>
          </w:p>
        </w:tc>
        <w:tc>
          <w:tcPr>
            <w:tcW w:type="dxa" w:w="1560"/>
            <w:shd w:fill="F1F8E9" w:color="auto" w:val="clear"/>
          </w:tcPr>
          <w:p>
            <w:pPr>
              <w:spacing w:after="60" w:before="60"/>
            </w:pPr>
            <w:r>
              <w:rPr>
                <w:rFonts w:ascii="Calibri" w:cs="Calibri" w:eastAsia="Calibri" w:hAnsi="Calibri"/>
                <w:sz w:val="20"/>
                <w:szCs w:val="20"/>
              </w:rPr>
              <w:t xml:space="preserve">[project_director]</w:t>
            </w:r>
          </w:p>
        </w:tc>
        <w:tc>
          <w:tcPr>
            <w:tcW w:type="dxa" w:w="4100"/>
            <w:shd w:fill="F1F8E9" w:color="auto" w:val="clear"/>
          </w:tcPr>
          <w:p>
            <w:pPr>
              <w:spacing w:after="60" w:before="60"/>
            </w:pPr>
            <w:r>
              <w:rPr>
                <w:rFonts w:ascii="Calibri" w:cs="Calibri" w:eastAsia="Calibri" w:hAnsi="Calibri"/>
                <w:sz w:val="20"/>
                <w:szCs w:val="20"/>
              </w:rPr>
              <w:t xml:space="preserve">Roles that receive this alert — evaluated at runtime to identify specific users; no individual name references</w:t>
            </w:r>
          </w:p>
        </w:tc>
      </w:tr>
      <w:tr>
        <w:tc>
          <w:tcPr>
            <w:tcW w:type="dxa" w:w="2500"/>
            <w:shd w:fill="FFFFFF" w:color="auto" w:val="clear"/>
          </w:tcPr>
          <w:p>
            <w:pPr>
              <w:spacing w:after="60" w:before="60"/>
            </w:pPr>
            <w:r>
              <w:rPr>
                <w:rFonts w:ascii="Calibri" w:cs="Calibri" w:eastAsia="Calibri" w:hAnsi="Calibri"/>
                <w:sz w:val="20"/>
                <w:szCs w:val="20"/>
              </w:rPr>
              <w:t xml:space="preserve">Escalation Chain</w:t>
            </w:r>
          </w:p>
        </w:tc>
        <w:tc>
          <w:tcPr>
            <w:tcW w:type="dxa" w:w="1200"/>
            <w:shd w:fill="FFFFFF" w:color="auto" w:val="clear"/>
          </w:tcPr>
          <w:p>
            <w:pPr>
              <w:spacing w:after="60" w:before="60"/>
            </w:pPr>
            <w:r>
              <w:rPr>
                <w:rFonts w:ascii="Calibri" w:cs="Calibri" w:eastAsia="Calibri" w:hAnsi="Calibri"/>
                <w:sz w:val="20"/>
                <w:szCs w:val="20"/>
              </w:rPr>
              <w:t xml:space="preserve">Role references (array)</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If alert remains unacknowledged after escalation_delay, escalate to these additional roles in order</w:t>
            </w:r>
          </w:p>
        </w:tc>
      </w:tr>
      <w:tr>
        <w:tc>
          <w:tcPr>
            <w:tcW w:type="dxa" w:w="2500"/>
            <w:shd w:fill="F1F8E9" w:color="auto" w:val="clear"/>
          </w:tcPr>
          <w:p>
            <w:pPr>
              <w:spacing w:after="60" w:before="60"/>
            </w:pPr>
            <w:r>
              <w:rPr>
                <w:rFonts w:ascii="Calibri" w:cs="Calibri" w:eastAsia="Calibri" w:hAnsi="Calibri"/>
                <w:sz w:val="20"/>
                <w:szCs w:val="20"/>
              </w:rPr>
              <w:t xml:space="preserve">Escalation Delay</w:t>
            </w:r>
          </w:p>
        </w:tc>
        <w:tc>
          <w:tcPr>
            <w:tcW w:type="dxa" w:w="1200"/>
            <w:shd w:fill="F1F8E9" w:color="auto" w:val="clear"/>
          </w:tcPr>
          <w:p>
            <w:pPr>
              <w:spacing w:after="60" w:before="60"/>
            </w:pPr>
            <w:r>
              <w:rPr>
                <w:rFonts w:ascii="Calibri" w:cs="Calibri" w:eastAsia="Calibri" w:hAnsi="Calibri"/>
                <w:sz w:val="20"/>
                <w:szCs w:val="20"/>
              </w:rPr>
              <w:t xml:space="preserve">Duration (hours)</w:t>
            </w:r>
          </w:p>
        </w:tc>
        <w:tc>
          <w:tcPr>
            <w:tcW w:type="dxa" w:w="1560"/>
            <w:shd w:fill="F1F8E9" w:color="auto" w:val="clear"/>
          </w:tcPr>
          <w:p>
            <w:pPr>
              <w:spacing w:after="60" w:before="60"/>
            </w:pPr>
            <w:r>
              <w:rPr>
                <w:rFonts w:ascii="Calibri" w:cs="Calibri" w:eastAsia="Calibri" w:hAnsi="Calibri"/>
                <w:sz w:val="20"/>
                <w:szCs w:val="20"/>
              </w:rPr>
              <w:t xml:space="preserve">24</w:t>
            </w:r>
          </w:p>
        </w:tc>
        <w:tc>
          <w:tcPr>
            <w:tcW w:type="dxa" w:w="4100"/>
            <w:shd w:fill="F1F8E9" w:color="auto" w:val="clear"/>
          </w:tcPr>
          <w:p>
            <w:pPr>
              <w:spacing w:after="60" w:before="60"/>
            </w:pPr>
            <w:r>
              <w:rPr>
                <w:rFonts w:ascii="Calibri" w:cs="Calibri" w:eastAsia="Calibri" w:hAnsi="Calibri"/>
                <w:sz w:val="20"/>
                <w:szCs w:val="20"/>
              </w:rPr>
              <w:t xml:space="preserve">Hours after initial alert before escalation is triggered — only applies if escalation_chain is configured</w:t>
            </w:r>
          </w:p>
        </w:tc>
      </w:tr>
      <w:tr>
        <w:tc>
          <w:tcPr>
            <w:tcW w:type="dxa" w:w="2500"/>
            <w:shd w:fill="FFFFFF" w:color="auto" w:val="clear"/>
          </w:tcPr>
          <w:p>
            <w:pPr>
              <w:spacing w:after="60" w:before="60"/>
            </w:pPr>
            <w:r>
              <w:rPr>
                <w:rFonts w:ascii="Calibri" w:cs="Calibri" w:eastAsia="Calibri" w:hAnsi="Calibri"/>
                <w:sz w:val="20"/>
                <w:szCs w:val="20"/>
              </w:rPr>
              <w:t xml:space="preserve">Cooldown Period</w:t>
            </w:r>
          </w:p>
        </w:tc>
        <w:tc>
          <w:tcPr>
            <w:tcW w:type="dxa" w:w="1200"/>
            <w:shd w:fill="FFFFFF" w:color="auto" w:val="clear"/>
          </w:tcPr>
          <w:p>
            <w:pPr>
              <w:spacing w:after="60" w:before="60"/>
            </w:pPr>
            <w:r>
              <w:rPr>
                <w:rFonts w:ascii="Calibri" w:cs="Calibri" w:eastAsia="Calibri" w:hAnsi="Calibri"/>
                <w:sz w:val="20"/>
                <w:szCs w:val="20"/>
              </w:rPr>
              <w:t xml:space="preserve">Duration (hours)</w:t>
            </w:r>
          </w:p>
        </w:tc>
        <w:tc>
          <w:tcPr>
            <w:tcW w:type="dxa" w:w="1560"/>
            <w:shd w:fill="FFFFFF" w:color="auto" w:val="clear"/>
          </w:tcPr>
          <w:p>
            <w:pPr>
              <w:spacing w:after="60" w:before="60"/>
            </w:pPr>
            <w:r>
              <w:rPr>
                <w:rFonts w:ascii="Calibri" w:cs="Calibri" w:eastAsia="Calibri" w:hAnsi="Calibri"/>
                <w:sz w:val="20"/>
                <w:szCs w:val="20"/>
              </w:rPr>
              <w:t xml:space="preserve">4</w:t>
            </w:r>
          </w:p>
        </w:tc>
        <w:tc>
          <w:tcPr>
            <w:tcW w:type="dxa" w:w="4100"/>
            <w:shd w:fill="FFFFFF" w:color="auto" w:val="clear"/>
          </w:tcPr>
          <w:p>
            <w:pPr>
              <w:spacing w:after="60" w:before="60"/>
            </w:pPr>
            <w:r>
              <w:rPr>
                <w:rFonts w:ascii="Calibri" w:cs="Calibri" w:eastAsia="Calibri" w:hAnsi="Calibri"/>
                <w:sz w:val="20"/>
                <w:szCs w:val="20"/>
              </w:rPr>
              <w:t xml:space="preserve">Minimum time between repeated alerts for the same condition on the same entity — prevents alert flooding</w:t>
            </w:r>
          </w:p>
        </w:tc>
      </w:tr>
      <w:tr>
        <w:tc>
          <w:tcPr>
            <w:tcW w:type="dxa" w:w="2500"/>
            <w:shd w:fill="F1F8E9" w:color="auto" w:val="clear"/>
          </w:tcPr>
          <w:p>
            <w:pPr>
              <w:spacing w:after="60" w:before="60"/>
            </w:pPr>
            <w:r>
              <w:rPr>
                <w:rFonts w:ascii="Calibri" w:cs="Calibri" w:eastAsia="Calibri" w:hAnsi="Calibri"/>
                <w:sz w:val="20"/>
                <w:szCs w:val="20"/>
              </w:rPr>
              <w:t xml:space="preserve">Active</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this alert rule is currently active — rules can be temporarily disabled without deletion</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4 — Report Template Builder</w:t>
      </w:r>
    </w:p>
    <w:p>
      <w:pPr>
        <w:spacing w:after="80" w:before="80"/>
        <w:jc w:val="left"/>
      </w:pPr>
      <w:r>
        <w:rPr>
          <w:rFonts w:ascii="Calibri" w:cs="Calibri" w:eastAsia="Calibri" w:hAnsi="Calibri"/>
          <w:b w:val="false"/>
          <w:bCs w:val="false"/>
          <w:color w:val="000000"/>
          <w:sz w:val="22"/>
          <w:szCs w:val="22"/>
        </w:rPr>
        <w:t xml:space="preserve">Purpose: The Report Template Builder configures the structure, content, and distribution of Green PM's automated reports. Reports in Green PM are AI-narrative documents — the Reporting Engine generates structured data sections, then passes section summaries and data to the Claude API (claude-sonnet-4-6) which writes the narrative analysis paragraphs according to the tone and focus instructions configured here. Report templates define exactly which sections appear, what data they draw from, how the narrative should be framed, and how frequently reports are generated. Critical design rule: the 'send' action in the Reporting Engine is always a no-op in production — it logs the action and the intended distribution list, but does not transmit real communications. Distribution list configuration stores role names, not individual email addresses.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Report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Human-readable name for this report template (e.g., 'Weekly Project Status Report', 'Monthly Executive Summary')</w:t>
            </w:r>
          </w:p>
        </w:tc>
      </w:tr>
      <w:tr>
        <w:tc>
          <w:tcPr>
            <w:tcW w:type="dxa" w:w="2500"/>
            <w:shd w:fill="F1F8E9" w:color="auto" w:val="clear"/>
          </w:tcPr>
          <w:p>
            <w:pPr>
              <w:spacing w:after="60" w:before="60"/>
            </w:pPr>
            <w:r>
              <w:rPr>
                <w:rFonts w:ascii="Calibri" w:cs="Calibri" w:eastAsia="Calibri" w:hAnsi="Calibri"/>
                <w:sz w:val="20"/>
                <w:szCs w:val="20"/>
              </w:rPr>
              <w:t xml:space="preserve">Report Type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weekly_status</w:t>
            </w:r>
          </w:p>
        </w:tc>
        <w:tc>
          <w:tcPr>
            <w:tcW w:type="dxa" w:w="4100"/>
            <w:shd w:fill="F1F8E9" w:color="auto" w:val="clear"/>
          </w:tcPr>
          <w:p>
            <w:pPr>
              <w:spacing w:after="60" w:before="60"/>
            </w:pPr>
            <w:r>
              <w:rPr>
                <w:rFonts w:ascii="Calibri" w:cs="Calibri" w:eastAsia="Calibri" w:hAnsi="Calibri"/>
                <w:sz w:val="20"/>
                <w:szCs w:val="20"/>
              </w:rPr>
              <w:t xml:space="preserve">Report type: weekly_status / monthly_summary / milestone_report / risk_register / change_log / commissioning_readiness / custom</w:t>
            </w:r>
          </w:p>
        </w:tc>
      </w:tr>
      <w:tr>
        <w:tc>
          <w:tcPr>
            <w:tcW w:type="dxa" w:w="2500"/>
            <w:shd w:fill="FFFFFF" w:color="auto" w:val="clear"/>
          </w:tcPr>
          <w:p>
            <w:pPr>
              <w:spacing w:after="60" w:before="60"/>
            </w:pPr>
            <w:r>
              <w:rPr>
                <w:rFonts w:ascii="Calibri" w:cs="Calibri" w:eastAsia="Calibri" w:hAnsi="Calibri"/>
                <w:sz w:val="20"/>
                <w:szCs w:val="20"/>
              </w:rPr>
              <w:t xml:space="preserve">Standard Sections</w:t>
            </w:r>
          </w:p>
        </w:tc>
        <w:tc>
          <w:tcPr>
            <w:tcW w:type="dxa" w:w="1200"/>
            <w:shd w:fill="FFFFFF" w:color="auto" w:val="clear"/>
          </w:tcPr>
          <w:p>
            <w:pPr>
              <w:spacing w:after="60" w:before="60"/>
            </w:pPr>
            <w:r>
              <w:rPr>
                <w:rFonts w:ascii="Calibri" w:cs="Calibri" w:eastAsia="Calibri" w:hAnsi="Calibri"/>
                <w:sz w:val="20"/>
                <w:szCs w:val="20"/>
              </w:rPr>
              <w:t xml:space="preserve">Multi-select</w:t>
            </w:r>
          </w:p>
        </w:tc>
        <w:tc>
          <w:tcPr>
            <w:tcW w:type="dxa" w:w="1560"/>
            <w:shd w:fill="FFFFFF" w:color="auto" w:val="clear"/>
          </w:tcPr>
          <w:p>
            <w:pPr>
              <w:spacing w:after="60" w:before="60"/>
            </w:pPr>
            <w:r>
              <w:rPr>
                <w:rFonts w:ascii="Calibri" w:cs="Calibri" w:eastAsia="Calibri" w:hAnsi="Calibri"/>
                <w:sz w:val="20"/>
                <w:szCs w:val="20"/>
              </w:rPr>
              <w:t xml:space="preserve">[executive_summary, schedule, risk, change]</w:t>
            </w:r>
          </w:p>
        </w:tc>
        <w:tc>
          <w:tcPr>
            <w:tcW w:type="dxa" w:w="4100"/>
            <w:shd w:fill="FFFFFF" w:color="auto" w:val="clear"/>
          </w:tcPr>
          <w:p>
            <w:pPr>
              <w:spacing w:after="60" w:before="60"/>
            </w:pPr>
            <w:r>
              <w:rPr>
                <w:rFonts w:ascii="Calibri" w:cs="Calibri" w:eastAsia="Calibri" w:hAnsi="Calibri"/>
                <w:sz w:val="20"/>
                <w:szCs w:val="20"/>
              </w:rPr>
              <w:t xml:space="preserve">Which standard sections to include — available: executive_summary, schedule, risk, change, vendor, evidence, decisions, readiness, financial, commissioning</w:t>
            </w:r>
          </w:p>
        </w:tc>
      </w:tr>
      <w:tr>
        <w:tc>
          <w:tcPr>
            <w:tcW w:type="dxa" w:w="2500"/>
            <w:shd w:fill="F1F8E9" w:color="auto" w:val="clear"/>
          </w:tcPr>
          <w:p>
            <w:pPr>
              <w:spacing w:after="60" w:before="60"/>
            </w:pPr>
            <w:r>
              <w:rPr>
                <w:rFonts w:ascii="Calibri" w:cs="Calibri" w:eastAsia="Calibri" w:hAnsi="Calibri"/>
                <w:sz w:val="20"/>
                <w:szCs w:val="20"/>
              </w:rPr>
              <w:t xml:space="preserve">Custom Sections</w:t>
            </w:r>
          </w:p>
        </w:tc>
        <w:tc>
          <w:tcPr>
            <w:tcW w:type="dxa" w:w="1200"/>
            <w:shd w:fill="F1F8E9" w:color="auto" w:val="clear"/>
          </w:tcPr>
          <w:p>
            <w:pPr>
              <w:spacing w:after="60" w:before="60"/>
            </w:pPr>
            <w:r>
              <w:rPr>
                <w:rFonts w:ascii="Calibri" w:cs="Calibri" w:eastAsia="Calibri" w:hAnsi="Calibri"/>
                <w:sz w:val="20"/>
                <w:szCs w:val="20"/>
              </w:rPr>
              <w:t xml:space="preserve">Text array</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Names of custom sections to include — Studio Admin defines data source and narrative instructions for each</w:t>
            </w:r>
          </w:p>
        </w:tc>
      </w:tr>
      <w:tr>
        <w:tc>
          <w:tcPr>
            <w:tcW w:type="dxa" w:w="2500"/>
            <w:shd w:fill="FFFFFF" w:color="auto" w:val="clear"/>
          </w:tcPr>
          <w:p>
            <w:pPr>
              <w:spacing w:after="60" w:before="60"/>
            </w:pPr>
            <w:r>
              <w:rPr>
                <w:rFonts w:ascii="Calibri" w:cs="Calibri" w:eastAsia="Calibri" w:hAnsi="Calibri"/>
                <w:sz w:val="20"/>
                <w:szCs w:val="20"/>
              </w:rPr>
              <w:t xml:space="preserve">Data Sources</w:t>
            </w:r>
          </w:p>
        </w:tc>
        <w:tc>
          <w:tcPr>
            <w:tcW w:type="dxa" w:w="1200"/>
            <w:shd w:fill="FFFFFF" w:color="auto" w:val="clear"/>
          </w:tcPr>
          <w:p>
            <w:pPr>
              <w:spacing w:after="60" w:before="60"/>
            </w:pPr>
            <w:r>
              <w:rPr>
                <w:rFonts w:ascii="Calibri" w:cs="Calibri" w:eastAsia="Calibri" w:hAnsi="Calibri"/>
                <w:sz w:val="20"/>
                <w:szCs w:val="20"/>
              </w:rPr>
              <w:t xml:space="preserve">Engine references</w:t>
            </w:r>
          </w:p>
        </w:tc>
        <w:tc>
          <w:tcPr>
            <w:tcW w:type="dxa" w:w="1560"/>
            <w:shd w:fill="FFFFFF" w:color="auto" w:val="clear"/>
          </w:tcPr>
          <w:p>
            <w:pPr>
              <w:spacing w:after="60" w:before="60"/>
            </w:pPr>
            <w:r>
              <w:rPr>
                <w:rFonts w:ascii="Calibri" w:cs="Calibri" w:eastAsia="Calibri" w:hAnsi="Calibri"/>
                <w:sz w:val="20"/>
                <w:szCs w:val="20"/>
              </w:rPr>
              <w:t xml:space="preserve">auto</w:t>
            </w:r>
          </w:p>
        </w:tc>
        <w:tc>
          <w:tcPr>
            <w:tcW w:type="dxa" w:w="4100"/>
            <w:shd w:fill="FFFFFF" w:color="auto" w:val="clear"/>
          </w:tcPr>
          <w:p>
            <w:pPr>
              <w:spacing w:after="60" w:before="60"/>
            </w:pPr>
            <w:r>
              <w:rPr>
                <w:rFonts w:ascii="Calibri" w:cs="Calibri" w:eastAsia="Calibri" w:hAnsi="Calibri"/>
                <w:sz w:val="20"/>
                <w:szCs w:val="20"/>
              </w:rPr>
              <w:t xml:space="preserve">Which engines contribute data to each section — auto-detected from section type; can be overridden</w:t>
            </w:r>
          </w:p>
        </w:tc>
      </w:tr>
      <w:tr>
        <w:tc>
          <w:tcPr>
            <w:tcW w:type="dxa" w:w="2500"/>
            <w:shd w:fill="F1F8E9" w:color="auto" w:val="clear"/>
          </w:tcPr>
          <w:p>
            <w:pPr>
              <w:spacing w:after="60" w:before="60"/>
            </w:pPr>
            <w:r>
              <w:rPr>
                <w:rFonts w:ascii="Calibri" w:cs="Calibri" w:eastAsia="Calibri" w:hAnsi="Calibri"/>
                <w:sz w:val="20"/>
                <w:szCs w:val="20"/>
              </w:rPr>
              <w:t xml:space="preserve">Narrative Tone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professional</w:t>
            </w:r>
          </w:p>
        </w:tc>
        <w:tc>
          <w:tcPr>
            <w:tcW w:type="dxa" w:w="4100"/>
            <w:shd w:fill="F1F8E9" w:color="auto" w:val="clear"/>
          </w:tcPr>
          <w:p>
            <w:pPr>
              <w:spacing w:after="60" w:before="60"/>
            </w:pPr>
            <w:r>
              <w:rPr>
                <w:rFonts w:ascii="Calibri" w:cs="Calibri" w:eastAsia="Calibri" w:hAnsi="Calibri"/>
                <w:sz w:val="20"/>
                <w:szCs w:val="20"/>
              </w:rPr>
              <w:t xml:space="preserve">Tone instruction passed to Claude API for narrative generation: professional / executive_brief / technical_detail / risk_focused</w:t>
            </w:r>
          </w:p>
        </w:tc>
      </w:tr>
      <w:tr>
        <w:tc>
          <w:tcPr>
            <w:tcW w:type="dxa" w:w="2500"/>
            <w:shd w:fill="FFFFFF" w:color="auto" w:val="clear"/>
          </w:tcPr>
          <w:p>
            <w:pPr>
              <w:spacing w:after="60" w:before="60"/>
            </w:pPr>
            <w:r>
              <w:rPr>
                <w:rFonts w:ascii="Calibri" w:cs="Calibri" w:eastAsia="Calibri" w:hAnsi="Calibri"/>
                <w:sz w:val="20"/>
                <w:szCs w:val="20"/>
              </w:rPr>
              <w:t xml:space="preserve">Narrative Focus Instructions</w:t>
            </w:r>
          </w:p>
        </w:tc>
        <w:tc>
          <w:tcPr>
            <w:tcW w:type="dxa" w:w="1200"/>
            <w:shd w:fill="FFFFFF" w:color="auto" w:val="clear"/>
          </w:tcPr>
          <w:p>
            <w:pPr>
              <w:spacing w:after="60" w:before="60"/>
            </w:pPr>
            <w:r>
              <w:rPr>
                <w:rFonts w:ascii="Calibri" w:cs="Calibri" w:eastAsia="Calibri" w:hAnsi="Calibri"/>
                <w:sz w:val="20"/>
                <w:szCs w:val="20"/>
              </w:rPr>
              <w:t xml:space="preserve">Text (long)</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Free-text instructions to Claude API for the overall narrative: what to emphasise, what language to avoid, what the reader cares about most</w:t>
            </w:r>
          </w:p>
        </w:tc>
      </w:tr>
      <w:tr>
        <w:tc>
          <w:tcPr>
            <w:tcW w:type="dxa" w:w="2500"/>
            <w:shd w:fill="F1F8E9" w:color="auto" w:val="clear"/>
          </w:tcPr>
          <w:p>
            <w:pPr>
              <w:spacing w:after="60" w:before="60"/>
            </w:pPr>
            <w:r>
              <w:rPr>
                <w:rFonts w:ascii="Calibri" w:cs="Calibri" w:eastAsia="Calibri" w:hAnsi="Calibri"/>
                <w:sz w:val="20"/>
                <w:szCs w:val="20"/>
              </w:rPr>
              <w:t xml:space="preserve">Report Period</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weekly</w:t>
            </w:r>
          </w:p>
        </w:tc>
        <w:tc>
          <w:tcPr>
            <w:tcW w:type="dxa" w:w="4100"/>
            <w:shd w:fill="F1F8E9" w:color="auto" w:val="clear"/>
          </w:tcPr>
          <w:p>
            <w:pPr>
              <w:spacing w:after="60" w:before="60"/>
            </w:pPr>
            <w:r>
              <w:rPr>
                <w:rFonts w:ascii="Calibri" w:cs="Calibri" w:eastAsia="Calibri" w:hAnsi="Calibri"/>
                <w:sz w:val="20"/>
                <w:szCs w:val="20"/>
              </w:rPr>
              <w:t xml:space="preserve">Reporting period: daily / weekly / monthly / milestone_triggered / on_demand</w:t>
            </w:r>
          </w:p>
        </w:tc>
      </w:tr>
      <w:tr>
        <w:tc>
          <w:tcPr>
            <w:tcW w:type="dxa" w:w="2500"/>
            <w:shd w:fill="FFFFFF" w:color="auto" w:val="clear"/>
          </w:tcPr>
          <w:p>
            <w:pPr>
              <w:spacing w:after="60" w:before="60"/>
            </w:pPr>
            <w:r>
              <w:rPr>
                <w:rFonts w:ascii="Calibri" w:cs="Calibri" w:eastAsia="Calibri" w:hAnsi="Calibri"/>
                <w:sz w:val="20"/>
                <w:szCs w:val="20"/>
              </w:rPr>
              <w:t xml:space="preserve">Generation Schedule</w:t>
            </w:r>
          </w:p>
        </w:tc>
        <w:tc>
          <w:tcPr>
            <w:tcW w:type="dxa" w:w="1200"/>
            <w:shd w:fill="FFFFFF" w:color="auto" w:val="clear"/>
          </w:tcPr>
          <w:p>
            <w:pPr>
              <w:spacing w:after="60" w:before="60"/>
            </w:pPr>
            <w:r>
              <w:rPr>
                <w:rFonts w:ascii="Calibri" w:cs="Calibri" w:eastAsia="Calibri" w:hAnsi="Calibri"/>
                <w:sz w:val="20"/>
                <w:szCs w:val="20"/>
              </w:rPr>
              <w:t xml:space="preserve">Cron expression</w:t>
            </w:r>
          </w:p>
        </w:tc>
        <w:tc>
          <w:tcPr>
            <w:tcW w:type="dxa" w:w="1560"/>
            <w:shd w:fill="FFFFFF" w:color="auto" w:val="clear"/>
          </w:tcPr>
          <w:p>
            <w:pPr>
              <w:spacing w:after="60" w:before="60"/>
            </w:pPr>
            <w:r>
              <w:rPr>
                <w:rFonts w:ascii="Calibri" w:cs="Calibri" w:eastAsia="Calibri" w:hAnsi="Calibri"/>
                <w:sz w:val="20"/>
                <w:szCs w:val="20"/>
              </w:rPr>
              <w:t xml:space="preserve">0 6 * * 5</w:t>
            </w:r>
          </w:p>
        </w:tc>
        <w:tc>
          <w:tcPr>
            <w:tcW w:type="dxa" w:w="4100"/>
            <w:shd w:fill="FFFFFF" w:color="auto" w:val="clear"/>
          </w:tcPr>
          <w:p>
            <w:pPr>
              <w:spacing w:after="60" w:before="60"/>
            </w:pPr>
            <w:r>
              <w:rPr>
                <w:rFonts w:ascii="Calibri" w:cs="Calibri" w:eastAsia="Calibri" w:hAnsi="Calibri"/>
                <w:sz w:val="20"/>
                <w:szCs w:val="20"/>
              </w:rPr>
              <w:t xml:space="preserve">When to auto-generate — defaults to Friday 06:00 for weekly reports; on_demand reports ignore this field</w:t>
            </w:r>
          </w:p>
        </w:tc>
      </w:tr>
      <w:tr>
        <w:tc>
          <w:tcPr>
            <w:tcW w:type="dxa" w:w="2500"/>
            <w:shd w:fill="F1F8E9" w:color="auto" w:val="clear"/>
          </w:tcPr>
          <w:p>
            <w:pPr>
              <w:spacing w:after="60" w:before="60"/>
            </w:pPr>
            <w:r>
              <w:rPr>
                <w:rFonts w:ascii="Calibri" w:cs="Calibri" w:eastAsia="Calibri" w:hAnsi="Calibri"/>
                <w:sz w:val="20"/>
                <w:szCs w:val="20"/>
              </w:rPr>
              <w:t xml:space="preserve">Distribution List</w:t>
            </w:r>
          </w:p>
        </w:tc>
        <w:tc>
          <w:tcPr>
            <w:tcW w:type="dxa" w:w="1200"/>
            <w:shd w:fill="F1F8E9" w:color="auto" w:val="clear"/>
          </w:tcPr>
          <w:p>
            <w:pPr>
              <w:spacing w:after="60" w:before="60"/>
            </w:pPr>
            <w:r>
              <w:rPr>
                <w:rFonts w:ascii="Calibri" w:cs="Calibri" w:eastAsia="Calibri" w:hAnsi="Calibri"/>
                <w:sz w:val="20"/>
                <w:szCs w:val="20"/>
              </w:rPr>
              <w:t xml:space="preserve">Role references (array)</w:t>
            </w:r>
          </w:p>
        </w:tc>
        <w:tc>
          <w:tcPr>
            <w:tcW w:type="dxa" w:w="1560"/>
            <w:shd w:fill="F1F8E9" w:color="auto" w:val="clear"/>
          </w:tcPr>
          <w:p>
            <w:pPr>
              <w:spacing w:after="60" w:before="60"/>
            </w:pPr>
            <w:r>
              <w:rPr>
                <w:rFonts w:ascii="Calibri" w:cs="Calibri" w:eastAsia="Calibri" w:hAnsi="Calibri"/>
                <w:sz w:val="20"/>
                <w:szCs w:val="20"/>
              </w:rPr>
              <w:t xml:space="preserve">[project_director, pmo]</w:t>
            </w:r>
          </w:p>
        </w:tc>
        <w:tc>
          <w:tcPr>
            <w:tcW w:type="dxa" w:w="4100"/>
            <w:shd w:fill="F1F8E9" w:color="auto" w:val="clear"/>
          </w:tcPr>
          <w:p>
            <w:pPr>
              <w:spacing w:after="60" w:before="60"/>
            </w:pPr>
            <w:r>
              <w:rPr>
                <w:rFonts w:ascii="Calibri" w:cs="Calibri" w:eastAsia="Calibri" w:hAnsi="Calibri"/>
                <w:sz w:val="20"/>
                <w:szCs w:val="20"/>
              </w:rPr>
              <w:t xml:space="preserve">Roles to include in the simulated distribution list — logged on 'send'; no actual communication sent</w:t>
            </w:r>
          </w:p>
        </w:tc>
      </w:tr>
      <w:tr>
        <w:tc>
          <w:tcPr>
            <w:tcW w:type="dxa" w:w="2500"/>
            <w:shd w:fill="FFFFFF" w:color="auto" w:val="clear"/>
          </w:tcPr>
          <w:p>
            <w:pPr>
              <w:spacing w:after="60" w:before="60"/>
            </w:pPr>
            <w:r>
              <w:rPr>
                <w:rFonts w:ascii="Calibri" w:cs="Calibri" w:eastAsia="Calibri" w:hAnsi="Calibri"/>
                <w:sz w:val="20"/>
                <w:szCs w:val="20"/>
              </w:rPr>
              <w:t xml:space="preserve">Attachment Format</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docx</w:t>
            </w:r>
          </w:p>
        </w:tc>
        <w:tc>
          <w:tcPr>
            <w:tcW w:type="dxa" w:w="4100"/>
            <w:shd w:fill="FFFFFF" w:color="auto" w:val="clear"/>
          </w:tcPr>
          <w:p>
            <w:pPr>
              <w:spacing w:after="60" w:before="60"/>
            </w:pPr>
            <w:r>
              <w:rPr>
                <w:rFonts w:ascii="Calibri" w:cs="Calibri" w:eastAsia="Calibri" w:hAnsi="Calibri"/>
                <w:sz w:val="20"/>
                <w:szCs w:val="20"/>
              </w:rPr>
              <w:t xml:space="preserve">Output format for the generated report: docx / pdf / html</w:t>
            </w:r>
          </w:p>
        </w:tc>
      </w:tr>
      <w:tr>
        <w:tc>
          <w:tcPr>
            <w:tcW w:type="dxa" w:w="2500"/>
            <w:shd w:fill="F1F8E9" w:color="auto" w:val="clear"/>
          </w:tcPr>
          <w:p>
            <w:pPr>
              <w:spacing w:after="60" w:before="60"/>
            </w:pPr>
            <w:r>
              <w:rPr>
                <w:rFonts w:ascii="Calibri" w:cs="Calibri" w:eastAsia="Calibri" w:hAnsi="Calibri"/>
                <w:sz w:val="20"/>
                <w:szCs w:val="20"/>
              </w:rPr>
              <w:t xml:space="preserve">Include Charts</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to include data visualisation charts in the report (Gantt excerpt, risk heatmap, evidence distribution)</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5 — Approval Chain Builder</w:t>
      </w:r>
    </w:p>
    <w:p>
      <w:pPr>
        <w:spacing w:after="80" w:before="80"/>
        <w:jc w:val="left"/>
      </w:pPr>
      <w:r>
        <w:rPr>
          <w:rFonts w:ascii="Calibri" w:cs="Calibri" w:eastAsia="Calibri" w:hAnsi="Calibri"/>
          <w:b w:val="false"/>
          <w:bCs w:val="false"/>
          <w:color w:val="000000"/>
          <w:sz w:val="22"/>
          <w:szCs w:val="22"/>
        </w:rPr>
        <w:t xml:space="preserve">Purpose: The Approval Chain Builder configures the governance workflows that route decisions, changes, and documents through the right approvers in the right order. Unlike ad hoc approval requests, Green PM approval chains are systematically defined — when a trigger condition is met (a change order above a certain value is raised, a gate review is submitted, a high-impact risk requires mitigation sign-off), the configured approval chain fires automatically. The Decision Engine and Change Intelligence Engine both consume approval chain configurations. Approval chains are role-based — no individual names are stored. The system resolves role to specific users at runtime based on who holds that role on the project at the time of routing.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Chain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Human-readable name for this approval chain (e.g., 'Change Order &gt; INR 50L Approval', 'Gate Review Approval')</w:t>
            </w:r>
          </w:p>
        </w:tc>
      </w:tr>
      <w:tr>
        <w:tc>
          <w:tcPr>
            <w:tcW w:type="dxa" w:w="2500"/>
            <w:shd w:fill="F1F8E9" w:color="auto" w:val="clear"/>
          </w:tcPr>
          <w:p>
            <w:pPr>
              <w:spacing w:after="60" w:before="60"/>
            </w:pPr>
            <w:r>
              <w:rPr>
                <w:rFonts w:ascii="Calibri" w:cs="Calibri" w:eastAsia="Calibri" w:hAnsi="Calibri"/>
                <w:sz w:val="20"/>
                <w:szCs w:val="20"/>
              </w:rPr>
              <w:t xml:space="preserve">Trigger Entity Type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Change</w:t>
            </w:r>
          </w:p>
        </w:tc>
        <w:tc>
          <w:tcPr>
            <w:tcW w:type="dxa" w:w="4100"/>
            <w:shd w:fill="F1F8E9" w:color="auto" w:val="clear"/>
          </w:tcPr>
          <w:p>
            <w:pPr>
              <w:spacing w:after="60" w:before="60"/>
            </w:pPr>
            <w:r>
              <w:rPr>
                <w:rFonts w:ascii="Calibri" w:cs="Calibri" w:eastAsia="Calibri" w:hAnsi="Calibri"/>
                <w:sz w:val="20"/>
                <w:szCs w:val="20"/>
              </w:rPr>
              <w:t xml:space="preserve">Entity type that triggers this chain: Change / Decision / Gate / Risk / Document / Vendor NCR</w:t>
            </w:r>
          </w:p>
        </w:tc>
      </w:tr>
      <w:tr>
        <w:tc>
          <w:tcPr>
            <w:tcW w:type="dxa" w:w="2500"/>
            <w:shd w:fill="FFFFFF" w:color="auto" w:val="clear"/>
          </w:tcPr>
          <w:p>
            <w:pPr>
              <w:spacing w:after="60" w:before="60"/>
            </w:pPr>
            <w:r>
              <w:rPr>
                <w:rFonts w:ascii="Calibri" w:cs="Calibri" w:eastAsia="Calibri" w:hAnsi="Calibri"/>
                <w:sz w:val="20"/>
                <w:szCs w:val="20"/>
              </w:rPr>
              <w:t xml:space="preserve">Trigger Conditions</w:t>
            </w:r>
          </w:p>
        </w:tc>
        <w:tc>
          <w:tcPr>
            <w:tcW w:type="dxa" w:w="1200"/>
            <w:shd w:fill="FFFFFF" w:color="auto" w:val="clear"/>
          </w:tcPr>
          <w:p>
            <w:pPr>
              <w:spacing w:after="60" w:before="60"/>
            </w:pPr>
            <w:r>
              <w:rPr>
                <w:rFonts w:ascii="Calibri" w:cs="Calibri" w:eastAsia="Calibri" w:hAnsi="Calibri"/>
                <w:sz w:val="20"/>
                <w:szCs w:val="20"/>
              </w:rPr>
              <w:t xml:space="preserve">JSON conditions</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Conditions that activate this chain — e.g., cost_impact &gt; 5000000, decision_type = 'schedule_baseline_change', gate_type = 'COD'</w:t>
            </w:r>
          </w:p>
        </w:tc>
      </w:tr>
      <w:tr>
        <w:tc>
          <w:tcPr>
            <w:tcW w:type="dxa" w:w="2500"/>
            <w:shd w:fill="F1F8E9" w:color="auto" w:val="clear"/>
          </w:tcPr>
          <w:p>
            <w:pPr>
              <w:spacing w:after="60" w:before="60"/>
            </w:pPr>
            <w:r>
              <w:rPr>
                <w:rFonts w:ascii="Calibri" w:cs="Calibri" w:eastAsia="Calibri" w:hAnsi="Calibri"/>
                <w:sz w:val="20"/>
                <w:szCs w:val="20"/>
              </w:rPr>
              <w:t xml:space="preserve">Approver Roles</w:t>
            </w:r>
          </w:p>
        </w:tc>
        <w:tc>
          <w:tcPr>
            <w:tcW w:type="dxa" w:w="1200"/>
            <w:shd w:fill="F1F8E9" w:color="auto" w:val="clear"/>
          </w:tcPr>
          <w:p>
            <w:pPr>
              <w:spacing w:after="60" w:before="60"/>
            </w:pPr>
            <w:r>
              <w:rPr>
                <w:rFonts w:ascii="Calibri" w:cs="Calibri" w:eastAsia="Calibri" w:hAnsi="Calibri"/>
                <w:sz w:val="20"/>
                <w:szCs w:val="20"/>
              </w:rPr>
              <w:t xml:space="preserve">Role references (array)</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Ordered list of roles in the approval chain — evaluated in order for sequential; all at once for parallel</w:t>
            </w:r>
          </w:p>
        </w:tc>
      </w:tr>
      <w:tr>
        <w:tc>
          <w:tcPr>
            <w:tcW w:type="dxa" w:w="2500"/>
            <w:shd w:fill="FFFFFF" w:color="auto" w:val="clear"/>
          </w:tcPr>
          <w:p>
            <w:pPr>
              <w:spacing w:after="60" w:before="60"/>
            </w:pPr>
            <w:r>
              <w:rPr>
                <w:rFonts w:ascii="Calibri" w:cs="Calibri" w:eastAsia="Calibri" w:hAnsi="Calibri"/>
                <w:sz w:val="20"/>
                <w:szCs w:val="20"/>
              </w:rPr>
              <w:t xml:space="preserve">Approval Type</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sequential</w:t>
            </w:r>
          </w:p>
        </w:tc>
        <w:tc>
          <w:tcPr>
            <w:tcW w:type="dxa" w:w="4100"/>
            <w:shd w:fill="FFFFFF" w:color="auto" w:val="clear"/>
          </w:tcPr>
          <w:p>
            <w:pPr>
              <w:spacing w:after="60" w:before="60"/>
            </w:pPr>
            <w:r>
              <w:rPr>
                <w:rFonts w:ascii="Calibri" w:cs="Calibri" w:eastAsia="Calibri" w:hAnsi="Calibri"/>
                <w:sz w:val="20"/>
                <w:szCs w:val="20"/>
              </w:rPr>
              <w:t xml:space="preserve">sequential: each approver must act before the next is notified; parallel: all approvers notified simultaneously, all must approve</w:t>
            </w:r>
          </w:p>
        </w:tc>
      </w:tr>
      <w:tr>
        <w:tc>
          <w:tcPr>
            <w:tcW w:type="dxa" w:w="2500"/>
            <w:shd w:fill="F1F8E9" w:color="auto" w:val="clear"/>
          </w:tcPr>
          <w:p>
            <w:pPr>
              <w:spacing w:after="60" w:before="60"/>
            </w:pPr>
            <w:r>
              <w:rPr>
                <w:rFonts w:ascii="Calibri" w:cs="Calibri" w:eastAsia="Calibri" w:hAnsi="Calibri"/>
                <w:sz w:val="20"/>
                <w:szCs w:val="20"/>
              </w:rPr>
              <w:t xml:space="preserve">Approval Threshold</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all_must_approve</w:t>
            </w:r>
          </w:p>
        </w:tc>
        <w:tc>
          <w:tcPr>
            <w:tcW w:type="dxa" w:w="4100"/>
            <w:shd w:fill="F1F8E9" w:color="auto" w:val="clear"/>
          </w:tcPr>
          <w:p>
            <w:pPr>
              <w:spacing w:after="60" w:before="60"/>
            </w:pPr>
            <w:r>
              <w:rPr>
                <w:rFonts w:ascii="Calibri" w:cs="Calibri" w:eastAsia="Calibri" w:hAnsi="Calibri"/>
                <w:sz w:val="20"/>
                <w:szCs w:val="20"/>
              </w:rPr>
              <w:t xml:space="preserve">all_must_approve / majority / any_one — determines how many approvals are required for the chain to pass</w:t>
            </w:r>
          </w:p>
        </w:tc>
      </w:tr>
      <w:tr>
        <w:tc>
          <w:tcPr>
            <w:tcW w:type="dxa" w:w="2500"/>
            <w:shd w:fill="FFFFFF" w:color="auto" w:val="clear"/>
          </w:tcPr>
          <w:p>
            <w:pPr>
              <w:spacing w:after="60" w:before="60"/>
            </w:pPr>
            <w:r>
              <w:rPr>
                <w:rFonts w:ascii="Calibri" w:cs="Calibri" w:eastAsia="Calibri" w:hAnsi="Calibri"/>
                <w:sz w:val="20"/>
                <w:szCs w:val="20"/>
              </w:rPr>
              <w:t xml:space="preserve">Timeout Duration</w:t>
            </w:r>
          </w:p>
        </w:tc>
        <w:tc>
          <w:tcPr>
            <w:tcW w:type="dxa" w:w="1200"/>
            <w:shd w:fill="FFFFFF" w:color="auto" w:val="clear"/>
          </w:tcPr>
          <w:p>
            <w:pPr>
              <w:spacing w:after="60" w:before="60"/>
            </w:pPr>
            <w:r>
              <w:rPr>
                <w:rFonts w:ascii="Calibri" w:cs="Calibri" w:eastAsia="Calibri" w:hAnsi="Calibri"/>
                <w:sz w:val="20"/>
                <w:szCs w:val="20"/>
              </w:rPr>
              <w:t xml:space="preserve">Duration (hours)</w:t>
            </w:r>
          </w:p>
        </w:tc>
        <w:tc>
          <w:tcPr>
            <w:tcW w:type="dxa" w:w="1560"/>
            <w:shd w:fill="FFFFFF" w:color="auto" w:val="clear"/>
          </w:tcPr>
          <w:p>
            <w:pPr>
              <w:spacing w:after="60" w:before="60"/>
            </w:pPr>
            <w:r>
              <w:rPr>
                <w:rFonts w:ascii="Calibri" w:cs="Calibri" w:eastAsia="Calibri" w:hAnsi="Calibri"/>
                <w:sz w:val="20"/>
                <w:szCs w:val="20"/>
              </w:rPr>
              <w:t xml:space="preserve">48</w:t>
            </w:r>
          </w:p>
        </w:tc>
        <w:tc>
          <w:tcPr>
            <w:tcW w:type="dxa" w:w="4100"/>
            <w:shd w:fill="FFFFFF" w:color="auto" w:val="clear"/>
          </w:tcPr>
          <w:p>
            <w:pPr>
              <w:spacing w:after="60" w:before="60"/>
            </w:pPr>
            <w:r>
              <w:rPr>
                <w:rFonts w:ascii="Calibri" w:cs="Calibri" w:eastAsia="Calibri" w:hAnsi="Calibri"/>
                <w:sz w:val="20"/>
                <w:szCs w:val="20"/>
              </w:rPr>
              <w:t xml:space="preserve">Hours each approver has to act before timeout triggers; if 0, no timeout is applied</w:t>
            </w:r>
          </w:p>
        </w:tc>
      </w:tr>
      <w:tr>
        <w:tc>
          <w:tcPr>
            <w:tcW w:type="dxa" w:w="2500"/>
            <w:shd w:fill="F1F8E9" w:color="auto" w:val="clear"/>
          </w:tcPr>
          <w:p>
            <w:pPr>
              <w:spacing w:after="60" w:before="60"/>
            </w:pPr>
            <w:r>
              <w:rPr>
                <w:rFonts w:ascii="Calibri" w:cs="Calibri" w:eastAsia="Calibri" w:hAnsi="Calibri"/>
                <w:sz w:val="20"/>
                <w:szCs w:val="20"/>
              </w:rPr>
              <w:t xml:space="preserve">Timeout Action</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escalate</w:t>
            </w:r>
          </w:p>
        </w:tc>
        <w:tc>
          <w:tcPr>
            <w:tcW w:type="dxa" w:w="4100"/>
            <w:shd w:fill="F1F8E9" w:color="auto" w:val="clear"/>
          </w:tcPr>
          <w:p>
            <w:pPr>
              <w:spacing w:after="60" w:before="60"/>
            </w:pPr>
            <w:r>
              <w:rPr>
                <w:rFonts w:ascii="Calibri" w:cs="Calibri" w:eastAsia="Calibri" w:hAnsi="Calibri"/>
                <w:sz w:val="20"/>
                <w:szCs w:val="20"/>
              </w:rPr>
              <w:t xml:space="preserve">What happens on timeout: escalate (route to escalation_role) / auto_approve / auto_reject / notify_only</w:t>
            </w:r>
          </w:p>
        </w:tc>
      </w:tr>
      <w:tr>
        <w:tc>
          <w:tcPr>
            <w:tcW w:type="dxa" w:w="2500"/>
            <w:shd w:fill="FFFFFF" w:color="auto" w:val="clear"/>
          </w:tcPr>
          <w:p>
            <w:pPr>
              <w:spacing w:after="60" w:before="60"/>
            </w:pPr>
            <w:r>
              <w:rPr>
                <w:rFonts w:ascii="Calibri" w:cs="Calibri" w:eastAsia="Calibri" w:hAnsi="Calibri"/>
                <w:sz w:val="20"/>
                <w:szCs w:val="20"/>
              </w:rPr>
              <w:t xml:space="preserve">Escalation Role</w:t>
            </w:r>
          </w:p>
        </w:tc>
        <w:tc>
          <w:tcPr>
            <w:tcW w:type="dxa" w:w="1200"/>
            <w:shd w:fill="FFFFFF" w:color="auto" w:val="clear"/>
          </w:tcPr>
          <w:p>
            <w:pPr>
              <w:spacing w:after="60" w:before="60"/>
            </w:pPr>
            <w:r>
              <w:rPr>
                <w:rFonts w:ascii="Calibri" w:cs="Calibri" w:eastAsia="Calibri" w:hAnsi="Calibri"/>
                <w:sz w:val="20"/>
                <w:szCs w:val="20"/>
              </w:rPr>
              <w:t xml:space="preserve">Role reference</w:t>
            </w:r>
          </w:p>
        </w:tc>
        <w:tc>
          <w:tcPr>
            <w:tcW w:type="dxa" w:w="1560"/>
            <w:shd w:fill="FFFFFF" w:color="auto" w:val="clear"/>
          </w:tcPr>
          <w:p>
            <w:pPr>
              <w:spacing w:after="60" w:before="60"/>
            </w:pPr>
            <w:r>
              <w:rPr>
                <w:rFonts w:ascii="Calibri" w:cs="Calibri" w:eastAsia="Calibri" w:hAnsi="Calibri"/>
                <w:sz w:val="20"/>
                <w:szCs w:val="20"/>
              </w:rPr>
              <w:t xml:space="preserve">project_director</w:t>
            </w:r>
          </w:p>
        </w:tc>
        <w:tc>
          <w:tcPr>
            <w:tcW w:type="dxa" w:w="4100"/>
            <w:shd w:fill="FFFFFF" w:color="auto" w:val="clear"/>
          </w:tcPr>
          <w:p>
            <w:pPr>
              <w:spacing w:after="60" w:before="60"/>
            </w:pPr>
            <w:r>
              <w:rPr>
                <w:rFonts w:ascii="Calibri" w:cs="Calibri" w:eastAsia="Calibri" w:hAnsi="Calibri"/>
                <w:sz w:val="20"/>
                <w:szCs w:val="20"/>
              </w:rPr>
              <w:t xml:space="preserve">Role to escalate to on timeout — only used if timeout_action = 'escalate'</w:t>
            </w:r>
          </w:p>
        </w:tc>
      </w:tr>
      <w:tr>
        <w:tc>
          <w:tcPr>
            <w:tcW w:type="dxa" w:w="2500"/>
            <w:shd w:fill="F1F8E9" w:color="auto" w:val="clear"/>
          </w:tcPr>
          <w:p>
            <w:pPr>
              <w:spacing w:after="60" w:before="60"/>
            </w:pPr>
            <w:r>
              <w:rPr>
                <w:rFonts w:ascii="Calibri" w:cs="Calibri" w:eastAsia="Calibri" w:hAnsi="Calibri"/>
                <w:sz w:val="20"/>
                <w:szCs w:val="20"/>
              </w:rPr>
              <w:t xml:space="preserve">Rejection Policy</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any_rejection_blocks</w:t>
            </w:r>
          </w:p>
        </w:tc>
        <w:tc>
          <w:tcPr>
            <w:tcW w:type="dxa" w:w="4100"/>
            <w:shd w:fill="F1F8E9" w:color="auto" w:val="clear"/>
          </w:tcPr>
          <w:p>
            <w:pPr>
              <w:spacing w:after="60" w:before="60"/>
            </w:pPr>
            <w:r>
              <w:rPr>
                <w:rFonts w:ascii="Calibri" w:cs="Calibri" w:eastAsia="Calibri" w:hAnsi="Calibri"/>
                <w:sz w:val="20"/>
                <w:szCs w:val="20"/>
              </w:rPr>
              <w:t xml:space="preserve">any_rejection_blocks: one rejection blocks the entire chain; rejection_by_all_required: all must reject to block</w:t>
            </w:r>
          </w:p>
        </w:tc>
      </w:tr>
      <w:tr>
        <w:tc>
          <w:tcPr>
            <w:tcW w:type="dxa" w:w="2500"/>
            <w:shd w:fill="FFFFFF" w:color="auto" w:val="clear"/>
          </w:tcPr>
          <w:p>
            <w:pPr>
              <w:spacing w:after="60" w:before="60"/>
            </w:pPr>
            <w:r>
              <w:rPr>
                <w:rFonts w:ascii="Calibri" w:cs="Calibri" w:eastAsia="Calibri" w:hAnsi="Calibri"/>
                <w:sz w:val="20"/>
                <w:szCs w:val="20"/>
              </w:rPr>
              <w:t xml:space="preserve">Rejection Notification</w:t>
            </w:r>
          </w:p>
        </w:tc>
        <w:tc>
          <w:tcPr>
            <w:tcW w:type="dxa" w:w="1200"/>
            <w:shd w:fill="FFFFFF" w:color="auto" w:val="clear"/>
          </w:tcPr>
          <w:p>
            <w:pPr>
              <w:spacing w:after="60" w:before="60"/>
            </w:pPr>
            <w:r>
              <w:rPr>
                <w:rFonts w:ascii="Calibri" w:cs="Calibri" w:eastAsia="Calibri" w:hAnsi="Calibri"/>
                <w:sz w:val="20"/>
                <w:szCs w:val="20"/>
              </w:rPr>
              <w:t xml:space="preserve">Role references (array)</w:t>
            </w:r>
          </w:p>
        </w:tc>
        <w:tc>
          <w:tcPr>
            <w:tcW w:type="dxa" w:w="1560"/>
            <w:shd w:fill="FFFFFF" w:color="auto" w:val="clear"/>
          </w:tcPr>
          <w:p>
            <w:pPr>
              <w:spacing w:after="60" w:before="60"/>
            </w:pPr>
            <w:r>
              <w:rPr>
                <w:rFonts w:ascii="Calibri" w:cs="Calibri" w:eastAsia="Calibri" w:hAnsi="Calibri"/>
                <w:sz w:val="20"/>
                <w:szCs w:val="20"/>
              </w:rPr>
              <w:t xml:space="preserve">[created_by]</w:t>
            </w:r>
          </w:p>
        </w:tc>
        <w:tc>
          <w:tcPr>
            <w:tcW w:type="dxa" w:w="4100"/>
            <w:shd w:fill="FFFFFF" w:color="auto" w:val="clear"/>
          </w:tcPr>
          <w:p>
            <w:pPr>
              <w:spacing w:after="60" w:before="60"/>
            </w:pPr>
            <w:r>
              <w:rPr>
                <w:rFonts w:ascii="Calibri" w:cs="Calibri" w:eastAsia="Calibri" w:hAnsi="Calibri"/>
                <w:sz w:val="20"/>
                <w:szCs w:val="20"/>
              </w:rPr>
              <w:t xml:space="preserve">Who is notified when an approver rejects — typically the submitter</w:t>
            </w:r>
          </w:p>
        </w:tc>
      </w:tr>
      <w:tr>
        <w:tc>
          <w:tcPr>
            <w:tcW w:type="dxa" w:w="2500"/>
            <w:shd w:fill="F1F8E9" w:color="auto" w:val="clear"/>
          </w:tcPr>
          <w:p>
            <w:pPr>
              <w:spacing w:after="60" w:before="60"/>
            </w:pPr>
            <w:r>
              <w:rPr>
                <w:rFonts w:ascii="Calibri" w:cs="Calibri" w:eastAsia="Calibri" w:hAnsi="Calibri"/>
                <w:sz w:val="20"/>
                <w:szCs w:val="20"/>
              </w:rPr>
              <w:t xml:space="preserve">Dual Approval Required</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false</w:t>
            </w:r>
          </w:p>
        </w:tc>
        <w:tc>
          <w:tcPr>
            <w:tcW w:type="dxa" w:w="4100"/>
            <w:shd w:fill="F1F8E9" w:color="auto" w:val="clear"/>
          </w:tcPr>
          <w:p>
            <w:pPr>
              <w:spacing w:after="60" w:before="60"/>
            </w:pPr>
            <w:r>
              <w:rPr>
                <w:rFonts w:ascii="Calibri" w:cs="Calibri" w:eastAsia="Calibri" w:hAnsi="Calibri"/>
                <w:sz w:val="20"/>
                <w:szCs w:val="20"/>
              </w:rPr>
              <w:t xml:space="preserve">If true, a second independent approver must confirm before the chain completes — used for high-value decisions (configurable threshold in Decision Engine settings)</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6 — Evidence Profile Builder</w:t>
      </w:r>
    </w:p>
    <w:p>
      <w:pPr>
        <w:spacing w:after="80" w:before="80"/>
        <w:jc w:val="left"/>
      </w:pPr>
      <w:r>
        <w:rPr>
          <w:rFonts w:ascii="Calibri" w:cs="Calibri" w:eastAsia="Calibri" w:hAnsi="Calibri"/>
          <w:b w:val="false"/>
          <w:bCs w:val="false"/>
          <w:color w:val="000000"/>
          <w:sz w:val="22"/>
          <w:szCs w:val="22"/>
        </w:rPr>
        <w:t xml:space="preserve">Purpose: The Evidence Profile Builder configures what evidence is required for each type of work activity. Not all activities carry the same evidence burden — a concrete pour requires different evidence (photos, inspection record, concrete test certificate, slump test record) than a cable pulling activity (installation record, continuity test certificate, as-built mark-up). The Evidence Profile Builder lets Studio Admins codify these requirements so that Green PM's Evidence Engine knows exactly what constitutes sufficient evidence for each activity type. These profiles flow into the Evidence Score v5 calculation, determining the capture_diversity component and the minimum required evidence set. Activity workspaces show the configured evidence requirements as a checklist, making it clear to site teams exactly what they need to capture.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Profile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Name for this evidence profile (e.g., 'Concrete Pour Evidence', 'Electrical Cable Pull Evidence')</w:t>
            </w:r>
          </w:p>
        </w:tc>
      </w:tr>
      <w:tr>
        <w:tc>
          <w:tcPr>
            <w:tcW w:type="dxa" w:w="2500"/>
            <w:shd w:fill="F1F8E9" w:color="auto" w:val="clear"/>
          </w:tcPr>
          <w:p>
            <w:pPr>
              <w:spacing w:after="60" w:before="60"/>
            </w:pPr>
            <w:r>
              <w:rPr>
                <w:rFonts w:ascii="Calibri" w:cs="Calibri" w:eastAsia="Calibri" w:hAnsi="Calibri"/>
                <w:sz w:val="20"/>
                <w:szCs w:val="20"/>
              </w:rPr>
              <w:t xml:space="preserve">Activity Type</w:t>
            </w:r>
          </w:p>
        </w:tc>
        <w:tc>
          <w:tcPr>
            <w:tcW w:type="dxa" w:w="1200"/>
            <w:shd w:fill="F1F8E9" w:color="auto" w:val="clear"/>
          </w:tcPr>
          <w:p>
            <w:pPr>
              <w:spacing w:after="60" w:before="60"/>
            </w:pPr>
            <w:r>
              <w:rPr>
                <w:rFonts w:ascii="Calibri" w:cs="Calibri" w:eastAsia="Calibri" w:hAnsi="Calibri"/>
                <w:sz w:val="20"/>
                <w:szCs w:val="20"/>
              </w:rPr>
              <w:t xml:space="preserve">Enum or Text</w:t>
            </w:r>
          </w:p>
        </w:tc>
        <w:tc>
          <w:tcPr>
            <w:tcW w:type="dxa" w:w="1560"/>
            <w:shd w:fill="F1F8E9" w:color="auto" w:val="clear"/>
          </w:tcPr>
          <w:p>
            <w:pPr>
              <w:spacing w:after="60" w:before="60"/>
            </w:pPr>
            <w:r>
              <w:rPr>
                <w:rFonts w:ascii="Calibri" w:cs="Calibri" w:eastAsia="Calibri" w:hAnsi="Calibri"/>
                <w:sz w:val="20"/>
                <w:szCs w:val="20"/>
              </w:rPr>
              <w:t xml:space="preserve">custom</w:t>
            </w:r>
          </w:p>
        </w:tc>
        <w:tc>
          <w:tcPr>
            <w:tcW w:type="dxa" w:w="4100"/>
            <w:shd w:fill="F1F8E9" w:color="auto" w:val="clear"/>
          </w:tcPr>
          <w:p>
            <w:pPr>
              <w:spacing w:after="60" w:before="60"/>
            </w:pPr>
            <w:r>
              <w:rPr>
                <w:rFonts w:ascii="Calibri" w:cs="Calibri" w:eastAsia="Calibri" w:hAnsi="Calibri"/>
                <w:sz w:val="20"/>
                <w:szCs w:val="20"/>
              </w:rPr>
              <w:t xml:space="preserve">The activity type this profile applies to — maps to activity_type field on Activity entities in the PIG</w:t>
            </w:r>
          </w:p>
        </w:tc>
      </w:tr>
      <w:tr>
        <w:tc>
          <w:tcPr>
            <w:tcW w:type="dxa" w:w="2500"/>
            <w:shd w:fill="FFFFFF" w:color="auto" w:val="clear"/>
          </w:tcPr>
          <w:p>
            <w:pPr>
              <w:spacing w:after="60" w:before="60"/>
            </w:pPr>
            <w:r>
              <w:rPr>
                <w:rFonts w:ascii="Calibri" w:cs="Calibri" w:eastAsia="Calibri" w:hAnsi="Calibri"/>
                <w:sz w:val="20"/>
                <w:szCs w:val="20"/>
              </w:rPr>
              <w:t xml:space="preserve">Required Evidence Types</w:t>
            </w:r>
          </w:p>
        </w:tc>
        <w:tc>
          <w:tcPr>
            <w:tcW w:type="dxa" w:w="1200"/>
            <w:shd w:fill="FFFFFF" w:color="auto" w:val="clear"/>
          </w:tcPr>
          <w:p>
            <w:pPr>
              <w:spacing w:after="60" w:before="60"/>
            </w:pPr>
            <w:r>
              <w:rPr>
                <w:rFonts w:ascii="Calibri" w:cs="Calibri" w:eastAsia="Calibri" w:hAnsi="Calibri"/>
                <w:sz w:val="20"/>
                <w:szCs w:val="20"/>
              </w:rPr>
              <w:t xml:space="preserve">Multi-select</w:t>
            </w:r>
          </w:p>
        </w:tc>
        <w:tc>
          <w:tcPr>
            <w:tcW w:type="dxa" w:w="1560"/>
            <w:shd w:fill="FFFFFF" w:color="auto" w:val="clear"/>
          </w:tcPr>
          <w:p>
            <w:pPr>
              <w:spacing w:after="60" w:before="60"/>
            </w:pPr>
            <w:r>
              <w:rPr>
                <w:rFonts w:ascii="Calibri" w:cs="Calibri" w:eastAsia="Calibri" w:hAnsi="Calibri"/>
                <w:sz w:val="20"/>
                <w:szCs w:val="20"/>
              </w:rPr>
              <w:t xml:space="preserve">[photo]</w:t>
            </w:r>
          </w:p>
        </w:tc>
        <w:tc>
          <w:tcPr>
            <w:tcW w:type="dxa" w:w="4100"/>
            <w:shd w:fill="FFFFFF" w:color="auto" w:val="clear"/>
          </w:tcPr>
          <w:p>
            <w:pPr>
              <w:spacing w:after="60" w:before="60"/>
            </w:pPr>
            <w:r>
              <w:rPr>
                <w:rFonts w:ascii="Calibri" w:cs="Calibri" w:eastAsia="Calibri" w:hAnsi="Calibri"/>
                <w:sz w:val="20"/>
                <w:szCs w:val="20"/>
              </w:rPr>
              <w:t xml:space="preserve">Evidence types required for this activity type: photo / video / voice_memo / inspection_record / test_certificate / IoT_sensor / document / as_built_markup</w:t>
            </w:r>
          </w:p>
        </w:tc>
      </w:tr>
      <w:tr>
        <w:tc>
          <w:tcPr>
            <w:tcW w:type="dxa" w:w="2500"/>
            <w:shd w:fill="F1F8E9" w:color="auto" w:val="clear"/>
          </w:tcPr>
          <w:p>
            <w:pPr>
              <w:spacing w:after="60" w:before="60"/>
            </w:pPr>
            <w:r>
              <w:rPr>
                <w:rFonts w:ascii="Calibri" w:cs="Calibri" w:eastAsia="Calibri" w:hAnsi="Calibri"/>
                <w:sz w:val="20"/>
                <w:szCs w:val="20"/>
              </w:rPr>
              <w:t xml:space="preserve">Minimum Photo Count</w:t>
            </w:r>
          </w:p>
        </w:tc>
        <w:tc>
          <w:tcPr>
            <w:tcW w:type="dxa" w:w="1200"/>
            <w:shd w:fill="F1F8E9" w:color="auto" w:val="clear"/>
          </w:tcPr>
          <w:p>
            <w:pPr>
              <w:spacing w:after="60" w:before="60"/>
            </w:pPr>
            <w:r>
              <w:rPr>
                <w:rFonts w:ascii="Calibri" w:cs="Calibri" w:eastAsia="Calibri" w:hAnsi="Calibri"/>
                <w:sz w:val="20"/>
                <w:szCs w:val="20"/>
              </w:rPr>
              <w:t xml:space="preserve">Integer</w:t>
            </w:r>
          </w:p>
        </w:tc>
        <w:tc>
          <w:tcPr>
            <w:tcW w:type="dxa" w:w="1560"/>
            <w:shd w:fill="F1F8E9" w:color="auto" w:val="clear"/>
          </w:tcPr>
          <w:p>
            <w:pPr>
              <w:spacing w:after="60" w:before="60"/>
            </w:pPr>
            <w:r>
              <w:rPr>
                <w:rFonts w:ascii="Calibri" w:cs="Calibri" w:eastAsia="Calibri" w:hAnsi="Calibri"/>
                <w:sz w:val="20"/>
                <w:szCs w:val="20"/>
              </w:rPr>
              <w:t xml:space="preserve">1</w:t>
            </w:r>
          </w:p>
        </w:tc>
        <w:tc>
          <w:tcPr>
            <w:tcW w:type="dxa" w:w="4100"/>
            <w:shd w:fill="F1F8E9" w:color="auto" w:val="clear"/>
          </w:tcPr>
          <w:p>
            <w:pPr>
              <w:spacing w:after="60" w:before="60"/>
            </w:pPr>
            <w:r>
              <w:rPr>
                <w:rFonts w:ascii="Calibri" w:cs="Calibri" w:eastAsia="Calibri" w:hAnsi="Calibri"/>
                <w:sz w:val="20"/>
                <w:szCs w:val="20"/>
              </w:rPr>
              <w:t xml:space="preserve">Minimum number of photo evidence items required for this activity type</w:t>
            </w:r>
          </w:p>
        </w:tc>
      </w:tr>
      <w:tr>
        <w:tc>
          <w:tcPr>
            <w:tcW w:type="dxa" w:w="2500"/>
            <w:shd w:fill="FFFFFF" w:color="auto" w:val="clear"/>
          </w:tcPr>
          <w:p>
            <w:pPr>
              <w:spacing w:after="60" w:before="60"/>
            </w:pPr>
            <w:r>
              <w:rPr>
                <w:rFonts w:ascii="Calibri" w:cs="Calibri" w:eastAsia="Calibri" w:hAnsi="Calibri"/>
                <w:sz w:val="20"/>
                <w:szCs w:val="20"/>
              </w:rPr>
              <w:t xml:space="preserve">Minimum Document Count</w:t>
            </w:r>
          </w:p>
        </w:tc>
        <w:tc>
          <w:tcPr>
            <w:tcW w:type="dxa" w:w="1200"/>
            <w:shd w:fill="FFFFFF" w:color="auto" w:val="clear"/>
          </w:tcPr>
          <w:p>
            <w:pPr>
              <w:spacing w:after="60" w:before="60"/>
            </w:pPr>
            <w:r>
              <w:rPr>
                <w:rFonts w:ascii="Calibri" w:cs="Calibri" w:eastAsia="Calibri" w:hAnsi="Calibri"/>
                <w:sz w:val="20"/>
                <w:szCs w:val="20"/>
              </w:rPr>
              <w:t xml:space="preserve">Integer</w:t>
            </w:r>
          </w:p>
        </w:tc>
        <w:tc>
          <w:tcPr>
            <w:tcW w:type="dxa" w:w="1560"/>
            <w:shd w:fill="FFFFFF" w:color="auto" w:val="clear"/>
          </w:tcPr>
          <w:p>
            <w:pPr>
              <w:spacing w:after="60" w:before="60"/>
            </w:pPr>
            <w:r>
              <w:rPr>
                <w:rFonts w:ascii="Calibri" w:cs="Calibri" w:eastAsia="Calibri" w:hAnsi="Calibri"/>
                <w:sz w:val="20"/>
                <w:szCs w:val="20"/>
              </w:rPr>
              <w:t xml:space="preserve">0</w:t>
            </w:r>
          </w:p>
        </w:tc>
        <w:tc>
          <w:tcPr>
            <w:tcW w:type="dxa" w:w="4100"/>
            <w:shd w:fill="FFFFFF" w:color="auto" w:val="clear"/>
          </w:tcPr>
          <w:p>
            <w:pPr>
              <w:spacing w:after="60" w:before="60"/>
            </w:pPr>
            <w:r>
              <w:rPr>
                <w:rFonts w:ascii="Calibri" w:cs="Calibri" w:eastAsia="Calibri" w:hAnsi="Calibri"/>
                <w:sz w:val="20"/>
                <w:szCs w:val="20"/>
              </w:rPr>
              <w:t xml:space="preserve">Minimum number of document evidence items (inspection records, test certificates, etc.) required</w:t>
            </w:r>
          </w:p>
        </w:tc>
      </w:tr>
      <w:tr>
        <w:tc>
          <w:tcPr>
            <w:tcW w:type="dxa" w:w="2500"/>
            <w:shd w:fill="F1F8E9" w:color="auto" w:val="clear"/>
          </w:tcPr>
          <w:p>
            <w:pPr>
              <w:spacing w:after="60" w:before="60"/>
            </w:pPr>
            <w:r>
              <w:rPr>
                <w:rFonts w:ascii="Calibri" w:cs="Calibri" w:eastAsia="Calibri" w:hAnsi="Calibri"/>
                <w:sz w:val="20"/>
                <w:szCs w:val="20"/>
              </w:rPr>
              <w:t xml:space="preserve">Verification Required</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false</w:t>
            </w:r>
          </w:p>
        </w:tc>
        <w:tc>
          <w:tcPr>
            <w:tcW w:type="dxa" w:w="4100"/>
            <w:shd w:fill="F1F8E9" w:color="auto" w:val="clear"/>
          </w:tcPr>
          <w:p>
            <w:pPr>
              <w:spacing w:after="60" w:before="60"/>
            </w:pPr>
            <w:r>
              <w:rPr>
                <w:rFonts w:ascii="Calibri" w:cs="Calibri" w:eastAsia="Calibri" w:hAnsi="Calibri"/>
                <w:sz w:val="20"/>
                <w:szCs w:val="20"/>
              </w:rPr>
              <w:t xml:space="preserve">If true, activities of this type always have verification_required = true regardless of score — requires manual QA/QC sign-off</w:t>
            </w:r>
          </w:p>
        </w:tc>
      </w:tr>
      <w:tr>
        <w:tc>
          <w:tcPr>
            <w:tcW w:type="dxa" w:w="2500"/>
            <w:shd w:fill="FFFFFF" w:color="auto" w:val="clear"/>
          </w:tcPr>
          <w:p>
            <w:pPr>
              <w:spacing w:after="60" w:before="60"/>
            </w:pPr>
            <w:r>
              <w:rPr>
                <w:rFonts w:ascii="Calibri" w:cs="Calibri" w:eastAsia="Calibri" w:hAnsi="Calibri"/>
                <w:sz w:val="20"/>
                <w:szCs w:val="20"/>
              </w:rPr>
              <w:t xml:space="preserve">Evidence Score Threshold</w:t>
            </w:r>
          </w:p>
        </w:tc>
        <w:tc>
          <w:tcPr>
            <w:tcW w:type="dxa" w:w="1200"/>
            <w:shd w:fill="FFFFFF" w:color="auto" w:val="clear"/>
          </w:tcPr>
          <w:p>
            <w:pPr>
              <w:spacing w:after="60" w:before="60"/>
            </w:pPr>
            <w:r>
              <w:rPr>
                <w:rFonts w:ascii="Calibri" w:cs="Calibri" w:eastAsia="Calibri" w:hAnsi="Calibri"/>
                <w:sz w:val="20"/>
                <w:szCs w:val="20"/>
              </w:rPr>
              <w:t xml:space="preserve">Numeric (0-1)</w:t>
            </w:r>
          </w:p>
        </w:tc>
        <w:tc>
          <w:tcPr>
            <w:tcW w:type="dxa" w:w="1560"/>
            <w:shd w:fill="FFFFFF" w:color="auto" w:val="clear"/>
          </w:tcPr>
          <w:p>
            <w:pPr>
              <w:spacing w:after="60" w:before="60"/>
            </w:pPr>
            <w:r>
              <w:rPr>
                <w:rFonts w:ascii="Calibri" w:cs="Calibri" w:eastAsia="Calibri" w:hAnsi="Calibri"/>
                <w:sz w:val="20"/>
                <w:szCs w:val="20"/>
              </w:rPr>
              <w:t xml:space="preserve">0.60</w:t>
            </w:r>
          </w:p>
        </w:tc>
        <w:tc>
          <w:tcPr>
            <w:tcW w:type="dxa" w:w="4100"/>
            <w:shd w:fill="FFFFFF" w:color="auto" w:val="clear"/>
          </w:tcPr>
          <w:p>
            <w:pPr>
              <w:spacing w:after="60" w:before="60"/>
            </w:pPr>
            <w:r>
              <w:rPr>
                <w:rFonts w:ascii="Calibri" w:cs="Calibri" w:eastAsia="Calibri" w:hAnsi="Calibri"/>
                <w:sz w:val="20"/>
                <w:szCs w:val="20"/>
              </w:rPr>
              <w:t xml:space="preserve">Minimum Evidence Score for activities of this type to be considered 'evidenced' for progress reporting purposes</w:t>
            </w:r>
          </w:p>
        </w:tc>
      </w:tr>
      <w:tr>
        <w:tc>
          <w:tcPr>
            <w:tcW w:type="dxa" w:w="2500"/>
            <w:shd w:fill="F1F8E9" w:color="auto" w:val="clear"/>
          </w:tcPr>
          <w:p>
            <w:pPr>
              <w:spacing w:after="60" w:before="60"/>
            </w:pPr>
            <w:r>
              <w:rPr>
                <w:rFonts w:ascii="Calibri" w:cs="Calibri" w:eastAsia="Calibri" w:hAnsi="Calibri"/>
                <w:sz w:val="20"/>
                <w:szCs w:val="20"/>
              </w:rPr>
              <w:t xml:space="preserve">Source Reliability Mapping</w:t>
            </w:r>
          </w:p>
        </w:tc>
        <w:tc>
          <w:tcPr>
            <w:tcW w:type="dxa" w:w="1200"/>
            <w:shd w:fill="F1F8E9" w:color="auto" w:val="clear"/>
          </w:tcPr>
          <w:p>
            <w:pPr>
              <w:spacing w:after="60" w:before="60"/>
            </w:pPr>
            <w:r>
              <w:rPr>
                <w:rFonts w:ascii="Calibri" w:cs="Calibri" w:eastAsia="Calibri" w:hAnsi="Calibri"/>
                <w:sz w:val="20"/>
                <w:szCs w:val="20"/>
              </w:rPr>
              <w:t xml:space="preserve">JSON object</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Override the global source reliability weights for specific source types in this activity context (e.g., IoT sensor weight = 0.9 for automated welding activities)</w:t>
            </w:r>
          </w:p>
        </w:tc>
      </w:tr>
      <w:tr>
        <w:tc>
          <w:tcPr>
            <w:tcW w:type="dxa" w:w="2500"/>
            <w:shd w:fill="FFFFFF" w:color="auto" w:val="clear"/>
          </w:tcPr>
          <w:p>
            <w:pPr>
              <w:spacing w:after="60" w:before="60"/>
            </w:pPr>
            <w:r>
              <w:rPr>
                <w:rFonts w:ascii="Calibri" w:cs="Calibri" w:eastAsia="Calibri" w:hAnsi="Calibri"/>
                <w:sz w:val="20"/>
                <w:szCs w:val="20"/>
              </w:rPr>
              <w:t xml:space="preserve">Critical Path Multiplier</w:t>
            </w:r>
          </w:p>
        </w:tc>
        <w:tc>
          <w:tcPr>
            <w:tcW w:type="dxa" w:w="1200"/>
            <w:shd w:fill="FFFFFF" w:color="auto" w:val="clear"/>
          </w:tcPr>
          <w:p>
            <w:pPr>
              <w:spacing w:after="60" w:before="60"/>
            </w:pPr>
            <w:r>
              <w:rPr>
                <w:rFonts w:ascii="Calibri" w:cs="Calibri" w:eastAsia="Calibri" w:hAnsi="Calibri"/>
                <w:sz w:val="20"/>
                <w:szCs w:val="20"/>
              </w:rPr>
              <w:t xml:space="preserve">Numeric (0-2)</w:t>
            </w:r>
          </w:p>
        </w:tc>
        <w:tc>
          <w:tcPr>
            <w:tcW w:type="dxa" w:w="1560"/>
            <w:shd w:fill="FFFFFF" w:color="auto" w:val="clear"/>
          </w:tcPr>
          <w:p>
            <w:pPr>
              <w:spacing w:after="60" w:before="60"/>
            </w:pPr>
            <w:r>
              <w:rPr>
                <w:rFonts w:ascii="Calibri" w:cs="Calibri" w:eastAsia="Calibri" w:hAnsi="Calibri"/>
                <w:sz w:val="20"/>
                <w:szCs w:val="20"/>
              </w:rPr>
              <w:t xml:space="preserve">1.0</w:t>
            </w:r>
          </w:p>
        </w:tc>
        <w:tc>
          <w:tcPr>
            <w:tcW w:type="dxa" w:w="4100"/>
            <w:shd w:fill="FFFFFF" w:color="auto" w:val="clear"/>
          </w:tcPr>
          <w:p>
            <w:pPr>
              <w:spacing w:after="60" w:before="60"/>
            </w:pPr>
            <w:r>
              <w:rPr>
                <w:rFonts w:ascii="Calibri" w:cs="Calibri" w:eastAsia="Calibri" w:hAnsi="Calibri"/>
                <w:sz w:val="20"/>
                <w:szCs w:val="20"/>
              </w:rPr>
              <w:t xml:space="preserve">Score multiplier applied to critical-path activities of this type — increase to require stronger evidence for critical work</w:t>
            </w:r>
          </w:p>
        </w:tc>
      </w:tr>
      <w:tr>
        <w:tc>
          <w:tcPr>
            <w:tcW w:type="dxa" w:w="2500"/>
            <w:shd w:fill="F1F8E9" w:color="auto" w:val="clear"/>
          </w:tcPr>
          <w:p>
            <w:pPr>
              <w:spacing w:after="60" w:before="60"/>
            </w:pPr>
            <w:r>
              <w:rPr>
                <w:rFonts w:ascii="Calibri" w:cs="Calibri" w:eastAsia="Calibri" w:hAnsi="Calibri"/>
                <w:sz w:val="20"/>
                <w:szCs w:val="20"/>
              </w:rPr>
              <w:t xml:space="preserve">Time Decay Factor</w:t>
            </w:r>
          </w:p>
        </w:tc>
        <w:tc>
          <w:tcPr>
            <w:tcW w:type="dxa" w:w="1200"/>
            <w:shd w:fill="F1F8E9" w:color="auto" w:val="clear"/>
          </w:tcPr>
          <w:p>
            <w:pPr>
              <w:spacing w:after="60" w:before="60"/>
            </w:pPr>
            <w:r>
              <w:rPr>
                <w:rFonts w:ascii="Calibri" w:cs="Calibri" w:eastAsia="Calibri" w:hAnsi="Calibri"/>
                <w:sz w:val="20"/>
                <w:szCs w:val="20"/>
              </w:rPr>
              <w:t xml:space="preserve">Numeric (0-1)</w:t>
            </w:r>
          </w:p>
        </w:tc>
        <w:tc>
          <w:tcPr>
            <w:tcW w:type="dxa" w:w="1560"/>
            <w:shd w:fill="F1F8E9" w:color="auto" w:val="clear"/>
          </w:tcPr>
          <w:p>
            <w:pPr>
              <w:spacing w:after="60" w:before="60"/>
            </w:pPr>
            <w:r>
              <w:rPr>
                <w:rFonts w:ascii="Calibri" w:cs="Calibri" w:eastAsia="Calibri" w:hAnsi="Calibri"/>
                <w:sz w:val="20"/>
                <w:szCs w:val="20"/>
              </w:rPr>
              <w:t xml:space="preserve">0.05</w:t>
            </w:r>
          </w:p>
        </w:tc>
        <w:tc>
          <w:tcPr>
            <w:tcW w:type="dxa" w:w="4100"/>
            <w:shd w:fill="F1F8E9" w:color="auto" w:val="clear"/>
          </w:tcPr>
          <w:p>
            <w:pPr>
              <w:spacing w:after="60" w:before="60"/>
            </w:pPr>
            <w:r>
              <w:rPr>
                <w:rFonts w:ascii="Calibri" w:cs="Calibri" w:eastAsia="Calibri" w:hAnsi="Calibri"/>
                <w:sz w:val="20"/>
                <w:szCs w:val="20"/>
              </w:rPr>
              <w:t xml:space="preserve">Custom recency decay factor for this activity type — evidence older than 7 days loses this fraction of its score per day</w:t>
            </w:r>
          </w:p>
        </w:tc>
      </w:tr>
      <w:tr>
        <w:tc>
          <w:tcPr>
            <w:tcW w:type="dxa" w:w="2500"/>
            <w:shd w:fill="FFFFFF" w:color="auto" w:val="clear"/>
          </w:tcPr>
          <w:p>
            <w:pPr>
              <w:spacing w:after="60" w:before="60"/>
            </w:pPr>
            <w:r>
              <w:rPr>
                <w:rFonts w:ascii="Calibri" w:cs="Calibri" w:eastAsia="Calibri" w:hAnsi="Calibri"/>
                <w:sz w:val="20"/>
                <w:szCs w:val="20"/>
              </w:rPr>
              <w:t xml:space="preserve">Applicable Disciplines</w:t>
            </w:r>
          </w:p>
        </w:tc>
        <w:tc>
          <w:tcPr>
            <w:tcW w:type="dxa" w:w="1200"/>
            <w:shd w:fill="FFFFFF" w:color="auto" w:val="clear"/>
          </w:tcPr>
          <w:p>
            <w:pPr>
              <w:spacing w:after="60" w:before="60"/>
            </w:pPr>
            <w:r>
              <w:rPr>
                <w:rFonts w:ascii="Calibri" w:cs="Calibri" w:eastAsia="Calibri" w:hAnsi="Calibri"/>
                <w:sz w:val="20"/>
                <w:szCs w:val="20"/>
              </w:rPr>
              <w:t xml:space="preserve">Multi-select</w:t>
            </w:r>
          </w:p>
        </w:tc>
        <w:tc>
          <w:tcPr>
            <w:tcW w:type="dxa" w:w="1560"/>
            <w:shd w:fill="FFFFFF" w:color="auto" w:val="clear"/>
          </w:tcPr>
          <w:p>
            <w:pPr>
              <w:spacing w:after="60" w:before="60"/>
            </w:pPr>
            <w:r>
              <w:rPr>
                <w:rFonts w:ascii="Calibri" w:cs="Calibri" w:eastAsia="Calibri" w:hAnsi="Calibri"/>
                <w:sz w:val="20"/>
                <w:szCs w:val="20"/>
              </w:rPr>
              <w:t xml:space="preserve">[all]</w:t>
            </w:r>
          </w:p>
        </w:tc>
        <w:tc>
          <w:tcPr>
            <w:tcW w:type="dxa" w:w="4100"/>
            <w:shd w:fill="FFFFFF" w:color="auto" w:val="clear"/>
          </w:tcPr>
          <w:p>
            <w:pPr>
              <w:spacing w:after="60" w:before="60"/>
            </w:pPr>
            <w:r>
              <w:rPr>
                <w:rFonts w:ascii="Calibri" w:cs="Calibri" w:eastAsia="Calibri" w:hAnsi="Calibri"/>
                <w:sz w:val="20"/>
                <w:szCs w:val="20"/>
              </w:rPr>
              <w:t xml:space="preserve">Which engineering disciplines this profile applies to — defaults to all; can be restricted to specific disciplines</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7 — Integration Connector Builder</w:t>
      </w:r>
    </w:p>
    <w:p>
      <w:pPr>
        <w:spacing w:after="80" w:before="80"/>
        <w:jc w:val="left"/>
      </w:pPr>
      <w:r>
        <w:rPr>
          <w:rFonts w:ascii="Calibri" w:cs="Calibri" w:eastAsia="Calibri" w:hAnsi="Calibri"/>
          <w:b w:val="false"/>
          <w:bCs w:val="false"/>
          <w:color w:val="000000"/>
          <w:sz w:val="22"/>
          <w:szCs w:val="22"/>
        </w:rPr>
        <w:t xml:space="preserve">Purpose: The Integration Connector Builder configures the connections between Green PM and external source systems. EPC projects run on a constellation of systems — Primavera P6 for scheduling, Procore for construction management, Aconex for document control, SAP for procurement, SharePoint for document storage. The Integration Connector Builder lets Studio Admins configure each connection: what system to connect, how to authenticate, which fields to sync, how frequently to sync, and what happens when the same field has different values in different systems. Green PM is always the intelligence layer — it reads from source systems, enriches the data with evidence and analysis, but does not override the source of truth for scheduling (P6 remains the schedule of record) or for commercial data (SAP remains the commercial record).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Connector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Human-readable name for this integration (e.g., 'P6 Schedule Sync', 'Procore Progress Import')</w:t>
            </w:r>
          </w:p>
        </w:tc>
      </w:tr>
      <w:tr>
        <w:tc>
          <w:tcPr>
            <w:tcW w:type="dxa" w:w="2500"/>
            <w:shd w:fill="F1F8E9" w:color="auto" w:val="clear"/>
          </w:tcPr>
          <w:p>
            <w:pPr>
              <w:spacing w:after="60" w:before="60"/>
            </w:pPr>
            <w:r>
              <w:rPr>
                <w:rFonts w:ascii="Calibri" w:cs="Calibri" w:eastAsia="Calibri" w:hAnsi="Calibri"/>
                <w:sz w:val="20"/>
                <w:szCs w:val="20"/>
              </w:rPr>
              <w:t xml:space="preserve">Source System</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custom_rest</w:t>
            </w:r>
          </w:p>
        </w:tc>
        <w:tc>
          <w:tcPr>
            <w:tcW w:type="dxa" w:w="4100"/>
            <w:shd w:fill="F1F8E9" w:color="auto" w:val="clear"/>
          </w:tcPr>
          <w:p>
            <w:pPr>
              <w:spacing w:after="60" w:before="60"/>
            </w:pPr>
            <w:r>
              <w:rPr>
                <w:rFonts w:ascii="Calibri" w:cs="Calibri" w:eastAsia="Calibri" w:hAnsi="Calibri"/>
                <w:sz w:val="20"/>
                <w:szCs w:val="20"/>
              </w:rPr>
              <w:t xml:space="preserve">Supported source systems: primavera_p6 / procore / aconex / sharepoint / sappm / custom_rest / custom_csv</w:t>
            </w:r>
          </w:p>
        </w:tc>
      </w:tr>
      <w:tr>
        <w:tc>
          <w:tcPr>
            <w:tcW w:type="dxa" w:w="2500"/>
            <w:shd w:fill="FFFFFF" w:color="auto" w:val="clear"/>
          </w:tcPr>
          <w:p>
            <w:pPr>
              <w:spacing w:after="60" w:before="60"/>
            </w:pPr>
            <w:r>
              <w:rPr>
                <w:rFonts w:ascii="Calibri" w:cs="Calibri" w:eastAsia="Calibri" w:hAnsi="Calibri"/>
                <w:sz w:val="20"/>
                <w:szCs w:val="20"/>
              </w:rPr>
              <w:t xml:space="preserve">Connection Type</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pull</w:t>
            </w:r>
          </w:p>
        </w:tc>
        <w:tc>
          <w:tcPr>
            <w:tcW w:type="dxa" w:w="4100"/>
            <w:shd w:fill="FFFFFF" w:color="auto" w:val="clear"/>
          </w:tcPr>
          <w:p>
            <w:pPr>
              <w:spacing w:after="60" w:before="60"/>
            </w:pPr>
            <w:r>
              <w:rPr>
                <w:rFonts w:ascii="Calibri" w:cs="Calibri" w:eastAsia="Calibri" w:hAnsi="Calibri"/>
                <w:sz w:val="20"/>
                <w:szCs w:val="20"/>
              </w:rPr>
              <w:t xml:space="preserve">pull: Green PM pulls data on schedule; push: source system sends webhooks; bidirectional: both (limited to specific fields)</w:t>
            </w:r>
          </w:p>
        </w:tc>
      </w:tr>
      <w:tr>
        <w:tc>
          <w:tcPr>
            <w:tcW w:type="dxa" w:w="2500"/>
            <w:shd w:fill="F1F8E9" w:color="auto" w:val="clear"/>
          </w:tcPr>
          <w:p>
            <w:pPr>
              <w:spacing w:after="60" w:before="60"/>
            </w:pPr>
            <w:r>
              <w:rPr>
                <w:rFonts w:ascii="Calibri" w:cs="Calibri" w:eastAsia="Calibri" w:hAnsi="Calibri"/>
                <w:sz w:val="20"/>
                <w:szCs w:val="20"/>
              </w:rPr>
              <w:t xml:space="preserve">Authentication Type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api_key</w:t>
            </w:r>
          </w:p>
        </w:tc>
        <w:tc>
          <w:tcPr>
            <w:tcW w:type="dxa" w:w="4100"/>
            <w:shd w:fill="F1F8E9" w:color="auto" w:val="clear"/>
          </w:tcPr>
          <w:p>
            <w:pPr>
              <w:spacing w:after="60" w:before="60"/>
            </w:pPr>
            <w:r>
              <w:rPr>
                <w:rFonts w:ascii="Calibri" w:cs="Calibri" w:eastAsia="Calibri" w:hAnsi="Calibri"/>
                <w:sz w:val="20"/>
                <w:szCs w:val="20"/>
              </w:rPr>
              <w:t xml:space="preserve">Authentication method: api_key / oauth2 / basic_auth / service_account — credentials stored in Secret Manager, never in Studio config</w:t>
            </w:r>
          </w:p>
        </w:tc>
      </w:tr>
      <w:tr>
        <w:tc>
          <w:tcPr>
            <w:tcW w:type="dxa" w:w="2500"/>
            <w:shd w:fill="FFFFFF" w:color="auto" w:val="clear"/>
          </w:tcPr>
          <w:p>
            <w:pPr>
              <w:spacing w:after="60" w:before="60"/>
            </w:pPr>
            <w:r>
              <w:rPr>
                <w:rFonts w:ascii="Calibri" w:cs="Calibri" w:eastAsia="Calibri" w:hAnsi="Calibri"/>
                <w:sz w:val="20"/>
                <w:szCs w:val="20"/>
              </w:rPr>
              <w:t xml:space="preserve">Secret Reference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Reference ID for the Secret Manager secret that stores credentials — not the credential itself</w:t>
            </w:r>
          </w:p>
        </w:tc>
      </w:tr>
      <w:tr>
        <w:tc>
          <w:tcPr>
            <w:tcW w:type="dxa" w:w="2500"/>
            <w:shd w:fill="F1F8E9" w:color="auto" w:val="clear"/>
          </w:tcPr>
          <w:p>
            <w:pPr>
              <w:spacing w:after="60" w:before="60"/>
            </w:pPr>
            <w:r>
              <w:rPr>
                <w:rFonts w:ascii="Calibri" w:cs="Calibri" w:eastAsia="Calibri" w:hAnsi="Calibri"/>
                <w:sz w:val="20"/>
                <w:szCs w:val="20"/>
              </w:rPr>
              <w:t xml:space="preserve">Base URL</w:t>
            </w:r>
          </w:p>
        </w:tc>
        <w:tc>
          <w:tcPr>
            <w:tcW w:type="dxa" w:w="1200"/>
            <w:shd w:fill="F1F8E9" w:color="auto" w:val="clear"/>
          </w:tcPr>
          <w:p>
            <w:pPr>
              <w:spacing w:after="60" w:before="60"/>
            </w:pPr>
            <w:r>
              <w:rPr>
                <w:rFonts w:ascii="Calibri" w:cs="Calibri" w:eastAsia="Calibri" w:hAnsi="Calibri"/>
                <w:sz w:val="20"/>
                <w:szCs w:val="20"/>
              </w:rPr>
              <w:t xml:space="preserve">Text (URL)</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Base URL for the source system API — no credentials in URL</w:t>
            </w:r>
          </w:p>
        </w:tc>
      </w:tr>
      <w:tr>
        <w:tc>
          <w:tcPr>
            <w:tcW w:type="dxa" w:w="2500"/>
            <w:shd w:fill="FFFFFF" w:color="auto" w:val="clear"/>
          </w:tcPr>
          <w:p>
            <w:pPr>
              <w:spacing w:after="60" w:before="60"/>
            </w:pPr>
            <w:r>
              <w:rPr>
                <w:rFonts w:ascii="Calibri" w:cs="Calibri" w:eastAsia="Calibri" w:hAnsi="Calibri"/>
                <w:sz w:val="20"/>
                <w:szCs w:val="20"/>
              </w:rPr>
              <w:t xml:space="preserve">Field Mapping</w:t>
            </w:r>
          </w:p>
        </w:tc>
        <w:tc>
          <w:tcPr>
            <w:tcW w:type="dxa" w:w="1200"/>
            <w:shd w:fill="FFFFFF" w:color="auto" w:val="clear"/>
          </w:tcPr>
          <w:p>
            <w:pPr>
              <w:spacing w:after="60" w:before="60"/>
            </w:pPr>
            <w:r>
              <w:rPr>
                <w:rFonts w:ascii="Calibri" w:cs="Calibri" w:eastAsia="Calibri" w:hAnsi="Calibri"/>
                <w:sz w:val="20"/>
                <w:szCs w:val="20"/>
              </w:rPr>
              <w:t xml:space="preserve">JSON object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Mapping of source system field names to Green PM entity field names — e.g., { 'act_id': 'external_id', 'target_end_date': 'planned_finish' }</w:t>
            </w:r>
          </w:p>
        </w:tc>
      </w:tr>
      <w:tr>
        <w:tc>
          <w:tcPr>
            <w:tcW w:type="dxa" w:w="2500"/>
            <w:shd w:fill="F1F8E9" w:color="auto" w:val="clear"/>
          </w:tcPr>
          <w:p>
            <w:pPr>
              <w:spacing w:after="60" w:before="60"/>
            </w:pPr>
            <w:r>
              <w:rPr>
                <w:rFonts w:ascii="Calibri" w:cs="Calibri" w:eastAsia="Calibri" w:hAnsi="Calibri"/>
                <w:sz w:val="20"/>
                <w:szCs w:val="20"/>
              </w:rPr>
              <w:t xml:space="preserve">Sync Frequency</w:t>
            </w:r>
          </w:p>
        </w:tc>
        <w:tc>
          <w:tcPr>
            <w:tcW w:type="dxa" w:w="1200"/>
            <w:shd w:fill="F1F8E9" w:color="auto" w:val="clear"/>
          </w:tcPr>
          <w:p>
            <w:pPr>
              <w:spacing w:after="60" w:before="60"/>
            </w:pPr>
            <w:r>
              <w:rPr>
                <w:rFonts w:ascii="Calibri" w:cs="Calibri" w:eastAsia="Calibri" w:hAnsi="Calibri"/>
                <w:sz w:val="20"/>
                <w:szCs w:val="20"/>
              </w:rPr>
              <w:t xml:space="preserve">Cron expression</w:t>
            </w:r>
          </w:p>
        </w:tc>
        <w:tc>
          <w:tcPr>
            <w:tcW w:type="dxa" w:w="1560"/>
            <w:shd w:fill="F1F8E9" w:color="auto" w:val="clear"/>
          </w:tcPr>
          <w:p>
            <w:pPr>
              <w:spacing w:after="60" w:before="60"/>
            </w:pPr>
            <w:r>
              <w:rPr>
                <w:rFonts w:ascii="Calibri" w:cs="Calibri" w:eastAsia="Calibri" w:hAnsi="Calibri"/>
                <w:sz w:val="20"/>
                <w:szCs w:val="20"/>
              </w:rPr>
              <w:t xml:space="preserve">0 */4 * * *</w:t>
            </w:r>
          </w:p>
        </w:tc>
        <w:tc>
          <w:tcPr>
            <w:tcW w:type="dxa" w:w="4100"/>
            <w:shd w:fill="F1F8E9" w:color="auto" w:val="clear"/>
          </w:tcPr>
          <w:p>
            <w:pPr>
              <w:spacing w:after="60" w:before="60"/>
            </w:pPr>
            <w:r>
              <w:rPr>
                <w:rFonts w:ascii="Calibri" w:cs="Calibri" w:eastAsia="Calibri" w:hAnsi="Calibri"/>
                <w:sz w:val="20"/>
                <w:szCs w:val="20"/>
              </w:rPr>
              <w:t xml:space="preserve">How frequently to pull updates — defaults to every 4 hours; real-time webhooks ignore this field</w:t>
            </w:r>
          </w:p>
        </w:tc>
      </w:tr>
      <w:tr>
        <w:tc>
          <w:tcPr>
            <w:tcW w:type="dxa" w:w="2500"/>
            <w:shd w:fill="FFFFFF" w:color="auto" w:val="clear"/>
          </w:tcPr>
          <w:p>
            <w:pPr>
              <w:spacing w:after="60" w:before="60"/>
            </w:pPr>
            <w:r>
              <w:rPr>
                <w:rFonts w:ascii="Calibri" w:cs="Calibri" w:eastAsia="Calibri" w:hAnsi="Calibri"/>
                <w:sz w:val="20"/>
                <w:szCs w:val="20"/>
              </w:rPr>
              <w:t xml:space="preserve">Conflict Resolution Rule</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source_wins</w:t>
            </w:r>
          </w:p>
        </w:tc>
        <w:tc>
          <w:tcPr>
            <w:tcW w:type="dxa" w:w="4100"/>
            <w:shd w:fill="FFFFFF" w:color="auto" w:val="clear"/>
          </w:tcPr>
          <w:p>
            <w:pPr>
              <w:spacing w:after="60" w:before="60"/>
            </w:pPr>
            <w:r>
              <w:rPr>
                <w:rFonts w:ascii="Calibri" w:cs="Calibri" w:eastAsia="Calibri" w:hAnsi="Calibri"/>
                <w:sz w:val="20"/>
                <w:szCs w:val="20"/>
              </w:rPr>
              <w:t xml:space="preserve">What to do when the same field has different values in source and Green PM: source_wins / greenpm_wins / flag_for_review / latest_timestamp_wins</w:t>
            </w:r>
          </w:p>
        </w:tc>
      </w:tr>
      <w:tr>
        <w:tc>
          <w:tcPr>
            <w:tcW w:type="dxa" w:w="2500"/>
            <w:shd w:fill="F1F8E9" w:color="auto" w:val="clear"/>
          </w:tcPr>
          <w:p>
            <w:pPr>
              <w:spacing w:after="60" w:before="60"/>
            </w:pPr>
            <w:r>
              <w:rPr>
                <w:rFonts w:ascii="Calibri" w:cs="Calibri" w:eastAsia="Calibri" w:hAnsi="Calibri"/>
                <w:sz w:val="20"/>
                <w:szCs w:val="20"/>
              </w:rPr>
              <w:t xml:space="preserve">Scope Filter</w:t>
            </w:r>
          </w:p>
        </w:tc>
        <w:tc>
          <w:tcPr>
            <w:tcW w:type="dxa" w:w="1200"/>
            <w:shd w:fill="F1F8E9" w:color="auto" w:val="clear"/>
          </w:tcPr>
          <w:p>
            <w:pPr>
              <w:spacing w:after="60" w:before="60"/>
            </w:pPr>
            <w:r>
              <w:rPr>
                <w:rFonts w:ascii="Calibri" w:cs="Calibri" w:eastAsia="Calibri" w:hAnsi="Calibri"/>
                <w:sz w:val="20"/>
                <w:szCs w:val="20"/>
              </w:rPr>
              <w:t xml:space="preserve">JSON filter</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Optional: only sync entities matching this filter (e.g., only WBS elements under a specific area, only activities in a date range)</w:t>
            </w:r>
          </w:p>
        </w:tc>
      </w:tr>
      <w:tr>
        <w:tc>
          <w:tcPr>
            <w:tcW w:type="dxa" w:w="2500"/>
            <w:shd w:fill="FFFFFF" w:color="auto" w:val="clear"/>
          </w:tcPr>
          <w:p>
            <w:pPr>
              <w:spacing w:after="60" w:before="60"/>
            </w:pPr>
            <w:r>
              <w:rPr>
                <w:rFonts w:ascii="Calibri" w:cs="Calibri" w:eastAsia="Calibri" w:hAnsi="Calibri"/>
                <w:sz w:val="20"/>
                <w:szCs w:val="20"/>
              </w:rPr>
              <w:t xml:space="preserve">Error Handling</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log_and_continue</w:t>
            </w:r>
          </w:p>
        </w:tc>
        <w:tc>
          <w:tcPr>
            <w:tcW w:type="dxa" w:w="4100"/>
            <w:shd w:fill="FFFFFF" w:color="auto" w:val="clear"/>
          </w:tcPr>
          <w:p>
            <w:pPr>
              <w:spacing w:after="60" w:before="60"/>
            </w:pPr>
            <w:r>
              <w:rPr>
                <w:rFonts w:ascii="Calibri" w:cs="Calibri" w:eastAsia="Calibri" w:hAnsi="Calibri"/>
                <w:sz w:val="20"/>
                <w:szCs w:val="20"/>
              </w:rPr>
              <w:t xml:space="preserve">What to do on sync error: log_and_continue / pause_sync / alert_admin / retry_3x_then_alert</w:t>
            </w:r>
          </w:p>
        </w:tc>
      </w:tr>
      <w:tr>
        <w:tc>
          <w:tcPr>
            <w:tcW w:type="dxa" w:w="2500"/>
            <w:shd w:fill="F1F8E9" w:color="auto" w:val="clear"/>
          </w:tcPr>
          <w:p>
            <w:pPr>
              <w:spacing w:after="60" w:before="60"/>
            </w:pPr>
            <w:r>
              <w:rPr>
                <w:rFonts w:ascii="Calibri" w:cs="Calibri" w:eastAsia="Calibri" w:hAnsi="Calibri"/>
                <w:sz w:val="20"/>
                <w:szCs w:val="20"/>
              </w:rPr>
              <w:t xml:space="preserve">Active</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this connector is currently active — connectors can be paused without deletion (e.g., during source system maintenance)</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8 — Notification Rule Builder</w:t>
      </w:r>
    </w:p>
    <w:p>
      <w:pPr>
        <w:spacing w:after="80" w:before="80"/>
        <w:jc w:val="left"/>
      </w:pPr>
      <w:r>
        <w:rPr>
          <w:rFonts w:ascii="Calibri" w:cs="Calibri" w:eastAsia="Calibri" w:hAnsi="Calibri"/>
          <w:b w:val="false"/>
          <w:bCs w:val="false"/>
          <w:color w:val="000000"/>
          <w:sz w:val="22"/>
          <w:szCs w:val="22"/>
        </w:rPr>
        <w:t xml:space="preserve">Purpose: The Notification Rule Builder configures when Green PM notifies which roles, through which channels, with what timing. Green PM generates many types of events — new alerts, decision state changes, coordination item assignments, evidence verification requests, gate status updates. Without systematic notification configuration, either too much noise (every event notifies everyone) or too little signal (critical alerts are missed). The Notification Rule Builder lets Studio Admins define precise notification rules: which event type triggers a notification, which roles receive it, through which channel (in-app, email header-only, or FCM push), and whether it is immediate or batched into a daily or weekly digest. All email notifications are header-only — Green PM sends notification metadata but does not transmit project content via email.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Rule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Human-readable name for this notification rule (e.g., 'Critical Alert to Project Director', 'Weekly Digest to PMO')</w:t>
            </w:r>
          </w:p>
        </w:tc>
      </w:tr>
      <w:tr>
        <w:tc>
          <w:tcPr>
            <w:tcW w:type="dxa" w:w="2500"/>
            <w:shd w:fill="F1F8E9" w:color="auto" w:val="clear"/>
          </w:tcPr>
          <w:p>
            <w:pPr>
              <w:spacing w:after="60" w:before="60"/>
            </w:pPr>
            <w:r>
              <w:rPr>
                <w:rFonts w:ascii="Calibri" w:cs="Calibri" w:eastAsia="Calibri" w:hAnsi="Calibri"/>
                <w:sz w:val="20"/>
                <w:szCs w:val="20"/>
              </w:rPr>
              <w:t xml:space="preserve">Event Type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The event that triggers this notification: alert_raised / decision_pending / decision_approved / decision_rejected / coordination_overdue / gate_passed / gate_failed / evidence_verification_required / risk_escalated / change_submitted / milestone_at_risk</w:t>
            </w:r>
          </w:p>
        </w:tc>
      </w:tr>
      <w:tr>
        <w:tc>
          <w:tcPr>
            <w:tcW w:type="dxa" w:w="2500"/>
            <w:shd w:fill="FFFFFF" w:color="auto" w:val="clear"/>
          </w:tcPr>
          <w:p>
            <w:pPr>
              <w:spacing w:after="60" w:before="60"/>
            </w:pPr>
            <w:r>
              <w:rPr>
                <w:rFonts w:ascii="Calibri" w:cs="Calibri" w:eastAsia="Calibri" w:hAnsi="Calibri"/>
                <w:sz w:val="20"/>
                <w:szCs w:val="20"/>
              </w:rPr>
              <w:t xml:space="preserve">Event Severity Filter</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all</w:t>
            </w:r>
          </w:p>
        </w:tc>
        <w:tc>
          <w:tcPr>
            <w:tcW w:type="dxa" w:w="4100"/>
            <w:shd w:fill="FFFFFF" w:color="auto" w:val="clear"/>
          </w:tcPr>
          <w:p>
            <w:pPr>
              <w:spacing w:after="60" w:before="60"/>
            </w:pPr>
            <w:r>
              <w:rPr>
                <w:rFonts w:ascii="Calibri" w:cs="Calibri" w:eastAsia="Calibri" w:hAnsi="Calibri"/>
                <w:sz w:val="20"/>
                <w:szCs w:val="20"/>
              </w:rPr>
              <w:t xml:space="preserve">Only notify for events at or above this severity: INFO / WARNING / CRITICAL / all</w:t>
            </w:r>
          </w:p>
        </w:tc>
      </w:tr>
      <w:tr>
        <w:tc>
          <w:tcPr>
            <w:tcW w:type="dxa" w:w="2500"/>
            <w:shd w:fill="F1F8E9" w:color="auto" w:val="clear"/>
          </w:tcPr>
          <w:p>
            <w:pPr>
              <w:spacing w:after="60" w:before="60"/>
            </w:pPr>
            <w:r>
              <w:rPr>
                <w:rFonts w:ascii="Calibri" w:cs="Calibri" w:eastAsia="Calibri" w:hAnsi="Calibri"/>
                <w:sz w:val="20"/>
                <w:szCs w:val="20"/>
              </w:rPr>
              <w:t xml:space="preserve">Recipient Roles</w:t>
            </w:r>
          </w:p>
        </w:tc>
        <w:tc>
          <w:tcPr>
            <w:tcW w:type="dxa" w:w="1200"/>
            <w:shd w:fill="F1F8E9" w:color="auto" w:val="clear"/>
          </w:tcPr>
          <w:p>
            <w:pPr>
              <w:spacing w:after="60" w:before="60"/>
            </w:pPr>
            <w:r>
              <w:rPr>
                <w:rFonts w:ascii="Calibri" w:cs="Calibri" w:eastAsia="Calibri" w:hAnsi="Calibri"/>
                <w:sz w:val="20"/>
                <w:szCs w:val="20"/>
              </w:rPr>
              <w:t xml:space="preserve">Role references (array)</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Roles that receive this notification — resolved to specific users at runtime based on project role assignments</w:t>
            </w:r>
          </w:p>
        </w:tc>
      </w:tr>
      <w:tr>
        <w:tc>
          <w:tcPr>
            <w:tcW w:type="dxa" w:w="2500"/>
            <w:shd w:fill="FFFFFF" w:color="auto" w:val="clear"/>
          </w:tcPr>
          <w:p>
            <w:pPr>
              <w:spacing w:after="60" w:before="60"/>
            </w:pPr>
            <w:r>
              <w:rPr>
                <w:rFonts w:ascii="Calibri" w:cs="Calibri" w:eastAsia="Calibri" w:hAnsi="Calibri"/>
                <w:sz w:val="20"/>
                <w:szCs w:val="20"/>
              </w:rPr>
              <w:t xml:space="preserve">Notification Channel</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in_app</w:t>
            </w:r>
          </w:p>
        </w:tc>
        <w:tc>
          <w:tcPr>
            <w:tcW w:type="dxa" w:w="4100"/>
            <w:shd w:fill="FFFFFF" w:color="auto" w:val="clear"/>
          </w:tcPr>
          <w:p>
            <w:pPr>
              <w:spacing w:after="60" w:before="60"/>
            </w:pPr>
            <w:r>
              <w:rPr>
                <w:rFonts w:ascii="Calibri" w:cs="Calibri" w:eastAsia="Calibri" w:hAnsi="Calibri"/>
                <w:sz w:val="20"/>
                <w:szCs w:val="20"/>
              </w:rPr>
              <w:t xml:space="preserve">Delivery channel: in_app (notification bell in UI) / email_header (subject line + link only, no content) / fcm_push (mobile push notification) / all</w:t>
            </w:r>
          </w:p>
        </w:tc>
      </w:tr>
      <w:tr>
        <w:tc>
          <w:tcPr>
            <w:tcW w:type="dxa" w:w="2500"/>
            <w:shd w:fill="F1F8E9" w:color="auto" w:val="clear"/>
          </w:tcPr>
          <w:p>
            <w:pPr>
              <w:spacing w:after="60" w:before="60"/>
            </w:pPr>
            <w:r>
              <w:rPr>
                <w:rFonts w:ascii="Calibri" w:cs="Calibri" w:eastAsia="Calibri" w:hAnsi="Calibri"/>
                <w:sz w:val="20"/>
                <w:szCs w:val="20"/>
              </w:rPr>
              <w:t xml:space="preserve">Timing Rule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immediate</w:t>
            </w:r>
          </w:p>
        </w:tc>
        <w:tc>
          <w:tcPr>
            <w:tcW w:type="dxa" w:w="4100"/>
            <w:shd w:fill="F1F8E9" w:color="auto" w:val="clear"/>
          </w:tcPr>
          <w:p>
            <w:pPr>
              <w:spacing w:after="60" w:before="60"/>
            </w:pPr>
            <w:r>
              <w:rPr>
                <w:rFonts w:ascii="Calibri" w:cs="Calibri" w:eastAsia="Calibri" w:hAnsi="Calibri"/>
                <w:sz w:val="20"/>
                <w:szCs w:val="20"/>
              </w:rPr>
              <w:t xml:space="preserve">When to deliver: immediate / daily_digest (batched at 07:00 local time) / weekly_digest (batched Monday 07:00)</w:t>
            </w:r>
          </w:p>
        </w:tc>
      </w:tr>
      <w:tr>
        <w:tc>
          <w:tcPr>
            <w:tcW w:type="dxa" w:w="2500"/>
            <w:shd w:fill="FFFFFF" w:color="auto" w:val="clear"/>
          </w:tcPr>
          <w:p>
            <w:pPr>
              <w:spacing w:after="60" w:before="60"/>
            </w:pPr>
            <w:r>
              <w:rPr>
                <w:rFonts w:ascii="Calibri" w:cs="Calibri" w:eastAsia="Calibri" w:hAnsi="Calibri"/>
                <w:sz w:val="20"/>
                <w:szCs w:val="20"/>
              </w:rPr>
              <w:t xml:space="preserve">Message Template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auto</w:t>
            </w:r>
          </w:p>
        </w:tc>
        <w:tc>
          <w:tcPr>
            <w:tcW w:type="dxa" w:w="4100"/>
            <w:shd w:fill="FFFFFF" w:color="auto" w:val="clear"/>
          </w:tcPr>
          <w:p>
            <w:pPr>
              <w:spacing w:after="60" w:before="60"/>
            </w:pPr>
            <w:r>
              <w:rPr>
                <w:rFonts w:ascii="Calibri" w:cs="Calibri" w:eastAsia="Calibri" w:hAnsi="Calibri"/>
                <w:sz w:val="20"/>
                <w:szCs w:val="20"/>
              </w:rPr>
              <w:t xml:space="preserve">Template for the notification message — 'auto' uses the default system message; custom templates can reference event fields with {field_name} placeholders</w:t>
            </w:r>
          </w:p>
        </w:tc>
      </w:tr>
      <w:tr>
        <w:tc>
          <w:tcPr>
            <w:tcW w:type="dxa" w:w="2500"/>
            <w:shd w:fill="F1F8E9" w:color="auto" w:val="clear"/>
          </w:tcPr>
          <w:p>
            <w:pPr>
              <w:spacing w:after="60" w:before="60"/>
            </w:pPr>
            <w:r>
              <w:rPr>
                <w:rFonts w:ascii="Calibri" w:cs="Calibri" w:eastAsia="Calibri" w:hAnsi="Calibri"/>
                <w:sz w:val="20"/>
                <w:szCs w:val="20"/>
              </w:rPr>
              <w:t xml:space="preserve">Include Link</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to include a deep link to the relevant entity workspace in the notification</w:t>
            </w:r>
          </w:p>
        </w:tc>
      </w:tr>
      <w:tr>
        <w:tc>
          <w:tcPr>
            <w:tcW w:type="dxa" w:w="2500"/>
            <w:shd w:fill="FFFFFF" w:color="auto" w:val="clear"/>
          </w:tcPr>
          <w:p>
            <w:pPr>
              <w:spacing w:after="60" w:before="60"/>
            </w:pPr>
            <w:r>
              <w:rPr>
                <w:rFonts w:ascii="Calibri" w:cs="Calibri" w:eastAsia="Calibri" w:hAnsi="Calibri"/>
                <w:sz w:val="20"/>
                <w:szCs w:val="20"/>
              </w:rPr>
              <w:t xml:space="preserve">Active</w:t>
            </w:r>
          </w:p>
        </w:tc>
        <w:tc>
          <w:tcPr>
            <w:tcW w:type="dxa" w:w="1200"/>
            <w:shd w:fill="FFFFFF" w:color="auto" w:val="clear"/>
          </w:tcPr>
          <w:p>
            <w:pPr>
              <w:spacing w:after="60" w:before="60"/>
            </w:pPr>
            <w:r>
              <w:rPr>
                <w:rFonts w:ascii="Calibri" w:cs="Calibri" w:eastAsia="Calibri" w:hAnsi="Calibri"/>
                <w:sz w:val="20"/>
                <w:szCs w:val="20"/>
              </w:rPr>
              <w:t xml:space="preserve">Boolean</w:t>
            </w:r>
          </w:p>
        </w:tc>
        <w:tc>
          <w:tcPr>
            <w:tcW w:type="dxa" w:w="1560"/>
            <w:shd w:fill="FFFFFF" w:color="auto" w:val="clear"/>
          </w:tcPr>
          <w:p>
            <w:pPr>
              <w:spacing w:after="60" w:before="60"/>
            </w:pPr>
            <w:r>
              <w:rPr>
                <w:rFonts w:ascii="Calibri" w:cs="Calibri" w:eastAsia="Calibri" w:hAnsi="Calibri"/>
                <w:sz w:val="20"/>
                <w:szCs w:val="20"/>
              </w:rPr>
              <w:t xml:space="preserve">true</w:t>
            </w:r>
          </w:p>
        </w:tc>
        <w:tc>
          <w:tcPr>
            <w:tcW w:type="dxa" w:w="4100"/>
            <w:shd w:fill="FFFFFF" w:color="auto" w:val="clear"/>
          </w:tcPr>
          <w:p>
            <w:pPr>
              <w:spacing w:after="60" w:before="60"/>
            </w:pPr>
            <w:r>
              <w:rPr>
                <w:rFonts w:ascii="Calibri" w:cs="Calibri" w:eastAsia="Calibri" w:hAnsi="Calibri"/>
                <w:sz w:val="20"/>
                <w:szCs w:val="20"/>
              </w:rPr>
              <w:t xml:space="preserve">Whether this notification rule is currently active</w:t>
            </w:r>
          </w:p>
        </w:tc>
      </w:tr>
      <w:tr>
        <w:tc>
          <w:tcPr>
            <w:tcW w:type="dxa" w:w="2500"/>
            <w:shd w:fill="F1F8E9" w:color="auto" w:val="clear"/>
          </w:tcPr>
          <w:p>
            <w:pPr>
              <w:spacing w:after="60" w:before="60"/>
            </w:pPr>
            <w:r>
              <w:rPr>
                <w:rFonts w:ascii="Calibri" w:cs="Calibri" w:eastAsia="Calibri" w:hAnsi="Calibri"/>
                <w:sz w:val="20"/>
                <w:szCs w:val="20"/>
              </w:rPr>
              <w:t xml:space="preserve">Quiet Hours</w:t>
            </w:r>
          </w:p>
        </w:tc>
        <w:tc>
          <w:tcPr>
            <w:tcW w:type="dxa" w:w="1200"/>
            <w:shd w:fill="F1F8E9" w:color="auto" w:val="clear"/>
          </w:tcPr>
          <w:p>
            <w:pPr>
              <w:spacing w:after="60" w:before="60"/>
            </w:pPr>
            <w:r>
              <w:rPr>
                <w:rFonts w:ascii="Calibri" w:cs="Calibri" w:eastAsia="Calibri" w:hAnsi="Calibri"/>
                <w:sz w:val="20"/>
                <w:szCs w:val="20"/>
              </w:rPr>
              <w:t xml:space="preserve">JSON object</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Optional: suppress notifications during configured quiet hours per day — e.g., { start: '22:00', end: '07:00', timezone: 'Asia/Kolkata' }</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9 — Custom Field Builder</w:t>
      </w:r>
    </w:p>
    <w:p>
      <w:pPr>
        <w:spacing w:after="80" w:before="80"/>
        <w:jc w:val="left"/>
      </w:pPr>
      <w:r>
        <w:rPr>
          <w:rFonts w:ascii="Calibri" w:cs="Calibri" w:eastAsia="Calibri" w:hAnsi="Calibri"/>
          <w:b w:val="false"/>
          <w:bCs w:val="false"/>
          <w:color w:val="000000"/>
          <w:sz w:val="22"/>
          <w:szCs w:val="22"/>
        </w:rPr>
        <w:t xml:space="preserve">Purpose: The Custom Field Builder allows Studio Admins to extend any Green PM entity type with project-specific or client-specific data fields. EPC projects have unique data requirements — a solar project needs a 'module efficiency rating' field on equipment; a pipeline project needs a 'weld number' field on activities; an offshore project needs a 'hook-up weight' field on packages. Custom fields are stored in the entity's custom_fields JSONB column, indexed for search, and available in reports, filters, and workspaces as if they were native fields. Custom fields configured here are tenant-scoped — they appear on every project within the tenant that has the field enabled.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Field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Technical name for the custom field — used as the JSON key in custom_fields (e.g., 'weld_number', 'module_efficiency_pct')</w:t>
            </w:r>
          </w:p>
        </w:tc>
      </w:tr>
      <w:tr>
        <w:tc>
          <w:tcPr>
            <w:tcW w:type="dxa" w:w="2500"/>
            <w:shd w:fill="F1F8E9" w:color="auto" w:val="clear"/>
          </w:tcPr>
          <w:p>
            <w:pPr>
              <w:spacing w:after="60" w:before="60"/>
            </w:pPr>
            <w:r>
              <w:rPr>
                <w:rFonts w:ascii="Calibri" w:cs="Calibri" w:eastAsia="Calibri" w:hAnsi="Calibri"/>
                <w:sz w:val="20"/>
                <w:szCs w:val="20"/>
              </w:rPr>
              <w:t xml:space="preserve">Display Label</w:t>
            </w:r>
          </w:p>
        </w:tc>
        <w:tc>
          <w:tcPr>
            <w:tcW w:type="dxa" w:w="1200"/>
            <w:shd w:fill="F1F8E9" w:color="auto" w:val="clear"/>
          </w:tcPr>
          <w:p>
            <w:pPr>
              <w:spacing w:after="60" w:before="60"/>
            </w:pPr>
            <w:r>
              <w:rPr>
                <w:rFonts w:ascii="Calibri" w:cs="Calibri" w:eastAsia="Calibri" w:hAnsi="Calibri"/>
                <w:sz w:val="20"/>
                <w:szCs w:val="20"/>
              </w:rPr>
              <w:t xml:space="preserve">Text</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Human-readable label shown in the entity workspace and forms (e.g., 'Weld Number', 'Module Efficiency (%)')</w:t>
            </w:r>
          </w:p>
        </w:tc>
      </w:tr>
      <w:tr>
        <w:tc>
          <w:tcPr>
            <w:tcW w:type="dxa" w:w="2500"/>
            <w:shd w:fill="FFFFFF" w:color="auto" w:val="clear"/>
          </w:tcPr>
          <w:p>
            <w:pPr>
              <w:spacing w:after="60" w:before="60"/>
            </w:pPr>
            <w:r>
              <w:rPr>
                <w:rFonts w:ascii="Calibri" w:cs="Calibri" w:eastAsia="Calibri" w:hAnsi="Calibri"/>
                <w:sz w:val="20"/>
                <w:szCs w:val="20"/>
              </w:rPr>
              <w:t xml:space="preserve">Entity Type</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Activity</w:t>
            </w:r>
          </w:p>
        </w:tc>
        <w:tc>
          <w:tcPr>
            <w:tcW w:type="dxa" w:w="4100"/>
            <w:shd w:fill="FFFFFF" w:color="auto" w:val="clear"/>
          </w:tcPr>
          <w:p>
            <w:pPr>
              <w:spacing w:after="60" w:before="60"/>
            </w:pPr>
            <w:r>
              <w:rPr>
                <w:rFonts w:ascii="Calibri" w:cs="Calibri" w:eastAsia="Calibri" w:hAnsi="Calibri"/>
                <w:sz w:val="20"/>
                <w:szCs w:val="20"/>
              </w:rPr>
              <w:t xml:space="preserve">The entity type this field is added to: Activity / Risk / Change / Vendor / Drawing / Dispatch / Decision / Equipment / Package / WBS</w:t>
            </w:r>
          </w:p>
        </w:tc>
      </w:tr>
      <w:tr>
        <w:tc>
          <w:tcPr>
            <w:tcW w:type="dxa" w:w="2500"/>
            <w:shd w:fill="F1F8E9" w:color="auto" w:val="clear"/>
          </w:tcPr>
          <w:p>
            <w:pPr>
              <w:spacing w:after="60" w:before="60"/>
            </w:pPr>
            <w:r>
              <w:rPr>
                <w:rFonts w:ascii="Calibri" w:cs="Calibri" w:eastAsia="Calibri" w:hAnsi="Calibri"/>
                <w:sz w:val="20"/>
                <w:szCs w:val="20"/>
              </w:rPr>
              <w:t xml:space="preserve">Field Type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text</w:t>
            </w:r>
          </w:p>
        </w:tc>
        <w:tc>
          <w:tcPr>
            <w:tcW w:type="dxa" w:w="4100"/>
            <w:shd w:fill="F1F8E9" w:color="auto" w:val="clear"/>
          </w:tcPr>
          <w:p>
            <w:pPr>
              <w:spacing w:after="60" w:before="60"/>
            </w:pPr>
            <w:r>
              <w:rPr>
                <w:rFonts w:ascii="Calibri" w:cs="Calibri" w:eastAsia="Calibri" w:hAnsi="Calibri"/>
                <w:sz w:val="20"/>
                <w:szCs w:val="20"/>
              </w:rPr>
              <w:t xml:space="preserve">Data type: text / number / date / dropdown / multi_select / boolean / url / reference (link to another entity)</w:t>
            </w:r>
          </w:p>
        </w:tc>
      </w:tr>
      <w:tr>
        <w:tc>
          <w:tcPr>
            <w:tcW w:type="dxa" w:w="2500"/>
            <w:shd w:fill="FFFFFF" w:color="auto" w:val="clear"/>
          </w:tcPr>
          <w:p>
            <w:pPr>
              <w:spacing w:after="60" w:before="60"/>
            </w:pPr>
            <w:r>
              <w:rPr>
                <w:rFonts w:ascii="Calibri" w:cs="Calibri" w:eastAsia="Calibri" w:hAnsi="Calibri"/>
                <w:sz w:val="20"/>
                <w:szCs w:val="20"/>
              </w:rPr>
              <w:t xml:space="preserve">Dropdown Options</w:t>
            </w:r>
          </w:p>
        </w:tc>
        <w:tc>
          <w:tcPr>
            <w:tcW w:type="dxa" w:w="1200"/>
            <w:shd w:fill="FFFFFF" w:color="auto" w:val="clear"/>
          </w:tcPr>
          <w:p>
            <w:pPr>
              <w:spacing w:after="60" w:before="60"/>
            </w:pPr>
            <w:r>
              <w:rPr>
                <w:rFonts w:ascii="Calibri" w:cs="Calibri" w:eastAsia="Calibri" w:hAnsi="Calibri"/>
                <w:sz w:val="20"/>
                <w:szCs w:val="20"/>
              </w:rPr>
              <w:t xml:space="preserve">Text array</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For dropdown and multi_select fields: the list of allowed values</w:t>
            </w:r>
          </w:p>
        </w:tc>
      </w:tr>
      <w:tr>
        <w:tc>
          <w:tcPr>
            <w:tcW w:type="dxa" w:w="2500"/>
            <w:shd w:fill="F1F8E9" w:color="auto" w:val="clear"/>
          </w:tcPr>
          <w:p>
            <w:pPr>
              <w:spacing w:after="60" w:before="60"/>
            </w:pPr>
            <w:r>
              <w:rPr>
                <w:rFonts w:ascii="Calibri" w:cs="Calibri" w:eastAsia="Calibri" w:hAnsi="Calibri"/>
                <w:sz w:val="20"/>
                <w:szCs w:val="20"/>
              </w:rPr>
              <w:t xml:space="preserve">Validation Regex</w:t>
            </w:r>
          </w:p>
        </w:tc>
        <w:tc>
          <w:tcPr>
            <w:tcW w:type="dxa" w:w="1200"/>
            <w:shd w:fill="F1F8E9" w:color="auto" w:val="clear"/>
          </w:tcPr>
          <w:p>
            <w:pPr>
              <w:spacing w:after="60" w:before="60"/>
            </w:pPr>
            <w:r>
              <w:rPr>
                <w:rFonts w:ascii="Calibri" w:cs="Calibri" w:eastAsia="Calibri" w:hAnsi="Calibri"/>
                <w:sz w:val="20"/>
                <w:szCs w:val="20"/>
              </w:rPr>
              <w:t xml:space="preserve">Regex pattern</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Optional: validates text or number fields against a pattern before saving (e.g., weld number format)</w:t>
            </w:r>
          </w:p>
        </w:tc>
      </w:tr>
      <w:tr>
        <w:tc>
          <w:tcPr>
            <w:tcW w:type="dxa" w:w="2500"/>
            <w:shd w:fill="FFFFFF" w:color="auto" w:val="clear"/>
          </w:tcPr>
          <w:p>
            <w:pPr>
              <w:spacing w:after="60" w:before="60"/>
            </w:pPr>
            <w:r>
              <w:rPr>
                <w:rFonts w:ascii="Calibri" w:cs="Calibri" w:eastAsia="Calibri" w:hAnsi="Calibri"/>
                <w:sz w:val="20"/>
                <w:szCs w:val="20"/>
              </w:rPr>
              <w:t xml:space="preserve">Required</w:t>
            </w:r>
          </w:p>
        </w:tc>
        <w:tc>
          <w:tcPr>
            <w:tcW w:type="dxa" w:w="1200"/>
            <w:shd w:fill="FFFFFF" w:color="auto" w:val="clear"/>
          </w:tcPr>
          <w:p>
            <w:pPr>
              <w:spacing w:after="60" w:before="60"/>
            </w:pPr>
            <w:r>
              <w:rPr>
                <w:rFonts w:ascii="Calibri" w:cs="Calibri" w:eastAsia="Calibri" w:hAnsi="Calibri"/>
                <w:sz w:val="20"/>
                <w:szCs w:val="20"/>
              </w:rPr>
              <w:t xml:space="preserve">Boolean</w:t>
            </w:r>
          </w:p>
        </w:tc>
        <w:tc>
          <w:tcPr>
            <w:tcW w:type="dxa" w:w="1560"/>
            <w:shd w:fill="FFFFFF" w:color="auto" w:val="clear"/>
          </w:tcPr>
          <w:p>
            <w:pPr>
              <w:spacing w:after="60" w:before="60"/>
            </w:pPr>
            <w:r>
              <w:rPr>
                <w:rFonts w:ascii="Calibri" w:cs="Calibri" w:eastAsia="Calibri" w:hAnsi="Calibri"/>
                <w:sz w:val="20"/>
                <w:szCs w:val="20"/>
              </w:rPr>
              <w:t xml:space="preserve">false</w:t>
            </w:r>
          </w:p>
        </w:tc>
        <w:tc>
          <w:tcPr>
            <w:tcW w:type="dxa" w:w="4100"/>
            <w:shd w:fill="FFFFFF" w:color="auto" w:val="clear"/>
          </w:tcPr>
          <w:p>
            <w:pPr>
              <w:spacing w:after="60" w:before="60"/>
            </w:pPr>
            <w:r>
              <w:rPr>
                <w:rFonts w:ascii="Calibri" w:cs="Calibri" w:eastAsia="Calibri" w:hAnsi="Calibri"/>
                <w:sz w:val="20"/>
                <w:szCs w:val="20"/>
              </w:rPr>
              <w:t xml:space="preserve">Whether this field is required before an entity of this type can be saved or submitted</w:t>
            </w:r>
          </w:p>
        </w:tc>
      </w:tr>
      <w:tr>
        <w:tc>
          <w:tcPr>
            <w:tcW w:type="dxa" w:w="2500"/>
            <w:shd w:fill="F1F8E9" w:color="auto" w:val="clear"/>
          </w:tcPr>
          <w:p>
            <w:pPr>
              <w:spacing w:after="60" w:before="60"/>
            </w:pPr>
            <w:r>
              <w:rPr>
                <w:rFonts w:ascii="Calibri" w:cs="Calibri" w:eastAsia="Calibri" w:hAnsi="Calibri"/>
                <w:sz w:val="20"/>
                <w:szCs w:val="20"/>
              </w:rPr>
              <w:t xml:space="preserve">Include in Reports</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this field appears in automated report data sections and exports</w:t>
            </w:r>
          </w:p>
        </w:tc>
      </w:tr>
      <w:tr>
        <w:tc>
          <w:tcPr>
            <w:tcW w:type="dxa" w:w="2500"/>
            <w:shd w:fill="FFFFFF" w:color="auto" w:val="clear"/>
          </w:tcPr>
          <w:p>
            <w:pPr>
              <w:spacing w:after="60" w:before="60"/>
            </w:pPr>
            <w:r>
              <w:rPr>
                <w:rFonts w:ascii="Calibri" w:cs="Calibri" w:eastAsia="Calibri" w:hAnsi="Calibri"/>
                <w:sz w:val="20"/>
                <w:szCs w:val="20"/>
              </w:rPr>
              <w:t xml:space="preserve">Include in Search</w:t>
            </w:r>
          </w:p>
        </w:tc>
        <w:tc>
          <w:tcPr>
            <w:tcW w:type="dxa" w:w="1200"/>
            <w:shd w:fill="FFFFFF" w:color="auto" w:val="clear"/>
          </w:tcPr>
          <w:p>
            <w:pPr>
              <w:spacing w:after="60" w:before="60"/>
            </w:pPr>
            <w:r>
              <w:rPr>
                <w:rFonts w:ascii="Calibri" w:cs="Calibri" w:eastAsia="Calibri" w:hAnsi="Calibri"/>
                <w:sz w:val="20"/>
                <w:szCs w:val="20"/>
              </w:rPr>
              <w:t xml:space="preserve">Boolean</w:t>
            </w:r>
          </w:p>
        </w:tc>
        <w:tc>
          <w:tcPr>
            <w:tcW w:type="dxa" w:w="1560"/>
            <w:shd w:fill="FFFFFF" w:color="auto" w:val="clear"/>
          </w:tcPr>
          <w:p>
            <w:pPr>
              <w:spacing w:after="60" w:before="60"/>
            </w:pPr>
            <w:r>
              <w:rPr>
                <w:rFonts w:ascii="Calibri" w:cs="Calibri" w:eastAsia="Calibri" w:hAnsi="Calibri"/>
                <w:sz w:val="20"/>
                <w:szCs w:val="20"/>
              </w:rPr>
              <w:t xml:space="preserve">true</w:t>
            </w:r>
          </w:p>
        </w:tc>
        <w:tc>
          <w:tcPr>
            <w:tcW w:type="dxa" w:w="4100"/>
            <w:shd w:fill="FFFFFF" w:color="auto" w:val="clear"/>
          </w:tcPr>
          <w:p>
            <w:pPr>
              <w:spacing w:after="60" w:before="60"/>
            </w:pPr>
            <w:r>
              <w:rPr>
                <w:rFonts w:ascii="Calibri" w:cs="Calibri" w:eastAsia="Calibri" w:hAnsi="Calibri"/>
                <w:sz w:val="20"/>
                <w:szCs w:val="20"/>
              </w:rPr>
              <w:t xml:space="preserve">Whether this field is indexed for full-text and filter search in entity workspaces</w:t>
            </w:r>
          </w:p>
        </w:tc>
      </w:tr>
      <w:tr>
        <w:tc>
          <w:tcPr>
            <w:tcW w:type="dxa" w:w="2500"/>
            <w:shd w:fill="F1F8E9" w:color="auto" w:val="clear"/>
          </w:tcPr>
          <w:p>
            <w:pPr>
              <w:spacing w:after="60" w:before="60"/>
            </w:pPr>
            <w:r>
              <w:rPr>
                <w:rFonts w:ascii="Calibri" w:cs="Calibri" w:eastAsia="Calibri" w:hAnsi="Calibri"/>
                <w:sz w:val="20"/>
                <w:szCs w:val="20"/>
              </w:rPr>
              <w:t xml:space="preserve">Default Value</w:t>
            </w:r>
          </w:p>
        </w:tc>
        <w:tc>
          <w:tcPr>
            <w:tcW w:type="dxa" w:w="1200"/>
            <w:shd w:fill="F1F8E9" w:color="auto" w:val="clear"/>
          </w:tcPr>
          <w:p>
            <w:pPr>
              <w:spacing w:after="60" w:before="60"/>
            </w:pPr>
            <w:r>
              <w:rPr>
                <w:rFonts w:ascii="Calibri" w:cs="Calibri" w:eastAsia="Calibri" w:hAnsi="Calibri"/>
                <w:sz w:val="20"/>
                <w:szCs w:val="20"/>
              </w:rPr>
              <w:t xml:space="preserve">Varies</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Default value pre-populated when a new entity of this type is created</w:t>
            </w:r>
          </w:p>
        </w:tc>
      </w:tr>
      <w:tr>
        <w:tc>
          <w:tcPr>
            <w:tcW w:type="dxa" w:w="2500"/>
            <w:shd w:fill="FFFFFF" w:color="auto" w:val="clear"/>
          </w:tcPr>
          <w:p>
            <w:pPr>
              <w:spacing w:after="60" w:before="60"/>
            </w:pPr>
            <w:r>
              <w:rPr>
                <w:rFonts w:ascii="Calibri" w:cs="Calibri" w:eastAsia="Calibri" w:hAnsi="Calibri"/>
                <w:sz w:val="20"/>
                <w:szCs w:val="20"/>
              </w:rPr>
              <w:t xml:space="preserve">Visible to Roles</w:t>
            </w:r>
          </w:p>
        </w:tc>
        <w:tc>
          <w:tcPr>
            <w:tcW w:type="dxa" w:w="1200"/>
            <w:shd w:fill="FFFFFF" w:color="auto" w:val="clear"/>
          </w:tcPr>
          <w:p>
            <w:pPr>
              <w:spacing w:after="60" w:before="60"/>
            </w:pPr>
            <w:r>
              <w:rPr>
                <w:rFonts w:ascii="Calibri" w:cs="Calibri" w:eastAsia="Calibri" w:hAnsi="Calibri"/>
                <w:sz w:val="20"/>
                <w:szCs w:val="20"/>
              </w:rPr>
              <w:t xml:space="preserve">Role references (array)</w:t>
            </w:r>
          </w:p>
        </w:tc>
        <w:tc>
          <w:tcPr>
            <w:tcW w:type="dxa" w:w="1560"/>
            <w:shd w:fill="FFFFFF" w:color="auto" w:val="clear"/>
          </w:tcPr>
          <w:p>
            <w:pPr>
              <w:spacing w:after="60" w:before="60"/>
            </w:pPr>
            <w:r>
              <w:rPr>
                <w:rFonts w:ascii="Calibri" w:cs="Calibri" w:eastAsia="Calibri" w:hAnsi="Calibri"/>
                <w:sz w:val="20"/>
                <w:szCs w:val="20"/>
              </w:rPr>
              <w:t xml:space="preserve">[all]</w:t>
            </w:r>
          </w:p>
        </w:tc>
        <w:tc>
          <w:tcPr>
            <w:tcW w:type="dxa" w:w="4100"/>
            <w:shd w:fill="FFFFFF" w:color="auto" w:val="clear"/>
          </w:tcPr>
          <w:p>
            <w:pPr>
              <w:spacing w:after="60" w:before="60"/>
            </w:pPr>
            <w:r>
              <w:rPr>
                <w:rFonts w:ascii="Calibri" w:cs="Calibri" w:eastAsia="Calibri" w:hAnsi="Calibri"/>
                <w:sz w:val="20"/>
                <w:szCs w:val="20"/>
              </w:rPr>
              <w:t xml:space="preserve">Roles that can see this field — can be restricted to specific roles (e.g., commercial fields visible only to PMO and Project Director)</w:t>
            </w:r>
          </w:p>
        </w:tc>
      </w:tr>
      <w:tr>
        <w:tc>
          <w:tcPr>
            <w:tcW w:type="dxa" w:w="2500"/>
            <w:shd w:fill="F1F8E9" w:color="auto" w:val="clear"/>
          </w:tcPr>
          <w:p>
            <w:pPr>
              <w:spacing w:after="60" w:before="60"/>
            </w:pPr>
            <w:r>
              <w:rPr>
                <w:rFonts w:ascii="Calibri" w:cs="Calibri" w:eastAsia="Calibri" w:hAnsi="Calibri"/>
                <w:sz w:val="20"/>
                <w:szCs w:val="20"/>
              </w:rPr>
              <w:t xml:space="preserve">Editable by Roles</w:t>
            </w:r>
          </w:p>
        </w:tc>
        <w:tc>
          <w:tcPr>
            <w:tcW w:type="dxa" w:w="1200"/>
            <w:shd w:fill="F1F8E9" w:color="auto" w:val="clear"/>
          </w:tcPr>
          <w:p>
            <w:pPr>
              <w:spacing w:after="60" w:before="60"/>
            </w:pPr>
            <w:r>
              <w:rPr>
                <w:rFonts w:ascii="Calibri" w:cs="Calibri" w:eastAsia="Calibri" w:hAnsi="Calibri"/>
                <w:sz w:val="20"/>
                <w:szCs w:val="20"/>
              </w:rPr>
              <w:t xml:space="preserve">Role references (array)</w:t>
            </w:r>
          </w:p>
        </w:tc>
        <w:tc>
          <w:tcPr>
            <w:tcW w:type="dxa" w:w="1560"/>
            <w:shd w:fill="F1F8E9" w:color="auto" w:val="clear"/>
          </w:tcPr>
          <w:p>
            <w:pPr>
              <w:spacing w:after="60" w:before="60"/>
            </w:pPr>
            <w:r>
              <w:rPr>
                <w:rFonts w:ascii="Calibri" w:cs="Calibri" w:eastAsia="Calibri" w:hAnsi="Calibri"/>
                <w:sz w:val="20"/>
                <w:szCs w:val="20"/>
              </w:rPr>
              <w:t xml:space="preserve">[all]</w:t>
            </w:r>
          </w:p>
        </w:tc>
        <w:tc>
          <w:tcPr>
            <w:tcW w:type="dxa" w:w="4100"/>
            <w:shd w:fill="F1F8E9" w:color="auto" w:val="clear"/>
          </w:tcPr>
          <w:p>
            <w:pPr>
              <w:spacing w:after="60" w:before="60"/>
            </w:pPr>
            <w:r>
              <w:rPr>
                <w:rFonts w:ascii="Calibri" w:cs="Calibri" w:eastAsia="Calibri" w:hAnsi="Calibri"/>
                <w:sz w:val="20"/>
                <w:szCs w:val="20"/>
              </w:rPr>
              <w:t xml:space="preserve">Roles that can edit this field value — can be more restrictive than visible_to_roles</w:t>
            </w:r>
          </w:p>
        </w:tc>
      </w:tr>
      <w:tr>
        <w:tc>
          <w:tcPr>
            <w:tcW w:type="dxa" w:w="2500"/>
            <w:shd w:fill="FFFFFF" w:color="auto" w:val="clear"/>
          </w:tcPr>
          <w:p>
            <w:pPr>
              <w:spacing w:after="60" w:before="60"/>
            </w:pPr>
            <w:r>
              <w:rPr>
                <w:rFonts w:ascii="Calibri" w:cs="Calibri" w:eastAsia="Calibri" w:hAnsi="Calibri"/>
                <w:sz w:val="20"/>
                <w:szCs w:val="20"/>
              </w:rPr>
              <w:t xml:space="preserve">Active</w:t>
            </w:r>
          </w:p>
        </w:tc>
        <w:tc>
          <w:tcPr>
            <w:tcW w:type="dxa" w:w="1200"/>
            <w:shd w:fill="FFFFFF" w:color="auto" w:val="clear"/>
          </w:tcPr>
          <w:p>
            <w:pPr>
              <w:spacing w:after="60" w:before="60"/>
            </w:pPr>
            <w:r>
              <w:rPr>
                <w:rFonts w:ascii="Calibri" w:cs="Calibri" w:eastAsia="Calibri" w:hAnsi="Calibri"/>
                <w:sz w:val="20"/>
                <w:szCs w:val="20"/>
              </w:rPr>
              <w:t xml:space="preserve">Boolean</w:t>
            </w:r>
          </w:p>
        </w:tc>
        <w:tc>
          <w:tcPr>
            <w:tcW w:type="dxa" w:w="1560"/>
            <w:shd w:fill="FFFFFF" w:color="auto" w:val="clear"/>
          </w:tcPr>
          <w:p>
            <w:pPr>
              <w:spacing w:after="60" w:before="60"/>
            </w:pPr>
            <w:r>
              <w:rPr>
                <w:rFonts w:ascii="Calibri" w:cs="Calibri" w:eastAsia="Calibri" w:hAnsi="Calibri"/>
                <w:sz w:val="20"/>
                <w:szCs w:val="20"/>
              </w:rPr>
              <w:t xml:space="preserve">true</w:t>
            </w:r>
          </w:p>
        </w:tc>
        <w:tc>
          <w:tcPr>
            <w:tcW w:type="dxa" w:w="4100"/>
            <w:shd w:fill="FFFFFF" w:color="auto" w:val="clear"/>
          </w:tcPr>
          <w:p>
            <w:pPr>
              <w:spacing w:after="60" w:before="60"/>
            </w:pPr>
            <w:r>
              <w:rPr>
                <w:rFonts w:ascii="Calibri" w:cs="Calibri" w:eastAsia="Calibri" w:hAnsi="Calibri"/>
                <w:sz w:val="20"/>
                <w:szCs w:val="20"/>
              </w:rPr>
              <w:t xml:space="preserve">Whether this custom field is currently active — deactivated fields are hidden but their data is preserved</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10 — Drawing Numbering Builder</w:t>
      </w:r>
    </w:p>
    <w:p>
      <w:pPr>
        <w:spacing w:after="80" w:before="80"/>
        <w:jc w:val="left"/>
      </w:pPr>
      <w:r>
        <w:rPr>
          <w:rFonts w:ascii="Calibri" w:cs="Calibri" w:eastAsia="Calibri" w:hAnsi="Calibri"/>
          <w:b w:val="false"/>
          <w:bCs w:val="false"/>
          <w:color w:val="000000"/>
          <w:sz w:val="22"/>
          <w:szCs w:val="22"/>
        </w:rPr>
        <w:t xml:space="preserve">Purpose: The Drawing Numbering Builder configures the document numbering scheme used across the project's drawing register. Every EPC project has a unique drawing numbering convention — the scheme encodes the project identifier, discipline, document type, area or system, and sequence number in a standardised format. Without a consistent numbering scheme, drawing management becomes chaotic as revisions pile up. The Drawing Numbering Builder lets Studio Admins define the exact format: the segments, their order, the separator character, the discipline and document type codes, the sequence number format, and the revision letter or number format. A live preview in Studio shows an example drawing number as configuration is updated. Once activated, the scheme is enforced on all new drawing uploads — non-conforming numbers are flagged for review.</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Scheme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Human-readable name for this numbering scheme (e.g., 'Client ABC EPC Drawing Number Format')</w:t>
            </w:r>
          </w:p>
        </w:tc>
      </w:tr>
      <w:tr>
        <w:tc>
          <w:tcPr>
            <w:tcW w:type="dxa" w:w="2500"/>
            <w:shd w:fill="F1F8E9" w:color="auto" w:val="clear"/>
          </w:tcPr>
          <w:p>
            <w:pPr>
              <w:spacing w:after="60" w:before="60"/>
            </w:pPr>
            <w:r>
              <w:rPr>
                <w:rFonts w:ascii="Calibri" w:cs="Calibri" w:eastAsia="Calibri" w:hAnsi="Calibri"/>
                <w:sz w:val="20"/>
                <w:szCs w:val="20"/>
              </w:rPr>
              <w:t xml:space="preserve">Project Code Segment</w:t>
            </w:r>
          </w:p>
        </w:tc>
        <w:tc>
          <w:tcPr>
            <w:tcW w:type="dxa" w:w="1200"/>
            <w:shd w:fill="F1F8E9" w:color="auto" w:val="clear"/>
          </w:tcPr>
          <w:p>
            <w:pPr>
              <w:spacing w:after="60" w:before="60"/>
            </w:pPr>
            <w:r>
              <w:rPr>
                <w:rFonts w:ascii="Calibri" w:cs="Calibri" w:eastAsia="Calibri" w:hAnsi="Calibri"/>
                <w:sz w:val="20"/>
                <w:szCs w:val="20"/>
              </w:rPr>
              <w:t xml:space="preserve">Text</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Fixed project identifier prefix (e.g., 'PROJ-001', 'ABC-SOLR') — appears as first segment in every drawing number</w:t>
            </w:r>
          </w:p>
        </w:tc>
      </w:tr>
      <w:tr>
        <w:tc>
          <w:tcPr>
            <w:tcW w:type="dxa" w:w="2500"/>
            <w:shd w:fill="FFFFFF" w:color="auto" w:val="clear"/>
          </w:tcPr>
          <w:p>
            <w:pPr>
              <w:spacing w:after="60" w:before="60"/>
            </w:pPr>
            <w:r>
              <w:rPr>
                <w:rFonts w:ascii="Calibri" w:cs="Calibri" w:eastAsia="Calibri" w:hAnsi="Calibri"/>
                <w:sz w:val="20"/>
                <w:szCs w:val="20"/>
              </w:rPr>
              <w:t xml:space="preserve">Discipline Code Segment</w:t>
            </w:r>
          </w:p>
        </w:tc>
        <w:tc>
          <w:tcPr>
            <w:tcW w:type="dxa" w:w="1200"/>
            <w:shd w:fill="FFFFFF" w:color="auto" w:val="clear"/>
          </w:tcPr>
          <w:p>
            <w:pPr>
              <w:spacing w:after="60" w:before="60"/>
            </w:pPr>
            <w:r>
              <w:rPr>
                <w:rFonts w:ascii="Calibri" w:cs="Calibri" w:eastAsia="Calibri" w:hAnsi="Calibri"/>
                <w:sz w:val="20"/>
                <w:szCs w:val="20"/>
              </w:rPr>
              <w:t xml:space="preserve">Enum list</w:t>
            </w:r>
          </w:p>
        </w:tc>
        <w:tc>
          <w:tcPr>
            <w:tcW w:type="dxa" w:w="1560"/>
            <w:shd w:fill="FFFFFF" w:color="auto" w:val="clear"/>
          </w:tcPr>
          <w:p>
            <w:pPr>
              <w:spacing w:after="60" w:before="60"/>
            </w:pPr>
            <w:r>
              <w:rPr>
                <w:rFonts w:ascii="Calibri" w:cs="Calibri" w:eastAsia="Calibri" w:hAnsi="Calibri"/>
                <w:sz w:val="20"/>
                <w:szCs w:val="20"/>
              </w:rPr>
              <w:t xml:space="preserve">[C,M,P,E,I,CM]</w:t>
            </w:r>
          </w:p>
        </w:tc>
        <w:tc>
          <w:tcPr>
            <w:tcW w:type="dxa" w:w="4100"/>
            <w:shd w:fill="FFFFFF" w:color="auto" w:val="clear"/>
          </w:tcPr>
          <w:p>
            <w:pPr>
              <w:spacing w:after="60" w:before="60"/>
            </w:pPr>
            <w:r>
              <w:rPr>
                <w:rFonts w:ascii="Calibri" w:cs="Calibri" w:eastAsia="Calibri" w:hAnsi="Calibri"/>
                <w:sz w:val="20"/>
                <w:szCs w:val="20"/>
              </w:rPr>
              <w:t xml:space="preserve">Allowed discipline codes — 2-letter codes: C (Civil), M (Mechanical), P (Piping), E (Electrical), I (Instrumentation), CM (Commissioning)</w:t>
            </w:r>
          </w:p>
        </w:tc>
      </w:tr>
      <w:tr>
        <w:tc>
          <w:tcPr>
            <w:tcW w:type="dxa" w:w="2500"/>
            <w:shd w:fill="F1F8E9" w:color="auto" w:val="clear"/>
          </w:tcPr>
          <w:p>
            <w:pPr>
              <w:spacing w:after="60" w:before="60"/>
            </w:pPr>
            <w:r>
              <w:rPr>
                <w:rFonts w:ascii="Calibri" w:cs="Calibri" w:eastAsia="Calibri" w:hAnsi="Calibri"/>
                <w:sz w:val="20"/>
                <w:szCs w:val="20"/>
              </w:rPr>
              <w:t xml:space="preserve">Document Type Code</w:t>
            </w:r>
          </w:p>
        </w:tc>
        <w:tc>
          <w:tcPr>
            <w:tcW w:type="dxa" w:w="1200"/>
            <w:shd w:fill="F1F8E9" w:color="auto" w:val="clear"/>
          </w:tcPr>
          <w:p>
            <w:pPr>
              <w:spacing w:after="60" w:before="60"/>
            </w:pPr>
            <w:r>
              <w:rPr>
                <w:rFonts w:ascii="Calibri" w:cs="Calibri" w:eastAsia="Calibri" w:hAnsi="Calibri"/>
                <w:sz w:val="20"/>
                <w:szCs w:val="20"/>
              </w:rPr>
              <w:t xml:space="preserve">Enum list</w:t>
            </w:r>
          </w:p>
        </w:tc>
        <w:tc>
          <w:tcPr>
            <w:tcW w:type="dxa" w:w="1560"/>
            <w:shd w:fill="F1F8E9" w:color="auto" w:val="clear"/>
          </w:tcPr>
          <w:p>
            <w:pPr>
              <w:spacing w:after="60" w:before="60"/>
            </w:pPr>
            <w:r>
              <w:rPr>
                <w:rFonts w:ascii="Calibri" w:cs="Calibri" w:eastAsia="Calibri" w:hAnsi="Calibri"/>
                <w:sz w:val="20"/>
                <w:szCs w:val="20"/>
              </w:rPr>
              <w:t xml:space="preserve">[DWG,SCH,DD,GA,DET,ISO]</w:t>
            </w:r>
          </w:p>
        </w:tc>
        <w:tc>
          <w:tcPr>
            <w:tcW w:type="dxa" w:w="4100"/>
            <w:shd w:fill="F1F8E9" w:color="auto" w:val="clear"/>
          </w:tcPr>
          <w:p>
            <w:pPr>
              <w:spacing w:after="60" w:before="60"/>
            </w:pPr>
            <w:r>
              <w:rPr>
                <w:rFonts w:ascii="Calibri" w:cs="Calibri" w:eastAsia="Calibri" w:hAnsi="Calibri"/>
                <w:sz w:val="20"/>
                <w:szCs w:val="20"/>
              </w:rPr>
              <w:t xml:space="preserve">Allowed document type codes: DWG (Drawing), SCH (Schematic), DD (Data Sheet), GA (General Arrangement), DET (Detail), ISO (Isometric)</w:t>
            </w:r>
          </w:p>
        </w:tc>
      </w:tr>
      <w:tr>
        <w:tc>
          <w:tcPr>
            <w:tcW w:type="dxa" w:w="2500"/>
            <w:shd w:fill="FFFFFF" w:color="auto" w:val="clear"/>
          </w:tcPr>
          <w:p>
            <w:pPr>
              <w:spacing w:after="60" w:before="60"/>
            </w:pPr>
            <w:r>
              <w:rPr>
                <w:rFonts w:ascii="Calibri" w:cs="Calibri" w:eastAsia="Calibri" w:hAnsi="Calibri"/>
                <w:sz w:val="20"/>
                <w:szCs w:val="20"/>
              </w:rPr>
              <w:t xml:space="preserve">Area/System Code</w:t>
            </w:r>
          </w:p>
        </w:tc>
        <w:tc>
          <w:tcPr>
            <w:tcW w:type="dxa" w:w="1200"/>
            <w:shd w:fill="FFFFFF" w:color="auto" w:val="clear"/>
          </w:tcPr>
          <w:p>
            <w:pPr>
              <w:spacing w:after="60" w:before="60"/>
            </w:pPr>
            <w:r>
              <w:rPr>
                <w:rFonts w:ascii="Calibri" w:cs="Calibri" w:eastAsia="Calibri" w:hAnsi="Calibri"/>
                <w:sz w:val="20"/>
                <w:szCs w:val="20"/>
              </w:rPr>
              <w:t xml:space="preserve">Text pattern</w:t>
            </w:r>
          </w:p>
        </w:tc>
        <w:tc>
          <w:tcPr>
            <w:tcW w:type="dxa" w:w="1560"/>
            <w:shd w:fill="FFFFFF" w:color="auto" w:val="clear"/>
          </w:tcPr>
          <w:p>
            <w:pPr>
              <w:spacing w:after="60" w:before="60"/>
            </w:pPr>
            <w:r>
              <w:rPr>
                <w:rFonts w:ascii="Calibri" w:cs="Calibri" w:eastAsia="Calibri" w:hAnsi="Calibri"/>
                <w:sz w:val="20"/>
                <w:szCs w:val="20"/>
              </w:rPr>
              <w:t xml:space="preserve">[A-Z]{2}[0-9]{2}</w:t>
            </w:r>
          </w:p>
        </w:tc>
        <w:tc>
          <w:tcPr>
            <w:tcW w:type="dxa" w:w="4100"/>
            <w:shd w:fill="FFFFFF" w:color="auto" w:val="clear"/>
          </w:tcPr>
          <w:p>
            <w:pPr>
              <w:spacing w:after="60" w:before="60"/>
            </w:pPr>
            <w:r>
              <w:rPr>
                <w:rFonts w:ascii="Calibri" w:cs="Calibri" w:eastAsia="Calibri" w:hAnsi="Calibri"/>
                <w:sz w:val="20"/>
                <w:szCs w:val="20"/>
              </w:rPr>
              <w:t xml:space="preserve">Pattern for the area or system code segment (e.g., AR01 = Area 1, SY03 = System 3)</w:t>
            </w:r>
          </w:p>
        </w:tc>
      </w:tr>
      <w:tr>
        <w:tc>
          <w:tcPr>
            <w:tcW w:type="dxa" w:w="2500"/>
            <w:shd w:fill="F1F8E9" w:color="auto" w:val="clear"/>
          </w:tcPr>
          <w:p>
            <w:pPr>
              <w:spacing w:after="60" w:before="60"/>
            </w:pPr>
            <w:r>
              <w:rPr>
                <w:rFonts w:ascii="Calibri" w:cs="Calibri" w:eastAsia="Calibri" w:hAnsi="Calibri"/>
                <w:sz w:val="20"/>
                <w:szCs w:val="20"/>
              </w:rPr>
              <w:t xml:space="preserve">Sequence Number Format</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4-digit zero-padded</w:t>
            </w:r>
          </w:p>
        </w:tc>
        <w:tc>
          <w:tcPr>
            <w:tcW w:type="dxa" w:w="4100"/>
            <w:shd w:fill="F1F8E9" w:color="auto" w:val="clear"/>
          </w:tcPr>
          <w:p>
            <w:pPr>
              <w:spacing w:after="60" w:before="60"/>
            </w:pPr>
            <w:r>
              <w:rPr>
                <w:rFonts w:ascii="Calibri" w:cs="Calibri" w:eastAsia="Calibri" w:hAnsi="Calibri"/>
                <w:sz w:val="20"/>
                <w:szCs w:val="20"/>
              </w:rPr>
              <w:t xml:space="preserve">Format for the sequence number: 3-digit zero-padded (001-999) / 4-digit zero-padded (0001-9999) / sequential no pad</w:t>
            </w:r>
          </w:p>
        </w:tc>
      </w:tr>
      <w:tr>
        <w:tc>
          <w:tcPr>
            <w:tcW w:type="dxa" w:w="2500"/>
            <w:shd w:fill="FFFFFF" w:color="auto" w:val="clear"/>
          </w:tcPr>
          <w:p>
            <w:pPr>
              <w:spacing w:after="60" w:before="60"/>
            </w:pPr>
            <w:r>
              <w:rPr>
                <w:rFonts w:ascii="Calibri" w:cs="Calibri" w:eastAsia="Calibri" w:hAnsi="Calibri"/>
                <w:sz w:val="20"/>
                <w:szCs w:val="20"/>
              </w:rPr>
              <w:t xml:space="preserve">Separator Character</w:t>
            </w:r>
          </w:p>
        </w:tc>
        <w:tc>
          <w:tcPr>
            <w:tcW w:type="dxa" w:w="1200"/>
            <w:shd w:fill="FFFFFF" w:color="auto" w:val="clear"/>
          </w:tcPr>
          <w:p>
            <w:pPr>
              <w:spacing w:after="60" w:before="60"/>
            </w:pPr>
            <w:r>
              <w:rPr>
                <w:rFonts w:ascii="Calibri" w:cs="Calibri" w:eastAsia="Calibri" w:hAnsi="Calibri"/>
                <w:sz w:val="20"/>
                <w:szCs w:val="20"/>
              </w:rPr>
              <w:t xml:space="preserve">Character</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Character used between segments in the drawing number — typically hyphen (-) or underscore (_)</w:t>
            </w:r>
          </w:p>
        </w:tc>
      </w:tr>
      <w:tr>
        <w:tc>
          <w:tcPr>
            <w:tcW w:type="dxa" w:w="2500"/>
            <w:shd w:fill="F1F8E9" w:color="auto" w:val="clear"/>
          </w:tcPr>
          <w:p>
            <w:pPr>
              <w:spacing w:after="60" w:before="60"/>
            </w:pPr>
            <w:r>
              <w:rPr>
                <w:rFonts w:ascii="Calibri" w:cs="Calibri" w:eastAsia="Calibri" w:hAnsi="Calibri"/>
                <w:sz w:val="20"/>
                <w:szCs w:val="20"/>
              </w:rPr>
              <w:t xml:space="preserve">Revision Format</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alpha_uppercase</w:t>
            </w:r>
          </w:p>
        </w:tc>
        <w:tc>
          <w:tcPr>
            <w:tcW w:type="dxa" w:w="4100"/>
            <w:shd w:fill="F1F8E9" w:color="auto" w:val="clear"/>
          </w:tcPr>
          <w:p>
            <w:pPr>
              <w:spacing w:after="60" w:before="60"/>
            </w:pPr>
            <w:r>
              <w:rPr>
                <w:rFonts w:ascii="Calibri" w:cs="Calibri" w:eastAsia="Calibri" w:hAnsi="Calibri"/>
                <w:sz w:val="20"/>
                <w:szCs w:val="20"/>
              </w:rPr>
              <w:t xml:space="preserve">Revision identifier format: alpha_uppercase (A, B, C ...) / numeric (1, 2, 3 ...) / alpha_prefixed (Rev A, Rev B ...)</w:t>
            </w:r>
          </w:p>
        </w:tc>
      </w:tr>
      <w:tr>
        <w:tc>
          <w:tcPr>
            <w:tcW w:type="dxa" w:w="2500"/>
            <w:shd w:fill="FFFFFF" w:color="auto" w:val="clear"/>
          </w:tcPr>
          <w:p>
            <w:pPr>
              <w:spacing w:after="60" w:before="60"/>
            </w:pPr>
            <w:r>
              <w:rPr>
                <w:rFonts w:ascii="Calibri" w:cs="Calibri" w:eastAsia="Calibri" w:hAnsi="Calibri"/>
                <w:sz w:val="20"/>
                <w:szCs w:val="20"/>
              </w:rPr>
              <w:t xml:space="preserve">Example Preview</w:t>
            </w:r>
          </w:p>
        </w:tc>
        <w:tc>
          <w:tcPr>
            <w:tcW w:type="dxa" w:w="1200"/>
            <w:shd w:fill="FFFFFF" w:color="auto" w:val="clear"/>
          </w:tcPr>
          <w:p>
            <w:pPr>
              <w:spacing w:after="60" w:before="60"/>
            </w:pPr>
            <w:r>
              <w:rPr>
                <w:rFonts w:ascii="Calibri" w:cs="Calibri" w:eastAsia="Calibri" w:hAnsi="Calibri"/>
                <w:sz w:val="20"/>
                <w:szCs w:val="20"/>
              </w:rPr>
              <w:t xml:space="preserve">Display only</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Live preview of a generated drawing number based on current configuration — shown in Studio builder; not a configurable field</w:t>
            </w:r>
          </w:p>
        </w:tc>
      </w:tr>
      <w:tr>
        <w:tc>
          <w:tcPr>
            <w:tcW w:type="dxa" w:w="2500"/>
            <w:shd w:fill="F1F8E9" w:color="auto" w:val="clear"/>
          </w:tcPr>
          <w:p>
            <w:pPr>
              <w:spacing w:after="60" w:before="60"/>
            </w:pPr>
            <w:r>
              <w:rPr>
                <w:rFonts w:ascii="Calibri" w:cs="Calibri" w:eastAsia="Calibri" w:hAnsi="Calibri"/>
                <w:sz w:val="20"/>
                <w:szCs w:val="20"/>
              </w:rPr>
              <w:t xml:space="preserve">Enforce on Upload</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If true, reject drawing uploads with non-conforming numbers and prompt user to correct; if false, flag but allow</w:t>
            </w:r>
          </w:p>
        </w:tc>
      </w:tr>
      <w:tr>
        <w:tc>
          <w:tcPr>
            <w:tcW w:type="dxa" w:w="2500"/>
            <w:shd w:fill="FFFFFF" w:color="auto" w:val="clear"/>
          </w:tcPr>
          <w:p>
            <w:pPr>
              <w:spacing w:after="60" w:before="60"/>
            </w:pPr>
            <w:r>
              <w:rPr>
                <w:rFonts w:ascii="Calibri" w:cs="Calibri" w:eastAsia="Calibri" w:hAnsi="Calibri"/>
                <w:sz w:val="20"/>
                <w:szCs w:val="20"/>
              </w:rPr>
              <w:t xml:space="preserve">IFC Revision Marker</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IFC</w:t>
            </w:r>
          </w:p>
        </w:tc>
        <w:tc>
          <w:tcPr>
            <w:tcW w:type="dxa" w:w="4100"/>
            <w:shd w:fill="FFFFFF" w:color="auto" w:val="clear"/>
          </w:tcPr>
          <w:p>
            <w:pPr>
              <w:spacing w:after="60" w:before="60"/>
            </w:pPr>
            <w:r>
              <w:rPr>
                <w:rFonts w:ascii="Calibri" w:cs="Calibri" w:eastAsia="Calibri" w:hAnsi="Calibri"/>
                <w:sz w:val="20"/>
                <w:szCs w:val="20"/>
              </w:rPr>
              <w:t xml:space="preserve">The revision suffix that marks an Issued For Construction revision (e.g., 'IFC', 'C') — triggers IFC status update in Engineering Panel</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11 — Readiness Gate Criteria Builder  (New in v5)</w:t>
      </w:r>
    </w:p>
    <w:p>
      <w:pPr>
        <w:spacing w:after="80" w:before="80"/>
        <w:jc w:val="left"/>
      </w:pPr>
      <w:r>
        <w:rPr>
          <w:rFonts w:ascii="Calibri" w:cs="Calibri" w:eastAsia="Calibri" w:hAnsi="Calibri"/>
          <w:b w:val="false"/>
          <w:bCs w:val="false"/>
          <w:color w:val="000000"/>
          <w:sz w:val="22"/>
          <w:szCs w:val="22"/>
        </w:rPr>
        <w:t xml:space="preserve">Purpose: The Readiness Gate Criteria Builder is new in Green PM v5 and directly configures the Readiness Engine's 6 gate types. While the Stage Gate Builder (Builder 1) configures formal phase-transition gates with approval chains, the Readiness Gate Criteria Builder configures the continuous readiness monitoring criteria that the Readiness Engine tracks in real time. The 6 gate types are fixed — Engineering, Material, Construction, Quality, Commissioning, COD — but the criteria within each gate are fully configurable per client and per project type. For each gate, Studio Admins define the checklist items, which are blocking versus advisory, what evidence is required to certify each criterion, and the minimum completion percentage to consider the gate passable. These criteria flow directly into the PCC Panel 4 (Risk &amp; Forecast) gate summary and Panel 6 (Engineering &amp; Readiness) gate status.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Gate Type</w:t>
            </w:r>
          </w:p>
        </w:tc>
        <w:tc>
          <w:tcPr>
            <w:tcW w:type="dxa" w:w="1200"/>
            <w:shd w:fill="FFFFFF" w:color="auto" w:val="clear"/>
          </w:tcPr>
          <w:p>
            <w:pPr>
              <w:spacing w:after="60" w:before="60"/>
            </w:pPr>
            <w:r>
              <w:rPr>
                <w:rFonts w:ascii="Calibri" w:cs="Calibri" w:eastAsia="Calibri" w:hAnsi="Calibri"/>
                <w:sz w:val="20"/>
                <w:szCs w:val="20"/>
              </w:rPr>
              <w:t xml:space="preserve">Enum (fixed)</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The gate this criterion belongs to: Engineering / Material / Construction / Quality / Commissioning / COD</w:t>
            </w:r>
          </w:p>
        </w:tc>
      </w:tr>
      <w:tr>
        <w:tc>
          <w:tcPr>
            <w:tcW w:type="dxa" w:w="2500"/>
            <w:shd w:fill="F1F8E9" w:color="auto" w:val="clear"/>
          </w:tcPr>
          <w:p>
            <w:pPr>
              <w:spacing w:after="60" w:before="60"/>
            </w:pPr>
            <w:r>
              <w:rPr>
                <w:rFonts w:ascii="Calibri" w:cs="Calibri" w:eastAsia="Calibri" w:hAnsi="Calibri"/>
                <w:sz w:val="20"/>
                <w:szCs w:val="20"/>
              </w:rPr>
              <w:t xml:space="preserve">Criterion Name</w:t>
            </w:r>
          </w:p>
        </w:tc>
        <w:tc>
          <w:tcPr>
            <w:tcW w:type="dxa" w:w="1200"/>
            <w:shd w:fill="F1F8E9" w:color="auto" w:val="clear"/>
          </w:tcPr>
          <w:p>
            <w:pPr>
              <w:spacing w:after="60" w:before="60"/>
            </w:pPr>
            <w:r>
              <w:rPr>
                <w:rFonts w:ascii="Calibri" w:cs="Calibri" w:eastAsia="Calibri" w:hAnsi="Calibri"/>
                <w:sz w:val="20"/>
                <w:szCs w:val="20"/>
              </w:rPr>
              <w:t xml:space="preserve">Text</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Name of the readiness criterion (e.g., 'All IFC drawings issued', 'All material inspection records complete')</w:t>
            </w:r>
          </w:p>
        </w:tc>
      </w:tr>
      <w:tr>
        <w:tc>
          <w:tcPr>
            <w:tcW w:type="dxa" w:w="2500"/>
            <w:shd w:fill="FFFFFF" w:color="auto" w:val="clear"/>
          </w:tcPr>
          <w:p>
            <w:pPr>
              <w:spacing w:after="60" w:before="60"/>
            </w:pPr>
            <w:r>
              <w:rPr>
                <w:rFonts w:ascii="Calibri" w:cs="Calibri" w:eastAsia="Calibri" w:hAnsi="Calibri"/>
                <w:sz w:val="20"/>
                <w:szCs w:val="20"/>
              </w:rPr>
              <w:t xml:space="preserve">Criterion Description</w:t>
            </w:r>
          </w:p>
        </w:tc>
        <w:tc>
          <w:tcPr>
            <w:tcW w:type="dxa" w:w="1200"/>
            <w:shd w:fill="FFFFFF" w:color="auto" w:val="clear"/>
          </w:tcPr>
          <w:p>
            <w:pPr>
              <w:spacing w:after="60" w:before="60"/>
            </w:pPr>
            <w:r>
              <w:rPr>
                <w:rFonts w:ascii="Calibri" w:cs="Calibri" w:eastAsia="Calibri" w:hAnsi="Calibri"/>
                <w:sz w:val="20"/>
                <w:szCs w:val="20"/>
              </w:rPr>
              <w:t xml:space="preserve">Text (long)</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Full description of what this criterion means and how it is evaluated</w:t>
            </w:r>
          </w:p>
        </w:tc>
      </w:tr>
      <w:tr>
        <w:tc>
          <w:tcPr>
            <w:tcW w:type="dxa" w:w="2500"/>
            <w:shd w:fill="F1F8E9" w:color="auto" w:val="clear"/>
          </w:tcPr>
          <w:p>
            <w:pPr>
              <w:spacing w:after="60" w:before="60"/>
            </w:pPr>
            <w:r>
              <w:rPr>
                <w:rFonts w:ascii="Calibri" w:cs="Calibri" w:eastAsia="Calibri" w:hAnsi="Calibri"/>
                <w:sz w:val="20"/>
                <w:szCs w:val="20"/>
              </w:rPr>
              <w:t xml:space="preserve">Criterion Type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blocking</w:t>
            </w:r>
          </w:p>
        </w:tc>
        <w:tc>
          <w:tcPr>
            <w:tcW w:type="dxa" w:w="4100"/>
            <w:shd w:fill="F1F8E9" w:color="auto" w:val="clear"/>
          </w:tcPr>
          <w:p>
            <w:pPr>
              <w:spacing w:after="60" w:before="60"/>
            </w:pPr>
            <w:r>
              <w:rPr>
                <w:rFonts w:ascii="Calibri" w:cs="Calibri" w:eastAsia="Calibri" w:hAnsi="Calibri"/>
                <w:sz w:val="20"/>
                <w:szCs w:val="20"/>
              </w:rPr>
              <w:t xml:space="preserve">blocking: gate cannot pass until this criterion is complete; advisory: contributes to completion % but does not block gate pass</w:t>
            </w:r>
          </w:p>
        </w:tc>
      </w:tr>
      <w:tr>
        <w:tc>
          <w:tcPr>
            <w:tcW w:type="dxa" w:w="2500"/>
            <w:shd w:fill="FFFFFF" w:color="auto" w:val="clear"/>
          </w:tcPr>
          <w:p>
            <w:pPr>
              <w:spacing w:after="60" w:before="60"/>
            </w:pPr>
            <w:r>
              <w:rPr>
                <w:rFonts w:ascii="Calibri" w:cs="Calibri" w:eastAsia="Calibri" w:hAnsi="Calibri"/>
                <w:sz w:val="20"/>
                <w:szCs w:val="20"/>
              </w:rPr>
              <w:t xml:space="preserve">Completion Method</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checklist_manual</w:t>
            </w:r>
          </w:p>
        </w:tc>
        <w:tc>
          <w:tcPr>
            <w:tcW w:type="dxa" w:w="4100"/>
            <w:shd w:fill="FFFFFF" w:color="auto" w:val="clear"/>
          </w:tcPr>
          <w:p>
            <w:pPr>
              <w:spacing w:after="60" w:before="60"/>
            </w:pPr>
            <w:r>
              <w:rPr>
                <w:rFonts w:ascii="Calibri" w:cs="Calibri" w:eastAsia="Calibri" w:hAnsi="Calibri"/>
                <w:sz w:val="20"/>
                <w:szCs w:val="20"/>
              </w:rPr>
              <w:t xml:space="preserve">How completion is determined: checklist_manual (Studio Admin or authorised user marks complete) / auto_from_pig (PIG query determines completion) / evidence_count (met when N evidence items exist)</w:t>
            </w:r>
          </w:p>
        </w:tc>
      </w:tr>
      <w:tr>
        <w:tc>
          <w:tcPr>
            <w:tcW w:type="dxa" w:w="2500"/>
            <w:shd w:fill="F1F8E9" w:color="auto" w:val="clear"/>
          </w:tcPr>
          <w:p>
            <w:pPr>
              <w:spacing w:after="60" w:before="60"/>
            </w:pPr>
            <w:r>
              <w:rPr>
                <w:rFonts w:ascii="Calibri" w:cs="Calibri" w:eastAsia="Calibri" w:hAnsi="Calibri"/>
                <w:sz w:val="20"/>
                <w:szCs w:val="20"/>
              </w:rPr>
              <w:t xml:space="preserve">PIG Query</w:t>
            </w:r>
          </w:p>
        </w:tc>
        <w:tc>
          <w:tcPr>
            <w:tcW w:type="dxa" w:w="1200"/>
            <w:shd w:fill="F1F8E9" w:color="auto" w:val="clear"/>
          </w:tcPr>
          <w:p>
            <w:pPr>
              <w:spacing w:after="60" w:before="60"/>
            </w:pPr>
            <w:r>
              <w:rPr>
                <w:rFonts w:ascii="Calibri" w:cs="Calibri" w:eastAsia="Calibri" w:hAnsi="Calibri"/>
                <w:sz w:val="20"/>
                <w:szCs w:val="20"/>
              </w:rPr>
              <w:t xml:space="preserve">JSON or SPARQL-like</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For auto_from_pig completion: the PIG traversal query that evaluates completion — e.g., 'all activities of type IFC_DRAWING where status = ISSUED'</w:t>
            </w:r>
          </w:p>
        </w:tc>
      </w:tr>
      <w:tr>
        <w:tc>
          <w:tcPr>
            <w:tcW w:type="dxa" w:w="2500"/>
            <w:shd w:fill="FFFFFF" w:color="auto" w:val="clear"/>
          </w:tcPr>
          <w:p>
            <w:pPr>
              <w:spacing w:after="60" w:before="60"/>
            </w:pPr>
            <w:r>
              <w:rPr>
                <w:rFonts w:ascii="Calibri" w:cs="Calibri" w:eastAsia="Calibri" w:hAnsi="Calibri"/>
                <w:sz w:val="20"/>
                <w:szCs w:val="20"/>
              </w:rPr>
              <w:t xml:space="preserve">Evidence Required</w:t>
            </w:r>
          </w:p>
        </w:tc>
        <w:tc>
          <w:tcPr>
            <w:tcW w:type="dxa" w:w="1200"/>
            <w:shd w:fill="FFFFFF" w:color="auto" w:val="clear"/>
          </w:tcPr>
          <w:p>
            <w:pPr>
              <w:spacing w:after="60" w:before="60"/>
            </w:pPr>
            <w:r>
              <w:rPr>
                <w:rFonts w:ascii="Calibri" w:cs="Calibri" w:eastAsia="Calibri" w:hAnsi="Calibri"/>
                <w:sz w:val="20"/>
                <w:szCs w:val="20"/>
              </w:rPr>
              <w:t xml:space="preserve">Multi-select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Evidence types required to certify this criterion — must be present in PIG as evidence_refs before criterion can be marked complete</w:t>
            </w:r>
          </w:p>
        </w:tc>
      </w:tr>
      <w:tr>
        <w:tc>
          <w:tcPr>
            <w:tcW w:type="dxa" w:w="2500"/>
            <w:shd w:fill="F1F8E9" w:color="auto" w:val="clear"/>
          </w:tcPr>
          <w:p>
            <w:pPr>
              <w:spacing w:after="60" w:before="60"/>
            </w:pPr>
            <w:r>
              <w:rPr>
                <w:rFonts w:ascii="Calibri" w:cs="Calibri" w:eastAsia="Calibri" w:hAnsi="Calibri"/>
                <w:sz w:val="20"/>
                <w:szCs w:val="20"/>
              </w:rPr>
              <w:t xml:space="preserve">Minimum Completion Pct</w:t>
            </w:r>
          </w:p>
        </w:tc>
        <w:tc>
          <w:tcPr>
            <w:tcW w:type="dxa" w:w="1200"/>
            <w:shd w:fill="F1F8E9" w:color="auto" w:val="clear"/>
          </w:tcPr>
          <w:p>
            <w:pPr>
              <w:spacing w:after="60" w:before="60"/>
            </w:pPr>
            <w:r>
              <w:rPr>
                <w:rFonts w:ascii="Calibri" w:cs="Calibri" w:eastAsia="Calibri" w:hAnsi="Calibri"/>
                <w:sz w:val="20"/>
                <w:szCs w:val="20"/>
              </w:rPr>
              <w:t xml:space="preserve">Numeric (0-100)</w:t>
            </w:r>
          </w:p>
        </w:tc>
        <w:tc>
          <w:tcPr>
            <w:tcW w:type="dxa" w:w="1560"/>
            <w:shd w:fill="F1F8E9" w:color="auto" w:val="clear"/>
          </w:tcPr>
          <w:p>
            <w:pPr>
              <w:spacing w:after="60" w:before="60"/>
            </w:pPr>
            <w:r>
              <w:rPr>
                <w:rFonts w:ascii="Calibri" w:cs="Calibri" w:eastAsia="Calibri" w:hAnsi="Calibri"/>
                <w:sz w:val="20"/>
                <w:szCs w:val="20"/>
              </w:rPr>
              <w:t xml:space="preserve">100</w:t>
            </w:r>
          </w:p>
        </w:tc>
        <w:tc>
          <w:tcPr>
            <w:tcW w:type="dxa" w:w="4100"/>
            <w:shd w:fill="F1F8E9" w:color="auto" w:val="clear"/>
          </w:tcPr>
          <w:p>
            <w:pPr>
              <w:spacing w:after="60" w:before="60"/>
            </w:pPr>
            <w:r>
              <w:rPr>
                <w:rFonts w:ascii="Calibri" w:cs="Calibri" w:eastAsia="Calibri" w:hAnsi="Calibri"/>
                <w:sz w:val="20"/>
                <w:szCs w:val="20"/>
              </w:rPr>
              <w:t xml:space="preserve">Minimum % complete across all instances of this criterion for the gate to be eligible to pass — defaults to 100 (all must be complete)</w:t>
            </w:r>
          </w:p>
        </w:tc>
      </w:tr>
      <w:tr>
        <w:tc>
          <w:tcPr>
            <w:tcW w:type="dxa" w:w="2500"/>
            <w:shd w:fill="FFFFFF" w:color="auto" w:val="clear"/>
          </w:tcPr>
          <w:p>
            <w:pPr>
              <w:spacing w:after="60" w:before="60"/>
            </w:pPr>
            <w:r>
              <w:rPr>
                <w:rFonts w:ascii="Calibri" w:cs="Calibri" w:eastAsia="Calibri" w:hAnsi="Calibri"/>
                <w:sz w:val="20"/>
                <w:szCs w:val="20"/>
              </w:rPr>
              <w:t xml:space="preserve">Responsible Role</w:t>
            </w:r>
          </w:p>
        </w:tc>
        <w:tc>
          <w:tcPr>
            <w:tcW w:type="dxa" w:w="1200"/>
            <w:shd w:fill="FFFFFF" w:color="auto" w:val="clear"/>
          </w:tcPr>
          <w:p>
            <w:pPr>
              <w:spacing w:after="60" w:before="60"/>
            </w:pPr>
            <w:r>
              <w:rPr>
                <w:rFonts w:ascii="Calibri" w:cs="Calibri" w:eastAsia="Calibri" w:hAnsi="Calibri"/>
                <w:sz w:val="20"/>
                <w:szCs w:val="20"/>
              </w:rPr>
              <w:t xml:space="preserve">Role reference</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Role responsible for certifying this criterion — shown in Engineering &amp; Readiness panel</w:t>
            </w:r>
          </w:p>
        </w:tc>
      </w:tr>
      <w:tr>
        <w:tc>
          <w:tcPr>
            <w:tcW w:type="dxa" w:w="2500"/>
            <w:shd w:fill="F1F8E9" w:color="auto" w:val="clear"/>
          </w:tcPr>
          <w:p>
            <w:pPr>
              <w:spacing w:after="60" w:before="60"/>
            </w:pPr>
            <w:r>
              <w:rPr>
                <w:rFonts w:ascii="Calibri" w:cs="Calibri" w:eastAsia="Calibri" w:hAnsi="Calibri"/>
                <w:sz w:val="20"/>
                <w:szCs w:val="20"/>
              </w:rPr>
              <w:t xml:space="preserve">Target Gate</w:t>
            </w:r>
          </w:p>
        </w:tc>
        <w:tc>
          <w:tcPr>
            <w:tcW w:type="dxa" w:w="1200"/>
            <w:shd w:fill="F1F8E9" w:color="auto" w:val="clear"/>
          </w:tcPr>
          <w:p>
            <w:pPr>
              <w:spacing w:after="60" w:before="60"/>
            </w:pPr>
            <w:r>
              <w:rPr>
                <w:rFonts w:ascii="Calibri" w:cs="Calibri" w:eastAsia="Calibri" w:hAnsi="Calibri"/>
                <w:sz w:val="20"/>
                <w:szCs w:val="20"/>
              </w:rPr>
              <w:t xml:space="preserve">Gate reference</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Reference to the Stage Gate (Builder 1) that this readiness criterion feeds into — links readiness monitoring to formal gate approval</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12 — Simulation Scenario Template Builder  (New in v5)</w:t>
      </w:r>
    </w:p>
    <w:p>
      <w:pPr>
        <w:spacing w:after="80" w:before="80"/>
        <w:jc w:val="left"/>
      </w:pPr>
      <w:r>
        <w:rPr>
          <w:rFonts w:ascii="Calibri" w:cs="Calibri" w:eastAsia="Calibri" w:hAnsi="Calibri"/>
          <w:b w:val="false"/>
          <w:bCs w:val="false"/>
          <w:color w:val="000000"/>
          <w:sz w:val="22"/>
          <w:szCs w:val="22"/>
        </w:rPr>
        <w:t xml:space="preserve">Purpose: The Simulation Scenario Template Builder configures standard what-if scenario templates for the Simulation Engine — one of the four new engines in Green PM v5. The Simulation Engine allows project teams to run 'what if' analyses against the live PIG: what if the main equipment vendor delays by 6 weeks? What if monsoon arrives 3 weeks early? What if additional crew is available? Rather than each simulation being built from scratch, scenario templates define the standard perturbation types, their default parameters, which entities are affected, and how the output is formatted. Project teams select a template, adjust the specific parameters for their scenario, and the Simulation Engine runs the forward projection over the PIG. Templates ensure consistency across simulations and enable comparison across scenarios over 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Template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Human-readable name for this simulation template (e.g., 'Vendor Delay Scenario', 'Monsoon Start Date Shift')</w:t>
            </w:r>
          </w:p>
        </w:tc>
      </w:tr>
      <w:tr>
        <w:tc>
          <w:tcPr>
            <w:tcW w:type="dxa" w:w="2500"/>
            <w:shd w:fill="F1F8E9" w:color="auto" w:val="clear"/>
          </w:tcPr>
          <w:p>
            <w:pPr>
              <w:spacing w:after="60" w:before="60"/>
            </w:pPr>
            <w:r>
              <w:rPr>
                <w:rFonts w:ascii="Calibri" w:cs="Calibri" w:eastAsia="Calibri" w:hAnsi="Calibri"/>
                <w:sz w:val="20"/>
                <w:szCs w:val="20"/>
              </w:rPr>
              <w:t xml:space="preserve">Scenario Type</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vendor_delay</w:t>
            </w:r>
          </w:p>
        </w:tc>
        <w:tc>
          <w:tcPr>
            <w:tcW w:type="dxa" w:w="4100"/>
            <w:shd w:fill="F1F8E9" w:color="auto" w:val="clear"/>
          </w:tcPr>
          <w:p>
            <w:pPr>
              <w:spacing w:after="60" w:before="60"/>
            </w:pPr>
            <w:r>
              <w:rPr>
                <w:rFonts w:ascii="Calibri" w:cs="Calibri" w:eastAsia="Calibri" w:hAnsi="Calibri"/>
                <w:sz w:val="20"/>
                <w:szCs w:val="20"/>
              </w:rPr>
              <w:t xml:space="preserve">Standard scenario types: vendor_delay / weather_event / scope_change / resource_change / drawing_delay / permit_delay / custom</w:t>
            </w:r>
          </w:p>
        </w:tc>
      </w:tr>
      <w:tr>
        <w:tc>
          <w:tcPr>
            <w:tcW w:type="dxa" w:w="2500"/>
            <w:shd w:fill="FFFFFF" w:color="auto" w:val="clear"/>
          </w:tcPr>
          <w:p>
            <w:pPr>
              <w:spacing w:after="60" w:before="60"/>
            </w:pPr>
            <w:r>
              <w:rPr>
                <w:rFonts w:ascii="Calibri" w:cs="Calibri" w:eastAsia="Calibri" w:hAnsi="Calibri"/>
                <w:sz w:val="20"/>
                <w:szCs w:val="20"/>
              </w:rPr>
              <w:t xml:space="preserve">Description</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Description of when to use this template and what it models</w:t>
            </w:r>
          </w:p>
        </w:tc>
      </w:tr>
      <w:tr>
        <w:tc>
          <w:tcPr>
            <w:tcW w:type="dxa" w:w="2500"/>
            <w:shd w:fill="F1F8E9" w:color="auto" w:val="clear"/>
          </w:tcPr>
          <w:p>
            <w:pPr>
              <w:spacing w:after="60" w:before="60"/>
            </w:pPr>
            <w:r>
              <w:rPr>
                <w:rFonts w:ascii="Calibri" w:cs="Calibri" w:eastAsia="Calibri" w:hAnsi="Calibri"/>
                <w:sz w:val="20"/>
                <w:szCs w:val="20"/>
              </w:rPr>
              <w:t xml:space="preserve">Default Duration Impact (days)</w:t>
            </w:r>
          </w:p>
        </w:tc>
        <w:tc>
          <w:tcPr>
            <w:tcW w:type="dxa" w:w="1200"/>
            <w:shd w:fill="F1F8E9" w:color="auto" w:val="clear"/>
          </w:tcPr>
          <w:p>
            <w:pPr>
              <w:spacing w:after="60" w:before="60"/>
            </w:pPr>
            <w:r>
              <w:rPr>
                <w:rFonts w:ascii="Calibri" w:cs="Calibri" w:eastAsia="Calibri" w:hAnsi="Calibri"/>
                <w:sz w:val="20"/>
                <w:szCs w:val="20"/>
              </w:rPr>
              <w:t xml:space="preserve">Integer</w:t>
            </w:r>
          </w:p>
        </w:tc>
        <w:tc>
          <w:tcPr>
            <w:tcW w:type="dxa" w:w="1560"/>
            <w:shd w:fill="F1F8E9" w:color="auto" w:val="clear"/>
          </w:tcPr>
          <w:p>
            <w:pPr>
              <w:spacing w:after="60" w:before="60"/>
            </w:pPr>
            <w:r>
              <w:rPr>
                <w:rFonts w:ascii="Calibri" w:cs="Calibri" w:eastAsia="Calibri" w:hAnsi="Calibri"/>
                <w:sz w:val="20"/>
                <w:szCs w:val="20"/>
              </w:rPr>
              <w:t xml:space="preserve">0</w:t>
            </w:r>
          </w:p>
        </w:tc>
        <w:tc>
          <w:tcPr>
            <w:tcW w:type="dxa" w:w="4100"/>
            <w:shd w:fill="F1F8E9" w:color="auto" w:val="clear"/>
          </w:tcPr>
          <w:p>
            <w:pPr>
              <w:spacing w:after="60" w:before="60"/>
            </w:pPr>
            <w:r>
              <w:rPr>
                <w:rFonts w:ascii="Calibri" w:cs="Calibri" w:eastAsia="Calibri" w:hAnsi="Calibri"/>
                <w:sz w:val="20"/>
                <w:szCs w:val="20"/>
              </w:rPr>
              <w:t xml:space="preserve">Default perturbation duration in days — the user overrides this for each run, but the template provides a starting value</w:t>
            </w:r>
          </w:p>
        </w:tc>
      </w:tr>
      <w:tr>
        <w:tc>
          <w:tcPr>
            <w:tcW w:type="dxa" w:w="2500"/>
            <w:shd w:fill="FFFFFF" w:color="auto" w:val="clear"/>
          </w:tcPr>
          <w:p>
            <w:pPr>
              <w:spacing w:after="60" w:before="60"/>
            </w:pPr>
            <w:r>
              <w:rPr>
                <w:rFonts w:ascii="Calibri" w:cs="Calibri" w:eastAsia="Calibri" w:hAnsi="Calibri"/>
                <w:sz w:val="20"/>
                <w:szCs w:val="20"/>
              </w:rPr>
              <w:t xml:space="preserve">Default Cost Impact (%)</w:t>
            </w:r>
          </w:p>
        </w:tc>
        <w:tc>
          <w:tcPr>
            <w:tcW w:type="dxa" w:w="1200"/>
            <w:shd w:fill="FFFFFF" w:color="auto" w:val="clear"/>
          </w:tcPr>
          <w:p>
            <w:pPr>
              <w:spacing w:after="60" w:before="60"/>
            </w:pPr>
            <w:r>
              <w:rPr>
                <w:rFonts w:ascii="Calibri" w:cs="Calibri" w:eastAsia="Calibri" w:hAnsi="Calibri"/>
                <w:sz w:val="20"/>
                <w:szCs w:val="20"/>
              </w:rPr>
              <w:t xml:space="preserve">Numeric</w:t>
            </w:r>
          </w:p>
        </w:tc>
        <w:tc>
          <w:tcPr>
            <w:tcW w:type="dxa" w:w="1560"/>
            <w:shd w:fill="FFFFFF" w:color="auto" w:val="clear"/>
          </w:tcPr>
          <w:p>
            <w:pPr>
              <w:spacing w:after="60" w:before="60"/>
            </w:pPr>
            <w:r>
              <w:rPr>
                <w:rFonts w:ascii="Calibri" w:cs="Calibri" w:eastAsia="Calibri" w:hAnsi="Calibri"/>
                <w:sz w:val="20"/>
                <w:szCs w:val="20"/>
              </w:rPr>
              <w:t xml:space="preserve">0</w:t>
            </w:r>
          </w:p>
        </w:tc>
        <w:tc>
          <w:tcPr>
            <w:tcW w:type="dxa" w:w="4100"/>
            <w:shd w:fill="FFFFFF" w:color="auto" w:val="clear"/>
          </w:tcPr>
          <w:p>
            <w:pPr>
              <w:spacing w:after="60" w:before="60"/>
            </w:pPr>
            <w:r>
              <w:rPr>
                <w:rFonts w:ascii="Calibri" w:cs="Calibri" w:eastAsia="Calibri" w:hAnsi="Calibri"/>
                <w:sz w:val="20"/>
                <w:szCs w:val="20"/>
              </w:rPr>
              <w:t xml:space="preserve">Default cost impact as a percentage of remaining budget — user-adjustable per run</w:t>
            </w:r>
          </w:p>
        </w:tc>
      </w:tr>
      <w:tr>
        <w:tc>
          <w:tcPr>
            <w:tcW w:type="dxa" w:w="2500"/>
            <w:shd w:fill="F1F8E9" w:color="auto" w:val="clear"/>
          </w:tcPr>
          <w:p>
            <w:pPr>
              <w:spacing w:after="60" w:before="60"/>
            </w:pPr>
            <w:r>
              <w:rPr>
                <w:rFonts w:ascii="Calibri" w:cs="Calibri" w:eastAsia="Calibri" w:hAnsi="Calibri"/>
                <w:sz w:val="20"/>
                <w:szCs w:val="20"/>
              </w:rPr>
              <w:t xml:space="preserve">Affected Entity Types</w:t>
            </w:r>
          </w:p>
        </w:tc>
        <w:tc>
          <w:tcPr>
            <w:tcW w:type="dxa" w:w="1200"/>
            <w:shd w:fill="F1F8E9" w:color="auto" w:val="clear"/>
          </w:tcPr>
          <w:p>
            <w:pPr>
              <w:spacing w:after="60" w:before="60"/>
            </w:pPr>
            <w:r>
              <w:rPr>
                <w:rFonts w:ascii="Calibri" w:cs="Calibri" w:eastAsia="Calibri" w:hAnsi="Calibri"/>
                <w:sz w:val="20"/>
                <w:szCs w:val="20"/>
              </w:rPr>
              <w:t xml:space="preserve">Multi-select</w:t>
            </w:r>
          </w:p>
        </w:tc>
        <w:tc>
          <w:tcPr>
            <w:tcW w:type="dxa" w:w="1560"/>
            <w:shd w:fill="F1F8E9" w:color="auto" w:val="clear"/>
          </w:tcPr>
          <w:p>
            <w:pPr>
              <w:spacing w:after="60" w:before="60"/>
            </w:pPr>
            <w:r>
              <w:rPr>
                <w:rFonts w:ascii="Calibri" w:cs="Calibri" w:eastAsia="Calibri" w:hAnsi="Calibri"/>
                <w:sz w:val="20"/>
                <w:szCs w:val="20"/>
              </w:rPr>
              <w:t xml:space="preserve">[Activity, Milestone]</w:t>
            </w:r>
          </w:p>
        </w:tc>
        <w:tc>
          <w:tcPr>
            <w:tcW w:type="dxa" w:w="4100"/>
            <w:shd w:fill="F1F8E9" w:color="auto" w:val="clear"/>
          </w:tcPr>
          <w:p>
            <w:pPr>
              <w:spacing w:after="60" w:before="60"/>
            </w:pPr>
            <w:r>
              <w:rPr>
                <w:rFonts w:ascii="Calibri" w:cs="Calibri" w:eastAsia="Calibri" w:hAnsi="Calibri"/>
                <w:sz w:val="20"/>
                <w:szCs w:val="20"/>
              </w:rPr>
              <w:t xml:space="preserve">Which entity types are affected by default — the simulation propagates from these types through the PIG</w:t>
            </w:r>
          </w:p>
        </w:tc>
      </w:tr>
      <w:tr>
        <w:tc>
          <w:tcPr>
            <w:tcW w:type="dxa" w:w="2500"/>
            <w:shd w:fill="FFFFFF" w:color="auto" w:val="clear"/>
          </w:tcPr>
          <w:p>
            <w:pPr>
              <w:spacing w:after="60" w:before="60"/>
            </w:pPr>
            <w:r>
              <w:rPr>
                <w:rFonts w:ascii="Calibri" w:cs="Calibri" w:eastAsia="Calibri" w:hAnsi="Calibri"/>
                <w:sz w:val="20"/>
                <w:szCs w:val="20"/>
              </w:rPr>
              <w:t xml:space="preserve">PIG Traversal Depth</w:t>
            </w:r>
          </w:p>
        </w:tc>
        <w:tc>
          <w:tcPr>
            <w:tcW w:type="dxa" w:w="1200"/>
            <w:shd w:fill="FFFFFF" w:color="auto" w:val="clear"/>
          </w:tcPr>
          <w:p>
            <w:pPr>
              <w:spacing w:after="60" w:before="60"/>
            </w:pPr>
            <w:r>
              <w:rPr>
                <w:rFonts w:ascii="Calibri" w:cs="Calibri" w:eastAsia="Calibri" w:hAnsi="Calibri"/>
                <w:sz w:val="20"/>
                <w:szCs w:val="20"/>
              </w:rPr>
              <w:t xml:space="preserve">Integer</w:t>
            </w:r>
          </w:p>
        </w:tc>
        <w:tc>
          <w:tcPr>
            <w:tcW w:type="dxa" w:w="1560"/>
            <w:shd w:fill="FFFFFF" w:color="auto" w:val="clear"/>
          </w:tcPr>
          <w:p>
            <w:pPr>
              <w:spacing w:after="60" w:before="60"/>
            </w:pPr>
            <w:r>
              <w:rPr>
                <w:rFonts w:ascii="Calibri" w:cs="Calibri" w:eastAsia="Calibri" w:hAnsi="Calibri"/>
                <w:sz w:val="20"/>
                <w:szCs w:val="20"/>
              </w:rPr>
              <w:t xml:space="preserve">5</w:t>
            </w:r>
          </w:p>
        </w:tc>
        <w:tc>
          <w:tcPr>
            <w:tcW w:type="dxa" w:w="4100"/>
            <w:shd w:fill="FFFFFF" w:color="auto" w:val="clear"/>
          </w:tcPr>
          <w:p>
            <w:pPr>
              <w:spacing w:after="60" w:before="60"/>
            </w:pPr>
            <w:r>
              <w:rPr>
                <w:rFonts w:ascii="Calibri" w:cs="Calibri" w:eastAsia="Calibri" w:hAnsi="Calibri"/>
                <w:sz w:val="20"/>
                <w:szCs w:val="20"/>
              </w:rPr>
              <w:t xml:space="preserve">How many PIG edge hops to follow when propagating the perturbation — higher depth = broader impact analysis, slower computation</w:t>
            </w:r>
          </w:p>
        </w:tc>
      </w:tr>
      <w:tr>
        <w:tc>
          <w:tcPr>
            <w:tcW w:type="dxa" w:w="2500"/>
            <w:shd w:fill="F1F8E9" w:color="auto" w:val="clear"/>
          </w:tcPr>
          <w:p>
            <w:pPr>
              <w:spacing w:after="60" w:before="60"/>
            </w:pPr>
            <w:r>
              <w:rPr>
                <w:rFonts w:ascii="Calibri" w:cs="Calibri" w:eastAsia="Calibri" w:hAnsi="Calibri"/>
                <w:sz w:val="20"/>
                <w:szCs w:val="20"/>
              </w:rPr>
              <w:t xml:space="preserve">Include Critical Path</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to always include critical path activities in the simulation scope, regardless of other entity filters</w:t>
            </w:r>
          </w:p>
        </w:tc>
      </w:tr>
      <w:tr>
        <w:tc>
          <w:tcPr>
            <w:tcW w:type="dxa" w:w="2500"/>
            <w:shd w:fill="FFFFFF" w:color="auto" w:val="clear"/>
          </w:tcPr>
          <w:p>
            <w:pPr>
              <w:spacing w:after="60" w:before="60"/>
            </w:pPr>
            <w:r>
              <w:rPr>
                <w:rFonts w:ascii="Calibri" w:cs="Calibri" w:eastAsia="Calibri" w:hAnsi="Calibri"/>
                <w:sz w:val="20"/>
                <w:szCs w:val="20"/>
              </w:rPr>
              <w:t xml:space="preserve">Output Format</w:t>
            </w:r>
          </w:p>
        </w:tc>
        <w:tc>
          <w:tcPr>
            <w:tcW w:type="dxa" w:w="1200"/>
            <w:shd w:fill="FFFFFF" w:color="auto" w:val="clear"/>
          </w:tcPr>
          <w:p>
            <w:pPr>
              <w:spacing w:after="60" w:before="60"/>
            </w:pPr>
            <w:r>
              <w:rPr>
                <w:rFonts w:ascii="Calibri" w:cs="Calibri" w:eastAsia="Calibri" w:hAnsi="Calibri"/>
                <w:sz w:val="20"/>
                <w:szCs w:val="20"/>
              </w:rPr>
              <w:t xml:space="preserve">Multi-select</w:t>
            </w:r>
          </w:p>
        </w:tc>
        <w:tc>
          <w:tcPr>
            <w:tcW w:type="dxa" w:w="1560"/>
            <w:shd w:fill="FFFFFF" w:color="auto" w:val="clear"/>
          </w:tcPr>
          <w:p>
            <w:pPr>
              <w:spacing w:after="60" w:before="60"/>
            </w:pPr>
            <w:r>
              <w:rPr>
                <w:rFonts w:ascii="Calibri" w:cs="Calibri" w:eastAsia="Calibri" w:hAnsi="Calibri"/>
                <w:sz w:val="20"/>
                <w:szCs w:val="20"/>
              </w:rPr>
              <w:t xml:space="preserve">[schedule_impact, cost_impact, critical_path_changes]</w:t>
            </w:r>
          </w:p>
        </w:tc>
        <w:tc>
          <w:tcPr>
            <w:tcW w:type="dxa" w:w="4100"/>
            <w:shd w:fill="FFFFFF" w:color="auto" w:val="clear"/>
          </w:tcPr>
          <w:p>
            <w:pPr>
              <w:spacing w:after="60" w:before="60"/>
            </w:pPr>
            <w:r>
              <w:rPr>
                <w:rFonts w:ascii="Calibri" w:cs="Calibri" w:eastAsia="Calibri" w:hAnsi="Calibri"/>
                <w:sz w:val="20"/>
                <w:szCs w:val="20"/>
              </w:rPr>
              <w:t xml:space="preserve">Which output types to include: schedule_impact / cost_impact / critical_path_changes / resource_impact / recommended_mitigations / cash_flow_revision</w:t>
            </w:r>
          </w:p>
        </w:tc>
      </w:tr>
      <w:tr>
        <w:tc>
          <w:tcPr>
            <w:tcW w:type="dxa" w:w="2500"/>
            <w:shd w:fill="F1F8E9" w:color="auto" w:val="clear"/>
          </w:tcPr>
          <w:p>
            <w:pPr>
              <w:spacing w:after="60" w:before="60"/>
            </w:pPr>
            <w:r>
              <w:rPr>
                <w:rFonts w:ascii="Calibri" w:cs="Calibri" w:eastAsia="Calibri" w:hAnsi="Calibri"/>
                <w:sz w:val="20"/>
                <w:szCs w:val="20"/>
              </w:rPr>
              <w:t xml:space="preserve">Recommended Mitigations</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the Simulation Engine should generate recommended mitigations (drawn from Organizational Memory Engine patterns) alongside the impact outputs</w:t>
            </w:r>
          </w:p>
        </w:tc>
      </w:tr>
      <w:tr>
        <w:tc>
          <w:tcPr>
            <w:tcW w:type="dxa" w:w="2500"/>
            <w:shd w:fill="FFFFFF" w:color="auto" w:val="clear"/>
          </w:tcPr>
          <w:p>
            <w:pPr>
              <w:spacing w:after="60" w:before="60"/>
            </w:pPr>
            <w:r>
              <w:rPr>
                <w:rFonts w:ascii="Calibri" w:cs="Calibri" w:eastAsia="Calibri" w:hAnsi="Calibri"/>
                <w:sz w:val="20"/>
                <w:szCs w:val="20"/>
              </w:rPr>
              <w:t xml:space="preserve">Comparison Enabled</w:t>
            </w:r>
          </w:p>
        </w:tc>
        <w:tc>
          <w:tcPr>
            <w:tcW w:type="dxa" w:w="1200"/>
            <w:shd w:fill="FFFFFF" w:color="auto" w:val="clear"/>
          </w:tcPr>
          <w:p>
            <w:pPr>
              <w:spacing w:after="60" w:before="60"/>
            </w:pPr>
            <w:r>
              <w:rPr>
                <w:rFonts w:ascii="Calibri" w:cs="Calibri" w:eastAsia="Calibri" w:hAnsi="Calibri"/>
                <w:sz w:val="20"/>
                <w:szCs w:val="20"/>
              </w:rPr>
              <w:t xml:space="preserve">Boolean</w:t>
            </w:r>
          </w:p>
        </w:tc>
        <w:tc>
          <w:tcPr>
            <w:tcW w:type="dxa" w:w="1560"/>
            <w:shd w:fill="FFFFFF" w:color="auto" w:val="clear"/>
          </w:tcPr>
          <w:p>
            <w:pPr>
              <w:spacing w:after="60" w:before="60"/>
            </w:pPr>
            <w:r>
              <w:rPr>
                <w:rFonts w:ascii="Calibri" w:cs="Calibri" w:eastAsia="Calibri" w:hAnsi="Calibri"/>
                <w:sz w:val="20"/>
                <w:szCs w:val="20"/>
              </w:rPr>
              <w:t xml:space="preserve">true</w:t>
            </w:r>
          </w:p>
        </w:tc>
        <w:tc>
          <w:tcPr>
            <w:tcW w:type="dxa" w:w="4100"/>
            <w:shd w:fill="FFFFFF" w:color="auto" w:val="clear"/>
          </w:tcPr>
          <w:p>
            <w:pPr>
              <w:spacing w:after="60" w:before="60"/>
            </w:pPr>
            <w:r>
              <w:rPr>
                <w:rFonts w:ascii="Calibri" w:cs="Calibri" w:eastAsia="Calibri" w:hAnsi="Calibri"/>
                <w:sz w:val="20"/>
                <w:szCs w:val="20"/>
              </w:rPr>
              <w:t xml:space="preserve">Whether this scenario type supports side-by-side comparison with other scenarios of the same type</w:t>
            </w:r>
          </w:p>
        </w:tc>
      </w:tr>
      <w:tr>
        <w:tc>
          <w:tcPr>
            <w:tcW w:type="dxa" w:w="2500"/>
            <w:shd w:fill="F1F8E9" w:color="auto" w:val="clear"/>
          </w:tcPr>
          <w:p>
            <w:pPr>
              <w:spacing w:after="60" w:before="60"/>
            </w:pPr>
            <w:r>
              <w:rPr>
                <w:rFonts w:ascii="Calibri" w:cs="Calibri" w:eastAsia="Calibri" w:hAnsi="Calibri"/>
                <w:sz w:val="20"/>
                <w:szCs w:val="20"/>
              </w:rPr>
              <w:t xml:space="preserve">Baseline Snapshot</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current_pig</w:t>
            </w:r>
          </w:p>
        </w:tc>
        <w:tc>
          <w:tcPr>
            <w:tcW w:type="dxa" w:w="4100"/>
            <w:shd w:fill="F1F8E9" w:color="auto" w:val="clear"/>
          </w:tcPr>
          <w:p>
            <w:pPr>
              <w:spacing w:after="60" w:before="60"/>
            </w:pPr>
            <w:r>
              <w:rPr>
                <w:rFonts w:ascii="Calibri" w:cs="Calibri" w:eastAsia="Calibri" w:hAnsi="Calibri"/>
                <w:sz w:val="20"/>
                <w:szCs w:val="20"/>
              </w:rPr>
              <w:t xml:space="preserve">Which baseline to run the simulation against: current_pig (current project state) / approved_baseline (last approved schedule baseline) / custom_snapshot</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13 — Role &amp; Permission Builder</w:t>
      </w:r>
    </w:p>
    <w:p>
      <w:pPr>
        <w:spacing w:after="80" w:before="80"/>
        <w:jc w:val="left"/>
      </w:pPr>
      <w:r>
        <w:rPr>
          <w:rFonts w:ascii="Calibri" w:cs="Calibri" w:eastAsia="Calibri" w:hAnsi="Calibri"/>
          <w:b w:val="false"/>
          <w:bCs w:val="false"/>
          <w:color w:val="000000"/>
          <w:sz w:val="22"/>
          <w:szCs w:val="22"/>
        </w:rPr>
        <w:t xml:space="preserve">Purpose: The Role &amp; Permission Builder configures the roles that exist in a project and the permissions each role carries. Green PM's security model is purely role-based — no individual user is named in any permission configuration. Users are assigned to roles, and roles carry permissions. This builder defines each role: its name, its permissions over entity types (create, read, update, delete), its approval authority (which approval chains it can participate in), its access to Green PM Studio, which PCC panels it can see, which features are enabled, and whether its data scope is all project data or only its own assigned activities. Role configurations are exportable and reusable across projects within the same tenant.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Role Name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Human-readable name for this role (e.g., 'Project Director', 'QA/QC Manager', 'Vendor Portal User')</w:t>
            </w:r>
          </w:p>
        </w:tc>
      </w:tr>
      <w:tr>
        <w:tc>
          <w:tcPr>
            <w:tcW w:type="dxa" w:w="2500"/>
            <w:shd w:fill="F1F8E9" w:color="auto" w:val="clear"/>
          </w:tcPr>
          <w:p>
            <w:pPr>
              <w:spacing w:after="60" w:before="60"/>
            </w:pPr>
            <w:r>
              <w:rPr>
                <w:rFonts w:ascii="Calibri" w:cs="Calibri" w:eastAsia="Calibri" w:hAnsi="Calibri"/>
                <w:sz w:val="20"/>
                <w:szCs w:val="20"/>
              </w:rPr>
              <w:t xml:space="preserve">Entity Permissions</w:t>
            </w:r>
          </w:p>
        </w:tc>
        <w:tc>
          <w:tcPr>
            <w:tcW w:type="dxa" w:w="1200"/>
            <w:shd w:fill="F1F8E9" w:color="auto" w:val="clear"/>
          </w:tcPr>
          <w:p>
            <w:pPr>
              <w:spacing w:after="60" w:before="60"/>
            </w:pPr>
            <w:r>
              <w:rPr>
                <w:rFonts w:ascii="Calibri" w:cs="Calibri" w:eastAsia="Calibri" w:hAnsi="Calibri"/>
                <w:sz w:val="20"/>
                <w:szCs w:val="20"/>
              </w:rPr>
              <w:t xml:space="preserve">JSON map</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CRUD permissions per entity type — e.g., { Activity: [read, update], Change: [read, create], Decision: [read, create, update] }</w:t>
            </w:r>
          </w:p>
        </w:tc>
      </w:tr>
      <w:tr>
        <w:tc>
          <w:tcPr>
            <w:tcW w:type="dxa" w:w="2500"/>
            <w:shd w:fill="FFFFFF" w:color="auto" w:val="clear"/>
          </w:tcPr>
          <w:p>
            <w:pPr>
              <w:spacing w:after="60" w:before="60"/>
            </w:pPr>
            <w:r>
              <w:rPr>
                <w:rFonts w:ascii="Calibri" w:cs="Calibri" w:eastAsia="Calibri" w:hAnsi="Calibri"/>
                <w:sz w:val="20"/>
                <w:szCs w:val="20"/>
              </w:rPr>
              <w:t xml:space="preserve">Approval Authority</w:t>
            </w:r>
          </w:p>
        </w:tc>
        <w:tc>
          <w:tcPr>
            <w:tcW w:type="dxa" w:w="1200"/>
            <w:shd w:fill="FFFFFF" w:color="auto" w:val="clear"/>
          </w:tcPr>
          <w:p>
            <w:pPr>
              <w:spacing w:after="60" w:before="60"/>
            </w:pPr>
            <w:r>
              <w:rPr>
                <w:rFonts w:ascii="Calibri" w:cs="Calibri" w:eastAsia="Calibri" w:hAnsi="Calibri"/>
                <w:sz w:val="20"/>
                <w:szCs w:val="20"/>
              </w:rPr>
              <w:t xml:space="preserve">Enum list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Which approval chain roles this role can fulfil — maps to Approval Chain Builder role references</w:t>
            </w:r>
          </w:p>
        </w:tc>
      </w:tr>
      <w:tr>
        <w:tc>
          <w:tcPr>
            <w:tcW w:type="dxa" w:w="2500"/>
            <w:shd w:fill="F1F8E9" w:color="auto" w:val="clear"/>
          </w:tcPr>
          <w:p>
            <w:pPr>
              <w:spacing w:after="60" w:before="60"/>
            </w:pPr>
            <w:r>
              <w:rPr>
                <w:rFonts w:ascii="Calibri" w:cs="Calibri" w:eastAsia="Calibri" w:hAnsi="Calibri"/>
                <w:sz w:val="20"/>
                <w:szCs w:val="20"/>
              </w:rPr>
              <w:t xml:space="preserve">Studio Access</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false</w:t>
            </w:r>
          </w:p>
        </w:tc>
        <w:tc>
          <w:tcPr>
            <w:tcW w:type="dxa" w:w="4100"/>
            <w:shd w:fill="F1F8E9" w:color="auto" w:val="clear"/>
          </w:tcPr>
          <w:p>
            <w:pPr>
              <w:spacing w:after="60" w:before="60"/>
            </w:pPr>
            <w:r>
              <w:rPr>
                <w:rFonts w:ascii="Calibri" w:cs="Calibri" w:eastAsia="Calibri" w:hAnsi="Calibri"/>
                <w:sz w:val="20"/>
                <w:szCs w:val="20"/>
              </w:rPr>
              <w:t xml:space="preserve">Whether this role can access Green PM Studio — Studio Admin role is configured separately; this flag grants read-only Studio access</w:t>
            </w:r>
          </w:p>
        </w:tc>
      </w:tr>
      <w:tr>
        <w:tc>
          <w:tcPr>
            <w:tcW w:type="dxa" w:w="2500"/>
            <w:shd w:fill="FFFFFF" w:color="auto" w:val="clear"/>
          </w:tcPr>
          <w:p>
            <w:pPr>
              <w:spacing w:after="60" w:before="60"/>
            </w:pPr>
            <w:r>
              <w:rPr>
                <w:rFonts w:ascii="Calibri" w:cs="Calibri" w:eastAsia="Calibri" w:hAnsi="Calibri"/>
                <w:sz w:val="20"/>
                <w:szCs w:val="20"/>
              </w:rPr>
              <w:t xml:space="preserve">PCC Panels Visible</w:t>
            </w:r>
          </w:p>
        </w:tc>
        <w:tc>
          <w:tcPr>
            <w:tcW w:type="dxa" w:w="1200"/>
            <w:shd w:fill="FFFFFF" w:color="auto" w:val="clear"/>
          </w:tcPr>
          <w:p>
            <w:pPr>
              <w:spacing w:after="60" w:before="60"/>
            </w:pPr>
            <w:r>
              <w:rPr>
                <w:rFonts w:ascii="Calibri" w:cs="Calibri" w:eastAsia="Calibri" w:hAnsi="Calibri"/>
                <w:sz w:val="20"/>
                <w:szCs w:val="20"/>
              </w:rPr>
              <w:t xml:space="preserve">Integer array</w:t>
            </w:r>
          </w:p>
        </w:tc>
        <w:tc>
          <w:tcPr>
            <w:tcW w:type="dxa" w:w="1560"/>
            <w:shd w:fill="FFFFFF" w:color="auto" w:val="clear"/>
          </w:tcPr>
          <w:p>
            <w:pPr>
              <w:spacing w:after="60" w:before="60"/>
            </w:pPr>
            <w:r>
              <w:rPr>
                <w:rFonts w:ascii="Calibri" w:cs="Calibri" w:eastAsia="Calibri" w:hAnsi="Calibri"/>
                <w:sz w:val="20"/>
                <w:szCs w:val="20"/>
              </w:rPr>
              <w:t xml:space="preserve">[1,2,3,4,5,6,7,8]</w:t>
            </w:r>
          </w:p>
        </w:tc>
        <w:tc>
          <w:tcPr>
            <w:tcW w:type="dxa" w:w="4100"/>
            <w:shd w:fill="FFFFFF" w:color="auto" w:val="clear"/>
          </w:tcPr>
          <w:p>
            <w:pPr>
              <w:spacing w:after="60" w:before="60"/>
            </w:pPr>
            <w:r>
              <w:rPr>
                <w:rFonts w:ascii="Calibri" w:cs="Calibri" w:eastAsia="Calibri" w:hAnsi="Calibri"/>
                <w:sz w:val="20"/>
                <w:szCs w:val="20"/>
              </w:rPr>
              <w:t xml:space="preserve">Which of the 8 PCC panels are visible to this role — controls both navigation and Firestore subscription access</w:t>
            </w:r>
          </w:p>
        </w:tc>
      </w:tr>
      <w:tr>
        <w:tc>
          <w:tcPr>
            <w:tcW w:type="dxa" w:w="2500"/>
            <w:shd w:fill="F1F8E9" w:color="auto" w:val="clear"/>
          </w:tcPr>
          <w:p>
            <w:pPr>
              <w:spacing w:after="60" w:before="60"/>
            </w:pPr>
            <w:r>
              <w:rPr>
                <w:rFonts w:ascii="Calibri" w:cs="Calibri" w:eastAsia="Calibri" w:hAnsi="Calibri"/>
                <w:sz w:val="20"/>
                <w:szCs w:val="20"/>
              </w:rPr>
              <w:t xml:space="preserve">Features Enabled</w:t>
            </w:r>
          </w:p>
        </w:tc>
        <w:tc>
          <w:tcPr>
            <w:tcW w:type="dxa" w:w="1200"/>
            <w:shd w:fill="F1F8E9" w:color="auto" w:val="clear"/>
          </w:tcPr>
          <w:p>
            <w:pPr>
              <w:spacing w:after="60" w:before="60"/>
            </w:pPr>
            <w:r>
              <w:rPr>
                <w:rFonts w:ascii="Calibri" w:cs="Calibri" w:eastAsia="Calibri" w:hAnsi="Calibri"/>
                <w:sz w:val="20"/>
                <w:szCs w:val="20"/>
              </w:rPr>
              <w:t xml:space="preserve">Multi-select</w:t>
            </w:r>
          </w:p>
        </w:tc>
        <w:tc>
          <w:tcPr>
            <w:tcW w:type="dxa" w:w="1560"/>
            <w:shd w:fill="F1F8E9" w:color="auto" w:val="clear"/>
          </w:tcPr>
          <w:p>
            <w:pPr>
              <w:spacing w:after="60" w:before="60"/>
            </w:pPr>
            <w:r>
              <w:rPr>
                <w:rFonts w:ascii="Calibri" w:cs="Calibri" w:eastAsia="Calibri" w:hAnsi="Calibri"/>
                <w:sz w:val="20"/>
                <w:szCs w:val="20"/>
              </w:rPr>
              <w:t xml:space="preserve">[all]</w:t>
            </w:r>
          </w:p>
        </w:tc>
        <w:tc>
          <w:tcPr>
            <w:tcW w:type="dxa" w:w="4100"/>
            <w:shd w:fill="F1F8E9" w:color="auto" w:val="clear"/>
          </w:tcPr>
          <w:p>
            <w:pPr>
              <w:spacing w:after="60" w:before="60"/>
            </w:pPr>
            <w:r>
              <w:rPr>
                <w:rFonts w:ascii="Calibri" w:cs="Calibri" w:eastAsia="Calibri" w:hAnsi="Calibri"/>
                <w:sz w:val="20"/>
                <w:szCs w:val="20"/>
              </w:rPr>
              <w:t xml:space="preserve">Feature flags enabled for this role: evidence_capture / simulation / report_generation / export / api_access / vendor_portal / copilot</w:t>
            </w:r>
          </w:p>
        </w:tc>
      </w:tr>
      <w:tr>
        <w:tc>
          <w:tcPr>
            <w:tcW w:type="dxa" w:w="2500"/>
            <w:shd w:fill="FFFFFF" w:color="auto" w:val="clear"/>
          </w:tcPr>
          <w:p>
            <w:pPr>
              <w:spacing w:after="60" w:before="60"/>
            </w:pPr>
            <w:r>
              <w:rPr>
                <w:rFonts w:ascii="Calibri" w:cs="Calibri" w:eastAsia="Calibri" w:hAnsi="Calibri"/>
                <w:sz w:val="20"/>
                <w:szCs w:val="20"/>
              </w:rPr>
              <w:t xml:space="preserve">Data Scope</w:t>
            </w:r>
          </w:p>
        </w:tc>
        <w:tc>
          <w:tcPr>
            <w:tcW w:type="dxa" w:w="1200"/>
            <w:shd w:fill="FFFFFF" w:color="auto" w:val="clear"/>
          </w:tcPr>
          <w:p>
            <w:pPr>
              <w:spacing w:after="60" w:before="60"/>
            </w:pPr>
            <w:r>
              <w:rPr>
                <w:rFonts w:ascii="Calibri" w:cs="Calibri" w:eastAsia="Calibri" w:hAnsi="Calibri"/>
                <w:sz w:val="20"/>
                <w:szCs w:val="20"/>
              </w:rPr>
              <w:t xml:space="preserve">Enum</w:t>
            </w:r>
          </w:p>
        </w:tc>
        <w:tc>
          <w:tcPr>
            <w:tcW w:type="dxa" w:w="1560"/>
            <w:shd w:fill="FFFFFF" w:color="auto" w:val="clear"/>
          </w:tcPr>
          <w:p>
            <w:pPr>
              <w:spacing w:after="60" w:before="60"/>
            </w:pPr>
            <w:r>
              <w:rPr>
                <w:rFonts w:ascii="Calibri" w:cs="Calibri" w:eastAsia="Calibri" w:hAnsi="Calibri"/>
                <w:sz w:val="20"/>
                <w:szCs w:val="20"/>
              </w:rPr>
              <w:t xml:space="preserve">all_activities</w:t>
            </w:r>
          </w:p>
        </w:tc>
        <w:tc>
          <w:tcPr>
            <w:tcW w:type="dxa" w:w="4100"/>
            <w:shd w:fill="FFFFFF" w:color="auto" w:val="clear"/>
          </w:tcPr>
          <w:p>
            <w:pPr>
              <w:spacing w:after="60" w:before="60"/>
            </w:pPr>
            <w:r>
              <w:rPr>
                <w:rFonts w:ascii="Calibri" w:cs="Calibri" w:eastAsia="Calibri" w:hAnsi="Calibri"/>
                <w:sz w:val="20"/>
                <w:szCs w:val="20"/>
              </w:rPr>
              <w:t xml:space="preserve">all_activities: user can see all project activities; assigned_activities: user can only see activities explicitly assigned to them</w:t>
            </w:r>
          </w:p>
        </w:tc>
      </w:tr>
      <w:tr>
        <w:tc>
          <w:tcPr>
            <w:tcW w:type="dxa" w:w="2500"/>
            <w:shd w:fill="F1F8E9" w:color="auto" w:val="clear"/>
          </w:tcPr>
          <w:p>
            <w:pPr>
              <w:spacing w:after="60" w:before="60"/>
            </w:pPr>
            <w:r>
              <w:rPr>
                <w:rFonts w:ascii="Calibri" w:cs="Calibri" w:eastAsia="Calibri" w:hAnsi="Calibri"/>
                <w:sz w:val="20"/>
                <w:szCs w:val="20"/>
              </w:rPr>
              <w:t xml:space="preserve">Can Raise Risks</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this role can raise new risk records</w:t>
            </w:r>
          </w:p>
        </w:tc>
      </w:tr>
      <w:tr>
        <w:tc>
          <w:tcPr>
            <w:tcW w:type="dxa" w:w="2500"/>
            <w:shd w:fill="FFFFFF" w:color="auto" w:val="clear"/>
          </w:tcPr>
          <w:p>
            <w:pPr>
              <w:spacing w:after="60" w:before="60"/>
            </w:pPr>
            <w:r>
              <w:rPr>
                <w:rFonts w:ascii="Calibri" w:cs="Calibri" w:eastAsia="Calibri" w:hAnsi="Calibri"/>
                <w:sz w:val="20"/>
                <w:szCs w:val="20"/>
              </w:rPr>
              <w:t xml:space="preserve">Can Raise Changes</w:t>
            </w:r>
          </w:p>
        </w:tc>
        <w:tc>
          <w:tcPr>
            <w:tcW w:type="dxa" w:w="1200"/>
            <w:shd w:fill="FFFFFF" w:color="auto" w:val="clear"/>
          </w:tcPr>
          <w:p>
            <w:pPr>
              <w:spacing w:after="60" w:before="60"/>
            </w:pPr>
            <w:r>
              <w:rPr>
                <w:rFonts w:ascii="Calibri" w:cs="Calibri" w:eastAsia="Calibri" w:hAnsi="Calibri"/>
                <w:sz w:val="20"/>
                <w:szCs w:val="20"/>
              </w:rPr>
              <w:t xml:space="preserve">Boolean</w:t>
            </w:r>
          </w:p>
        </w:tc>
        <w:tc>
          <w:tcPr>
            <w:tcW w:type="dxa" w:w="1560"/>
            <w:shd w:fill="FFFFFF" w:color="auto" w:val="clear"/>
          </w:tcPr>
          <w:p>
            <w:pPr>
              <w:spacing w:after="60" w:before="60"/>
            </w:pPr>
            <w:r>
              <w:rPr>
                <w:rFonts w:ascii="Calibri" w:cs="Calibri" w:eastAsia="Calibri" w:hAnsi="Calibri"/>
                <w:sz w:val="20"/>
                <w:szCs w:val="20"/>
              </w:rPr>
              <w:t xml:space="preserve">false</w:t>
            </w:r>
          </w:p>
        </w:tc>
        <w:tc>
          <w:tcPr>
            <w:tcW w:type="dxa" w:w="4100"/>
            <w:shd w:fill="FFFFFF" w:color="auto" w:val="clear"/>
          </w:tcPr>
          <w:p>
            <w:pPr>
              <w:spacing w:after="60" w:before="60"/>
            </w:pPr>
            <w:r>
              <w:rPr>
                <w:rFonts w:ascii="Calibri" w:cs="Calibri" w:eastAsia="Calibri" w:hAnsi="Calibri"/>
                <w:sz w:val="20"/>
                <w:szCs w:val="20"/>
              </w:rPr>
              <w:t xml:space="preserve">Whether this role can raise new change records</w:t>
            </w:r>
          </w:p>
        </w:tc>
      </w:tr>
      <w:tr>
        <w:tc>
          <w:tcPr>
            <w:tcW w:type="dxa" w:w="2500"/>
            <w:shd w:fill="F1F8E9" w:color="auto" w:val="clear"/>
          </w:tcPr>
          <w:p>
            <w:pPr>
              <w:spacing w:after="60" w:before="60"/>
            </w:pPr>
            <w:r>
              <w:rPr>
                <w:rFonts w:ascii="Calibri" w:cs="Calibri" w:eastAsia="Calibri" w:hAnsi="Calibri"/>
                <w:sz w:val="20"/>
                <w:szCs w:val="20"/>
              </w:rPr>
              <w:t xml:space="preserve">Can Approve Decisions</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false</w:t>
            </w:r>
          </w:p>
        </w:tc>
        <w:tc>
          <w:tcPr>
            <w:tcW w:type="dxa" w:w="4100"/>
            <w:shd w:fill="F1F8E9" w:color="auto" w:val="clear"/>
          </w:tcPr>
          <w:p>
            <w:pPr>
              <w:spacing w:after="60" w:before="60"/>
            </w:pPr>
            <w:r>
              <w:rPr>
                <w:rFonts w:ascii="Calibri" w:cs="Calibri" w:eastAsia="Calibri" w:hAnsi="Calibri"/>
                <w:sz w:val="20"/>
                <w:szCs w:val="20"/>
              </w:rPr>
              <w:t xml:space="preserve">Whether this role participates in decision approval workflows</w:t>
            </w:r>
          </w:p>
        </w:tc>
      </w:tr>
      <w:tr>
        <w:tc>
          <w:tcPr>
            <w:tcW w:type="dxa" w:w="2500"/>
            <w:shd w:fill="FFFFFF" w:color="auto" w:val="clear"/>
          </w:tcPr>
          <w:p>
            <w:pPr>
              <w:spacing w:after="60" w:before="60"/>
            </w:pPr>
            <w:r>
              <w:rPr>
                <w:rFonts w:ascii="Calibri" w:cs="Calibri" w:eastAsia="Calibri" w:hAnsi="Calibri"/>
                <w:sz w:val="20"/>
                <w:szCs w:val="20"/>
              </w:rPr>
              <w:t xml:space="preserve">Evidence Capture Enabled</w:t>
            </w:r>
          </w:p>
        </w:tc>
        <w:tc>
          <w:tcPr>
            <w:tcW w:type="dxa" w:w="1200"/>
            <w:shd w:fill="FFFFFF" w:color="auto" w:val="clear"/>
          </w:tcPr>
          <w:p>
            <w:pPr>
              <w:spacing w:after="60" w:before="60"/>
            </w:pPr>
            <w:r>
              <w:rPr>
                <w:rFonts w:ascii="Calibri" w:cs="Calibri" w:eastAsia="Calibri" w:hAnsi="Calibri"/>
                <w:sz w:val="20"/>
                <w:szCs w:val="20"/>
              </w:rPr>
              <w:t xml:space="preserve">Boolean</w:t>
            </w:r>
          </w:p>
        </w:tc>
        <w:tc>
          <w:tcPr>
            <w:tcW w:type="dxa" w:w="1560"/>
            <w:shd w:fill="FFFFFF" w:color="auto" w:val="clear"/>
          </w:tcPr>
          <w:p>
            <w:pPr>
              <w:spacing w:after="60" w:before="60"/>
            </w:pPr>
            <w:r>
              <w:rPr>
                <w:rFonts w:ascii="Calibri" w:cs="Calibri" w:eastAsia="Calibri" w:hAnsi="Calibri"/>
                <w:sz w:val="20"/>
                <w:szCs w:val="20"/>
              </w:rPr>
              <w:t xml:space="preserve">true</w:t>
            </w:r>
          </w:p>
        </w:tc>
        <w:tc>
          <w:tcPr>
            <w:tcW w:type="dxa" w:w="4100"/>
            <w:shd w:fill="FFFFFF" w:color="auto" w:val="clear"/>
          </w:tcPr>
          <w:p>
            <w:pPr>
              <w:spacing w:after="60" w:before="60"/>
            </w:pPr>
            <w:r>
              <w:rPr>
                <w:rFonts w:ascii="Calibri" w:cs="Calibri" w:eastAsia="Calibri" w:hAnsi="Calibri"/>
                <w:sz w:val="20"/>
                <w:szCs w:val="20"/>
              </w:rPr>
              <w:t xml:space="preserve">Whether this role can capture and upload evidence items</w:t>
            </w:r>
          </w:p>
        </w:tc>
      </w:tr>
      <w:tr>
        <w:tc>
          <w:tcPr>
            <w:tcW w:type="dxa" w:w="2500"/>
            <w:shd w:fill="F1F8E9" w:color="auto" w:val="clear"/>
          </w:tcPr>
          <w:p>
            <w:pPr>
              <w:spacing w:after="60" w:before="60"/>
            </w:pPr>
            <w:r>
              <w:rPr>
                <w:rFonts w:ascii="Calibri" w:cs="Calibri" w:eastAsia="Calibri" w:hAnsi="Calibri"/>
                <w:sz w:val="20"/>
                <w:szCs w:val="20"/>
              </w:rPr>
              <w:t xml:space="preserve">Read-Only Override</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false</w:t>
            </w:r>
          </w:p>
        </w:tc>
        <w:tc>
          <w:tcPr>
            <w:tcW w:type="dxa" w:w="4100"/>
            <w:shd w:fill="F1F8E9" w:color="auto" w:val="clear"/>
          </w:tcPr>
          <w:p>
            <w:pPr>
              <w:spacing w:after="60" w:before="60"/>
            </w:pPr>
            <w:r>
              <w:rPr>
                <w:rFonts w:ascii="Calibri" w:cs="Calibri" w:eastAsia="Calibri" w:hAnsi="Calibri"/>
                <w:sz w:val="20"/>
                <w:szCs w:val="20"/>
              </w:rPr>
              <w:t xml:space="preserve">If true, this role has zero write access regardless of other permission settings — useful for Auditor and Viewer roles</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14 — Vendor Scoring Weight Builder</w:t>
      </w:r>
    </w:p>
    <w:p>
      <w:pPr>
        <w:spacing w:after="80" w:before="80"/>
        <w:jc w:val="left"/>
      </w:pPr>
      <w:r>
        <w:rPr>
          <w:rFonts w:ascii="Calibri" w:cs="Calibri" w:eastAsia="Calibri" w:hAnsi="Calibri"/>
          <w:b w:val="false"/>
          <w:bCs w:val="false"/>
          <w:color w:val="000000"/>
          <w:sz w:val="22"/>
          <w:szCs w:val="22"/>
        </w:rPr>
        <w:t xml:space="preserve">Purpose: The Vendor Scoring Weight Builder configures the weights applied to each of the 6 dimensions of the Vendor Intelligence Engine's composite scoring model. Green PM scores every vendor across 6 dimensions: quality, delivery, responsiveness, documentation, commercial, and relationship. The relative importance of these dimensions varies by project type, client philosophy, and contract structure — for a fast-track construction project, delivery weight may be paramount; for a safety-critical facility, quality and documentation weights may dominate. The Vendor Scoring Weight Builder lets Studio Admins tune these weights to reflect the project's actual priorities, set minimum acceptable scores per dimension, and configure remediation trigger thresholds that automatically alert the procurement team when a vendor's performance in any dimension falls to a level requiring formal intervention.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Quality Weight (%)</w:t>
            </w:r>
          </w:p>
        </w:tc>
        <w:tc>
          <w:tcPr>
            <w:tcW w:type="dxa" w:w="1200"/>
            <w:shd w:fill="FFFFFF" w:color="auto" w:val="clear"/>
          </w:tcPr>
          <w:p>
            <w:pPr>
              <w:spacing w:after="60" w:before="60"/>
            </w:pPr>
            <w:r>
              <w:rPr>
                <w:rFonts w:ascii="Calibri" w:cs="Calibri" w:eastAsia="Calibri" w:hAnsi="Calibri"/>
                <w:sz w:val="20"/>
                <w:szCs w:val="20"/>
              </w:rPr>
              <w:t xml:space="preserve">Numeric (0-100)</w:t>
            </w:r>
          </w:p>
        </w:tc>
        <w:tc>
          <w:tcPr>
            <w:tcW w:type="dxa" w:w="1560"/>
            <w:shd w:fill="FFFFFF" w:color="auto" w:val="clear"/>
          </w:tcPr>
          <w:p>
            <w:pPr>
              <w:spacing w:after="60" w:before="60"/>
            </w:pPr>
            <w:r>
              <w:rPr>
                <w:rFonts w:ascii="Calibri" w:cs="Calibri" w:eastAsia="Calibri" w:hAnsi="Calibri"/>
                <w:sz w:val="20"/>
                <w:szCs w:val="20"/>
              </w:rPr>
              <w:t xml:space="preserve">20</w:t>
            </w:r>
          </w:p>
        </w:tc>
        <w:tc>
          <w:tcPr>
            <w:tcW w:type="dxa" w:w="4100"/>
            <w:shd w:fill="FFFFFF" w:color="auto" w:val="clear"/>
          </w:tcPr>
          <w:p>
            <w:pPr>
              <w:spacing w:after="60" w:before="60"/>
            </w:pPr>
            <w:r>
              <w:rPr>
                <w:rFonts w:ascii="Calibri" w:cs="Calibri" w:eastAsia="Calibri" w:hAnsi="Calibri"/>
                <w:sz w:val="20"/>
                <w:szCs w:val="20"/>
              </w:rPr>
              <w:t xml:space="preserve">Weight of the quality dimension in the composite vendor score — quality measures NCR rate, defect rate, rework frequency, and inspection failure rate</w:t>
            </w:r>
          </w:p>
        </w:tc>
      </w:tr>
      <w:tr>
        <w:tc>
          <w:tcPr>
            <w:tcW w:type="dxa" w:w="2500"/>
            <w:shd w:fill="F1F8E9" w:color="auto" w:val="clear"/>
          </w:tcPr>
          <w:p>
            <w:pPr>
              <w:spacing w:after="60" w:before="60"/>
            </w:pPr>
            <w:r>
              <w:rPr>
                <w:rFonts w:ascii="Calibri" w:cs="Calibri" w:eastAsia="Calibri" w:hAnsi="Calibri"/>
                <w:sz w:val="20"/>
                <w:szCs w:val="20"/>
              </w:rPr>
              <w:t xml:space="preserve">Delivery Weight (%)</w:t>
            </w:r>
          </w:p>
        </w:tc>
        <w:tc>
          <w:tcPr>
            <w:tcW w:type="dxa" w:w="1200"/>
            <w:shd w:fill="F1F8E9" w:color="auto" w:val="clear"/>
          </w:tcPr>
          <w:p>
            <w:pPr>
              <w:spacing w:after="60" w:before="60"/>
            </w:pPr>
            <w:r>
              <w:rPr>
                <w:rFonts w:ascii="Calibri" w:cs="Calibri" w:eastAsia="Calibri" w:hAnsi="Calibri"/>
                <w:sz w:val="20"/>
                <w:szCs w:val="20"/>
              </w:rPr>
              <w:t xml:space="preserve">Numeric (0-100)</w:t>
            </w:r>
          </w:p>
        </w:tc>
        <w:tc>
          <w:tcPr>
            <w:tcW w:type="dxa" w:w="1560"/>
            <w:shd w:fill="F1F8E9" w:color="auto" w:val="clear"/>
          </w:tcPr>
          <w:p>
            <w:pPr>
              <w:spacing w:after="60" w:before="60"/>
            </w:pPr>
            <w:r>
              <w:rPr>
                <w:rFonts w:ascii="Calibri" w:cs="Calibri" w:eastAsia="Calibri" w:hAnsi="Calibri"/>
                <w:sz w:val="20"/>
                <w:szCs w:val="20"/>
              </w:rPr>
              <w:t xml:space="preserve">25</w:t>
            </w:r>
          </w:p>
        </w:tc>
        <w:tc>
          <w:tcPr>
            <w:tcW w:type="dxa" w:w="4100"/>
            <w:shd w:fill="F1F8E9" w:color="auto" w:val="clear"/>
          </w:tcPr>
          <w:p>
            <w:pPr>
              <w:spacing w:after="60" w:before="60"/>
            </w:pPr>
            <w:r>
              <w:rPr>
                <w:rFonts w:ascii="Calibri" w:cs="Calibri" w:eastAsia="Calibri" w:hAnsi="Calibri"/>
                <w:sz w:val="20"/>
                <w:szCs w:val="20"/>
              </w:rPr>
              <w:t xml:space="preserve">Weight of the delivery dimension — delivery measures on-time delivery rate, ETA accuracy, partial delivery frequency, and critical path delivery performance</w:t>
            </w:r>
          </w:p>
        </w:tc>
      </w:tr>
      <w:tr>
        <w:tc>
          <w:tcPr>
            <w:tcW w:type="dxa" w:w="2500"/>
            <w:shd w:fill="FFFFFF" w:color="auto" w:val="clear"/>
          </w:tcPr>
          <w:p>
            <w:pPr>
              <w:spacing w:after="60" w:before="60"/>
            </w:pPr>
            <w:r>
              <w:rPr>
                <w:rFonts w:ascii="Calibri" w:cs="Calibri" w:eastAsia="Calibri" w:hAnsi="Calibri"/>
                <w:sz w:val="20"/>
                <w:szCs w:val="20"/>
              </w:rPr>
              <w:t xml:space="preserve">Responsiveness Weight (%)</w:t>
            </w:r>
          </w:p>
        </w:tc>
        <w:tc>
          <w:tcPr>
            <w:tcW w:type="dxa" w:w="1200"/>
            <w:shd w:fill="FFFFFF" w:color="auto" w:val="clear"/>
          </w:tcPr>
          <w:p>
            <w:pPr>
              <w:spacing w:after="60" w:before="60"/>
            </w:pPr>
            <w:r>
              <w:rPr>
                <w:rFonts w:ascii="Calibri" w:cs="Calibri" w:eastAsia="Calibri" w:hAnsi="Calibri"/>
                <w:sz w:val="20"/>
                <w:szCs w:val="20"/>
              </w:rPr>
              <w:t xml:space="preserve">Numeric (0-100)</w:t>
            </w:r>
          </w:p>
        </w:tc>
        <w:tc>
          <w:tcPr>
            <w:tcW w:type="dxa" w:w="1560"/>
            <w:shd w:fill="FFFFFF" w:color="auto" w:val="clear"/>
          </w:tcPr>
          <w:p>
            <w:pPr>
              <w:spacing w:after="60" w:before="60"/>
            </w:pPr>
            <w:r>
              <w:rPr>
                <w:rFonts w:ascii="Calibri" w:cs="Calibri" w:eastAsia="Calibri" w:hAnsi="Calibri"/>
                <w:sz w:val="20"/>
                <w:szCs w:val="20"/>
              </w:rPr>
              <w:t xml:space="preserve">15</w:t>
            </w:r>
          </w:p>
        </w:tc>
        <w:tc>
          <w:tcPr>
            <w:tcW w:type="dxa" w:w="4100"/>
            <w:shd w:fill="FFFFFF" w:color="auto" w:val="clear"/>
          </w:tcPr>
          <w:p>
            <w:pPr>
              <w:spacing w:after="60" w:before="60"/>
            </w:pPr>
            <w:r>
              <w:rPr>
                <w:rFonts w:ascii="Calibri" w:cs="Calibri" w:eastAsia="Calibri" w:hAnsi="Calibri"/>
                <w:sz w:val="20"/>
                <w:szCs w:val="20"/>
              </w:rPr>
              <w:t xml:space="preserve">Weight of the responsiveness dimension — responsiveness measures response time to NCRs, RFIs, and correspondence within SLA</w:t>
            </w:r>
          </w:p>
        </w:tc>
      </w:tr>
      <w:tr>
        <w:tc>
          <w:tcPr>
            <w:tcW w:type="dxa" w:w="2500"/>
            <w:shd w:fill="F1F8E9" w:color="auto" w:val="clear"/>
          </w:tcPr>
          <w:p>
            <w:pPr>
              <w:spacing w:after="60" w:before="60"/>
            </w:pPr>
            <w:r>
              <w:rPr>
                <w:rFonts w:ascii="Calibri" w:cs="Calibri" w:eastAsia="Calibri" w:hAnsi="Calibri"/>
                <w:sz w:val="20"/>
                <w:szCs w:val="20"/>
              </w:rPr>
              <w:t xml:space="preserve">Documentation Weight (%)</w:t>
            </w:r>
          </w:p>
        </w:tc>
        <w:tc>
          <w:tcPr>
            <w:tcW w:type="dxa" w:w="1200"/>
            <w:shd w:fill="F1F8E9" w:color="auto" w:val="clear"/>
          </w:tcPr>
          <w:p>
            <w:pPr>
              <w:spacing w:after="60" w:before="60"/>
            </w:pPr>
            <w:r>
              <w:rPr>
                <w:rFonts w:ascii="Calibri" w:cs="Calibri" w:eastAsia="Calibri" w:hAnsi="Calibri"/>
                <w:sz w:val="20"/>
                <w:szCs w:val="20"/>
              </w:rPr>
              <w:t xml:space="preserve">Numeric (0-100)</w:t>
            </w:r>
          </w:p>
        </w:tc>
        <w:tc>
          <w:tcPr>
            <w:tcW w:type="dxa" w:w="1560"/>
            <w:shd w:fill="F1F8E9" w:color="auto" w:val="clear"/>
          </w:tcPr>
          <w:p>
            <w:pPr>
              <w:spacing w:after="60" w:before="60"/>
            </w:pPr>
            <w:r>
              <w:rPr>
                <w:rFonts w:ascii="Calibri" w:cs="Calibri" w:eastAsia="Calibri" w:hAnsi="Calibri"/>
                <w:sz w:val="20"/>
                <w:szCs w:val="20"/>
              </w:rPr>
              <w:t xml:space="preserve">15</w:t>
            </w:r>
          </w:p>
        </w:tc>
        <w:tc>
          <w:tcPr>
            <w:tcW w:type="dxa" w:w="4100"/>
            <w:shd w:fill="F1F8E9" w:color="auto" w:val="clear"/>
          </w:tcPr>
          <w:p>
            <w:pPr>
              <w:spacing w:after="60" w:before="60"/>
            </w:pPr>
            <w:r>
              <w:rPr>
                <w:rFonts w:ascii="Calibri" w:cs="Calibri" w:eastAsia="Calibri" w:hAnsi="Calibri"/>
                <w:sz w:val="20"/>
                <w:szCs w:val="20"/>
              </w:rPr>
              <w:t xml:space="preserve">Weight of the documentation dimension — documentation measures completeness, accuracy, and timeliness of submittals, data sheets, inspection test plans</w:t>
            </w:r>
          </w:p>
        </w:tc>
      </w:tr>
      <w:tr>
        <w:tc>
          <w:tcPr>
            <w:tcW w:type="dxa" w:w="2500"/>
            <w:shd w:fill="FFFFFF" w:color="auto" w:val="clear"/>
          </w:tcPr>
          <w:p>
            <w:pPr>
              <w:spacing w:after="60" w:before="60"/>
            </w:pPr>
            <w:r>
              <w:rPr>
                <w:rFonts w:ascii="Calibri" w:cs="Calibri" w:eastAsia="Calibri" w:hAnsi="Calibri"/>
                <w:sz w:val="20"/>
                <w:szCs w:val="20"/>
              </w:rPr>
              <w:t xml:space="preserve">Commercial Weight (%)</w:t>
            </w:r>
          </w:p>
        </w:tc>
        <w:tc>
          <w:tcPr>
            <w:tcW w:type="dxa" w:w="1200"/>
            <w:shd w:fill="FFFFFF" w:color="auto" w:val="clear"/>
          </w:tcPr>
          <w:p>
            <w:pPr>
              <w:spacing w:after="60" w:before="60"/>
            </w:pPr>
            <w:r>
              <w:rPr>
                <w:rFonts w:ascii="Calibri" w:cs="Calibri" w:eastAsia="Calibri" w:hAnsi="Calibri"/>
                <w:sz w:val="20"/>
                <w:szCs w:val="20"/>
              </w:rPr>
              <w:t xml:space="preserve">Numeric (0-100)</w:t>
            </w:r>
          </w:p>
        </w:tc>
        <w:tc>
          <w:tcPr>
            <w:tcW w:type="dxa" w:w="1560"/>
            <w:shd w:fill="FFFFFF" w:color="auto" w:val="clear"/>
          </w:tcPr>
          <w:p>
            <w:pPr>
              <w:spacing w:after="60" w:before="60"/>
            </w:pPr>
            <w:r>
              <w:rPr>
                <w:rFonts w:ascii="Calibri" w:cs="Calibri" w:eastAsia="Calibri" w:hAnsi="Calibri"/>
                <w:sz w:val="20"/>
                <w:szCs w:val="20"/>
              </w:rPr>
              <w:t xml:space="preserve">15</w:t>
            </w:r>
          </w:p>
        </w:tc>
        <w:tc>
          <w:tcPr>
            <w:tcW w:type="dxa" w:w="4100"/>
            <w:shd w:fill="FFFFFF" w:color="auto" w:val="clear"/>
          </w:tcPr>
          <w:p>
            <w:pPr>
              <w:spacing w:after="60" w:before="60"/>
            </w:pPr>
            <w:r>
              <w:rPr>
                <w:rFonts w:ascii="Calibri" w:cs="Calibri" w:eastAsia="Calibri" w:hAnsi="Calibri"/>
                <w:sz w:val="20"/>
                <w:szCs w:val="20"/>
              </w:rPr>
              <w:t xml:space="preserve">Weight of the commercial dimension — commercial measures invoicing accuracy, claims frequency, contract compliance, and price variation frequency</w:t>
            </w:r>
          </w:p>
        </w:tc>
      </w:tr>
      <w:tr>
        <w:tc>
          <w:tcPr>
            <w:tcW w:type="dxa" w:w="2500"/>
            <w:shd w:fill="F1F8E9" w:color="auto" w:val="clear"/>
          </w:tcPr>
          <w:p>
            <w:pPr>
              <w:spacing w:after="60" w:before="60"/>
            </w:pPr>
            <w:r>
              <w:rPr>
                <w:rFonts w:ascii="Calibri" w:cs="Calibri" w:eastAsia="Calibri" w:hAnsi="Calibri"/>
                <w:sz w:val="20"/>
                <w:szCs w:val="20"/>
              </w:rPr>
              <w:t xml:space="preserve">Relationship Weight (%)</w:t>
            </w:r>
          </w:p>
        </w:tc>
        <w:tc>
          <w:tcPr>
            <w:tcW w:type="dxa" w:w="1200"/>
            <w:shd w:fill="F1F8E9" w:color="auto" w:val="clear"/>
          </w:tcPr>
          <w:p>
            <w:pPr>
              <w:spacing w:after="60" w:before="60"/>
            </w:pPr>
            <w:r>
              <w:rPr>
                <w:rFonts w:ascii="Calibri" w:cs="Calibri" w:eastAsia="Calibri" w:hAnsi="Calibri"/>
                <w:sz w:val="20"/>
                <w:szCs w:val="20"/>
              </w:rPr>
              <w:t xml:space="preserve">Numeric (0-100)</w:t>
            </w:r>
          </w:p>
        </w:tc>
        <w:tc>
          <w:tcPr>
            <w:tcW w:type="dxa" w:w="1560"/>
            <w:shd w:fill="F1F8E9" w:color="auto" w:val="clear"/>
          </w:tcPr>
          <w:p>
            <w:pPr>
              <w:spacing w:after="60" w:before="60"/>
            </w:pPr>
            <w:r>
              <w:rPr>
                <w:rFonts w:ascii="Calibri" w:cs="Calibri" w:eastAsia="Calibri" w:hAnsi="Calibri"/>
                <w:sz w:val="20"/>
                <w:szCs w:val="20"/>
              </w:rPr>
              <w:t xml:space="preserve">10</w:t>
            </w:r>
          </w:p>
        </w:tc>
        <w:tc>
          <w:tcPr>
            <w:tcW w:type="dxa" w:w="4100"/>
            <w:shd w:fill="F1F8E9" w:color="auto" w:val="clear"/>
          </w:tcPr>
          <w:p>
            <w:pPr>
              <w:spacing w:after="60" w:before="60"/>
            </w:pPr>
            <w:r>
              <w:rPr>
                <w:rFonts w:ascii="Calibri" w:cs="Calibri" w:eastAsia="Calibri" w:hAnsi="Calibri"/>
                <w:sz w:val="20"/>
                <w:szCs w:val="20"/>
              </w:rPr>
              <w:t xml:space="preserve">Weight of the relationship dimension — relationship measures collaboration quality, escalation frequency, joint problem-solving effectiveness</w:t>
            </w:r>
          </w:p>
        </w:tc>
      </w:tr>
      <w:tr>
        <w:tc>
          <w:tcPr>
            <w:tcW w:type="dxa" w:w="2500"/>
            <w:shd w:fill="FFFFFF" w:color="auto" w:val="clear"/>
          </w:tcPr>
          <w:p>
            <w:pPr>
              <w:spacing w:after="60" w:before="60"/>
            </w:pPr>
            <w:r>
              <w:rPr>
                <w:rFonts w:ascii="Calibri" w:cs="Calibri" w:eastAsia="Calibri" w:hAnsi="Calibri"/>
                <w:sz w:val="20"/>
                <w:szCs w:val="20"/>
              </w:rPr>
              <w:t xml:space="preserve">Weight Validation</w:t>
            </w:r>
          </w:p>
        </w:tc>
        <w:tc>
          <w:tcPr>
            <w:tcW w:type="dxa" w:w="1200"/>
            <w:shd w:fill="FFFFFF" w:color="auto" w:val="clear"/>
          </w:tcPr>
          <w:p>
            <w:pPr>
              <w:spacing w:after="60" w:before="60"/>
            </w:pPr>
            <w:r>
              <w:rPr>
                <w:rFonts w:ascii="Calibri" w:cs="Calibri" w:eastAsia="Calibri" w:hAnsi="Calibri"/>
                <w:sz w:val="20"/>
                <w:szCs w:val="20"/>
              </w:rPr>
              <w:t xml:space="preserve">Computed</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Studio enforces that all 6 weights sum to 100% — save is blocked if total does not equal 100</w:t>
            </w:r>
          </w:p>
        </w:tc>
      </w:tr>
      <w:tr>
        <w:tc>
          <w:tcPr>
            <w:tcW w:type="dxa" w:w="2500"/>
            <w:shd w:fill="F1F8E9" w:color="auto" w:val="clear"/>
          </w:tcPr>
          <w:p>
            <w:pPr>
              <w:spacing w:after="60" w:before="60"/>
            </w:pPr>
            <w:r>
              <w:rPr>
                <w:rFonts w:ascii="Calibri" w:cs="Calibri" w:eastAsia="Calibri" w:hAnsi="Calibri"/>
                <w:sz w:val="20"/>
                <w:szCs w:val="20"/>
              </w:rPr>
              <w:t xml:space="preserve">Minimum Quality Score</w:t>
            </w:r>
          </w:p>
        </w:tc>
        <w:tc>
          <w:tcPr>
            <w:tcW w:type="dxa" w:w="1200"/>
            <w:shd w:fill="F1F8E9" w:color="auto" w:val="clear"/>
          </w:tcPr>
          <w:p>
            <w:pPr>
              <w:spacing w:after="60" w:before="60"/>
            </w:pPr>
            <w:r>
              <w:rPr>
                <w:rFonts w:ascii="Calibri" w:cs="Calibri" w:eastAsia="Calibri" w:hAnsi="Calibri"/>
                <w:sz w:val="20"/>
                <w:szCs w:val="20"/>
              </w:rPr>
              <w:t xml:space="preserve">Numeric (0-1)</w:t>
            </w:r>
          </w:p>
        </w:tc>
        <w:tc>
          <w:tcPr>
            <w:tcW w:type="dxa" w:w="1560"/>
            <w:shd w:fill="F1F8E9" w:color="auto" w:val="clear"/>
          </w:tcPr>
          <w:p>
            <w:pPr>
              <w:spacing w:after="60" w:before="60"/>
            </w:pPr>
            <w:r>
              <w:rPr>
                <w:rFonts w:ascii="Calibri" w:cs="Calibri" w:eastAsia="Calibri" w:hAnsi="Calibri"/>
                <w:sz w:val="20"/>
                <w:szCs w:val="20"/>
              </w:rPr>
              <w:t xml:space="preserve">0.50</w:t>
            </w:r>
          </w:p>
        </w:tc>
        <w:tc>
          <w:tcPr>
            <w:tcW w:type="dxa" w:w="4100"/>
            <w:shd w:fill="F1F8E9" w:color="auto" w:val="clear"/>
          </w:tcPr>
          <w:p>
            <w:pPr>
              <w:spacing w:after="60" w:before="60"/>
            </w:pPr>
            <w:r>
              <w:rPr>
                <w:rFonts w:ascii="Calibri" w:cs="Calibri" w:eastAsia="Calibri" w:hAnsi="Calibri"/>
                <w:sz w:val="20"/>
                <w:szCs w:val="20"/>
              </w:rPr>
              <w:t xml:space="preserve">Minimum acceptable quality dimension score — falling below this triggers an automatic alert regardless of composite score</w:t>
            </w:r>
          </w:p>
        </w:tc>
      </w:tr>
      <w:tr>
        <w:tc>
          <w:tcPr>
            <w:tcW w:type="dxa" w:w="2500"/>
            <w:shd w:fill="FFFFFF" w:color="auto" w:val="clear"/>
          </w:tcPr>
          <w:p>
            <w:pPr>
              <w:spacing w:after="60" w:before="60"/>
            </w:pPr>
            <w:r>
              <w:rPr>
                <w:rFonts w:ascii="Calibri" w:cs="Calibri" w:eastAsia="Calibri" w:hAnsi="Calibri"/>
                <w:sz w:val="20"/>
                <w:szCs w:val="20"/>
              </w:rPr>
              <w:t xml:space="preserve">Minimum Delivery Score</w:t>
            </w:r>
          </w:p>
        </w:tc>
        <w:tc>
          <w:tcPr>
            <w:tcW w:type="dxa" w:w="1200"/>
            <w:shd w:fill="FFFFFF" w:color="auto" w:val="clear"/>
          </w:tcPr>
          <w:p>
            <w:pPr>
              <w:spacing w:after="60" w:before="60"/>
            </w:pPr>
            <w:r>
              <w:rPr>
                <w:rFonts w:ascii="Calibri" w:cs="Calibri" w:eastAsia="Calibri" w:hAnsi="Calibri"/>
                <w:sz w:val="20"/>
                <w:szCs w:val="20"/>
              </w:rPr>
              <w:t xml:space="preserve">Numeric (0-1)</w:t>
            </w:r>
          </w:p>
        </w:tc>
        <w:tc>
          <w:tcPr>
            <w:tcW w:type="dxa" w:w="1560"/>
            <w:shd w:fill="FFFFFF" w:color="auto" w:val="clear"/>
          </w:tcPr>
          <w:p>
            <w:pPr>
              <w:spacing w:after="60" w:before="60"/>
            </w:pPr>
            <w:r>
              <w:rPr>
                <w:rFonts w:ascii="Calibri" w:cs="Calibri" w:eastAsia="Calibri" w:hAnsi="Calibri"/>
                <w:sz w:val="20"/>
                <w:szCs w:val="20"/>
              </w:rPr>
              <w:t xml:space="preserve">0.50</w:t>
            </w:r>
          </w:p>
        </w:tc>
        <w:tc>
          <w:tcPr>
            <w:tcW w:type="dxa" w:w="4100"/>
            <w:shd w:fill="FFFFFF" w:color="auto" w:val="clear"/>
          </w:tcPr>
          <w:p>
            <w:pPr>
              <w:spacing w:after="60" w:before="60"/>
            </w:pPr>
            <w:r>
              <w:rPr>
                <w:rFonts w:ascii="Calibri" w:cs="Calibri" w:eastAsia="Calibri" w:hAnsi="Calibri"/>
                <w:sz w:val="20"/>
                <w:szCs w:val="20"/>
              </w:rPr>
              <w:t xml:space="preserve">Minimum acceptable delivery dimension score</w:t>
            </w:r>
          </w:p>
        </w:tc>
      </w:tr>
      <w:tr>
        <w:tc>
          <w:tcPr>
            <w:tcW w:type="dxa" w:w="2500"/>
            <w:shd w:fill="F1F8E9" w:color="auto" w:val="clear"/>
          </w:tcPr>
          <w:p>
            <w:pPr>
              <w:spacing w:after="60" w:before="60"/>
            </w:pPr>
            <w:r>
              <w:rPr>
                <w:rFonts w:ascii="Calibri" w:cs="Calibri" w:eastAsia="Calibri" w:hAnsi="Calibri"/>
                <w:sz w:val="20"/>
                <w:szCs w:val="20"/>
              </w:rPr>
              <w:t xml:space="preserve">Minimum Documentation Score</w:t>
            </w:r>
          </w:p>
        </w:tc>
        <w:tc>
          <w:tcPr>
            <w:tcW w:type="dxa" w:w="1200"/>
            <w:shd w:fill="F1F8E9" w:color="auto" w:val="clear"/>
          </w:tcPr>
          <w:p>
            <w:pPr>
              <w:spacing w:after="60" w:before="60"/>
            </w:pPr>
            <w:r>
              <w:rPr>
                <w:rFonts w:ascii="Calibri" w:cs="Calibri" w:eastAsia="Calibri" w:hAnsi="Calibri"/>
                <w:sz w:val="20"/>
                <w:szCs w:val="20"/>
              </w:rPr>
              <w:t xml:space="preserve">Numeric (0-1)</w:t>
            </w:r>
          </w:p>
        </w:tc>
        <w:tc>
          <w:tcPr>
            <w:tcW w:type="dxa" w:w="1560"/>
            <w:shd w:fill="F1F8E9" w:color="auto" w:val="clear"/>
          </w:tcPr>
          <w:p>
            <w:pPr>
              <w:spacing w:after="60" w:before="60"/>
            </w:pPr>
            <w:r>
              <w:rPr>
                <w:rFonts w:ascii="Calibri" w:cs="Calibri" w:eastAsia="Calibri" w:hAnsi="Calibri"/>
                <w:sz w:val="20"/>
                <w:szCs w:val="20"/>
              </w:rPr>
              <w:t xml:space="preserve">0.40</w:t>
            </w:r>
          </w:p>
        </w:tc>
        <w:tc>
          <w:tcPr>
            <w:tcW w:type="dxa" w:w="4100"/>
            <w:shd w:fill="F1F8E9" w:color="auto" w:val="clear"/>
          </w:tcPr>
          <w:p>
            <w:pPr>
              <w:spacing w:after="60" w:before="60"/>
            </w:pPr>
            <w:r>
              <w:rPr>
                <w:rFonts w:ascii="Calibri" w:cs="Calibri" w:eastAsia="Calibri" w:hAnsi="Calibri"/>
                <w:sz w:val="20"/>
                <w:szCs w:val="20"/>
              </w:rPr>
              <w:t xml:space="preserve">Minimum acceptable documentation dimension score</w:t>
            </w:r>
          </w:p>
        </w:tc>
      </w:tr>
      <w:tr>
        <w:tc>
          <w:tcPr>
            <w:tcW w:type="dxa" w:w="2500"/>
            <w:shd w:fill="FFFFFF" w:color="auto" w:val="clear"/>
          </w:tcPr>
          <w:p>
            <w:pPr>
              <w:spacing w:after="60" w:before="60"/>
            </w:pPr>
            <w:r>
              <w:rPr>
                <w:rFonts w:ascii="Calibri" w:cs="Calibri" w:eastAsia="Calibri" w:hAnsi="Calibri"/>
                <w:sz w:val="20"/>
                <w:szCs w:val="20"/>
              </w:rPr>
              <w:t xml:space="preserve">Remediation Trigger Threshold</w:t>
            </w:r>
          </w:p>
        </w:tc>
        <w:tc>
          <w:tcPr>
            <w:tcW w:type="dxa" w:w="1200"/>
            <w:shd w:fill="FFFFFF" w:color="auto" w:val="clear"/>
          </w:tcPr>
          <w:p>
            <w:pPr>
              <w:spacing w:after="60" w:before="60"/>
            </w:pPr>
            <w:r>
              <w:rPr>
                <w:rFonts w:ascii="Calibri" w:cs="Calibri" w:eastAsia="Calibri" w:hAnsi="Calibri"/>
                <w:sz w:val="20"/>
                <w:szCs w:val="20"/>
              </w:rPr>
              <w:t xml:space="preserve">Numeric (0-1)</w:t>
            </w:r>
          </w:p>
        </w:tc>
        <w:tc>
          <w:tcPr>
            <w:tcW w:type="dxa" w:w="1560"/>
            <w:shd w:fill="FFFFFF" w:color="auto" w:val="clear"/>
          </w:tcPr>
          <w:p>
            <w:pPr>
              <w:spacing w:after="60" w:before="60"/>
            </w:pPr>
            <w:r>
              <w:rPr>
                <w:rFonts w:ascii="Calibri" w:cs="Calibri" w:eastAsia="Calibri" w:hAnsi="Calibri"/>
                <w:sz w:val="20"/>
                <w:szCs w:val="20"/>
              </w:rPr>
              <w:t xml:space="preserve">0.40</w:t>
            </w:r>
          </w:p>
        </w:tc>
        <w:tc>
          <w:tcPr>
            <w:tcW w:type="dxa" w:w="4100"/>
            <w:shd w:fill="FFFFFF" w:color="auto" w:val="clear"/>
          </w:tcPr>
          <w:p>
            <w:pPr>
              <w:spacing w:after="60" w:before="60"/>
            </w:pPr>
            <w:r>
              <w:rPr>
                <w:rFonts w:ascii="Calibri" w:cs="Calibri" w:eastAsia="Calibri" w:hAnsi="Calibri"/>
                <w:sz w:val="20"/>
                <w:szCs w:val="20"/>
              </w:rPr>
              <w:t xml:space="preserve">Composite score threshold below which a formal vendor remediation action is triggered and a decision draft is created</w:t>
            </w:r>
          </w:p>
        </w:tc>
      </w:tr>
      <w:tr>
        <w:tc>
          <w:tcPr>
            <w:tcW w:type="dxa" w:w="2500"/>
            <w:shd w:fill="F1F8E9" w:color="auto" w:val="clear"/>
          </w:tcPr>
          <w:p>
            <w:pPr>
              <w:spacing w:after="60" w:before="60"/>
            </w:pPr>
            <w:r>
              <w:rPr>
                <w:rFonts w:ascii="Calibri" w:cs="Calibri" w:eastAsia="Calibri" w:hAnsi="Calibri"/>
                <w:sz w:val="20"/>
                <w:szCs w:val="20"/>
              </w:rPr>
              <w:t xml:space="preserve">Probation Threshold</w:t>
            </w:r>
          </w:p>
        </w:tc>
        <w:tc>
          <w:tcPr>
            <w:tcW w:type="dxa" w:w="1200"/>
            <w:shd w:fill="F1F8E9" w:color="auto" w:val="clear"/>
          </w:tcPr>
          <w:p>
            <w:pPr>
              <w:spacing w:after="60" w:before="60"/>
            </w:pPr>
            <w:r>
              <w:rPr>
                <w:rFonts w:ascii="Calibri" w:cs="Calibri" w:eastAsia="Calibri" w:hAnsi="Calibri"/>
                <w:sz w:val="20"/>
                <w:szCs w:val="20"/>
              </w:rPr>
              <w:t xml:space="preserve">Numeric (0-1)</w:t>
            </w:r>
          </w:p>
        </w:tc>
        <w:tc>
          <w:tcPr>
            <w:tcW w:type="dxa" w:w="1560"/>
            <w:shd w:fill="F1F8E9" w:color="auto" w:val="clear"/>
          </w:tcPr>
          <w:p>
            <w:pPr>
              <w:spacing w:after="60" w:before="60"/>
            </w:pPr>
            <w:r>
              <w:rPr>
                <w:rFonts w:ascii="Calibri" w:cs="Calibri" w:eastAsia="Calibri" w:hAnsi="Calibri"/>
                <w:sz w:val="20"/>
                <w:szCs w:val="20"/>
              </w:rPr>
              <w:t xml:space="preserve">0.30</w:t>
            </w:r>
          </w:p>
        </w:tc>
        <w:tc>
          <w:tcPr>
            <w:tcW w:type="dxa" w:w="4100"/>
            <w:shd w:fill="F1F8E9" w:color="auto" w:val="clear"/>
          </w:tcPr>
          <w:p>
            <w:pPr>
              <w:spacing w:after="60" w:before="60"/>
            </w:pPr>
            <w:r>
              <w:rPr>
                <w:rFonts w:ascii="Calibri" w:cs="Calibri" w:eastAsia="Calibri" w:hAnsi="Calibri"/>
                <w:sz w:val="20"/>
                <w:szCs w:val="20"/>
              </w:rPr>
              <w:t xml:space="preserve">Composite score below which vendor is automatically placed on probation status — logged in PIG with RAISES_RISK_TO edge to all pending dispatches</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Builder 15 — Regulatory Compliance Builder</w:t>
      </w:r>
    </w:p>
    <w:p>
      <w:pPr>
        <w:spacing w:after="80" w:before="80"/>
        <w:jc w:val="left"/>
      </w:pPr>
      <w:r>
        <w:rPr>
          <w:rFonts w:ascii="Calibri" w:cs="Calibri" w:eastAsia="Calibri" w:hAnsi="Calibri"/>
          <w:b w:val="false"/>
          <w:bCs w:val="false"/>
          <w:color w:val="000000"/>
          <w:sz w:val="22"/>
          <w:szCs w:val="22"/>
        </w:rPr>
        <w:t xml:space="preserve">Purpose: The Regulatory Compliance Builder configures the jurisdiction-specific regulatory requirements that apply to the project. EPC projects operate under a complex web of regulatory obligations — central government approvals, state authority clearances, environmental consents, statutory inspection requirements, and reporting obligations. The Regulatory Compliance Builder lets Studio Admins codify these requirements so that Green PM can track compliance status, alert when deadlines approach, and include regulatory compliance status in gate reviews and COD Readiness assessments. Each jurisdiction entry defines the applicable standards, the mandatory documents that must be obtained, the required inspections and their timing, the approval authorities, and the reporting obligations. Regulatory compliance status feeds directly into the COD Readiness gate in the Readiness Engine.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60"/>
        <w:gridCol w:w="410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Config Item</w:t>
            </w:r>
          </w:p>
        </w:tc>
        <w:tc>
          <w:tcPr>
            <w:tcW w:type="dxa" w:w="1200"/>
            <w:shd w:fill="2E7D32" w:color="auto" w:val="clear"/>
          </w:tcPr>
          <w:p>
            <w:pPr>
              <w:spacing w:after="80" w:before="80"/>
            </w:pPr>
            <w:r>
              <w:rPr>
                <w:rFonts w:ascii="Calibri" w:cs="Calibri" w:eastAsia="Calibri" w:hAnsi="Calibri"/>
                <w:b/>
                <w:bCs/>
                <w:color w:val="FFFFFF"/>
                <w:sz w:val="20"/>
                <w:szCs w:val="20"/>
              </w:rPr>
              <w:t xml:space="preserve">Type</w:t>
            </w:r>
          </w:p>
        </w:tc>
        <w:tc>
          <w:tcPr>
            <w:tcW w:type="dxa" w:w="1560"/>
            <w:shd w:fill="2E7D32" w:color="auto" w:val="clear"/>
          </w:tcPr>
          <w:p>
            <w:pPr>
              <w:spacing w:after="80" w:before="80"/>
            </w:pPr>
            <w:r>
              <w:rPr>
                <w:rFonts w:ascii="Calibri" w:cs="Calibri" w:eastAsia="Calibri" w:hAnsi="Calibri"/>
                <w:b/>
                <w:bCs/>
                <w:color w:val="FFFFFF"/>
                <w:sz w:val="20"/>
                <w:szCs w:val="20"/>
              </w:rPr>
              <w:t xml:space="preserve">Default</w:t>
            </w:r>
          </w:p>
        </w:tc>
        <w:tc>
          <w:tcPr>
            <w:tcW w:type="dxa" w:w="410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Jurisdiction</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Jurisdiction this regulatory entry applies to (e.g., 'Central Government — India', 'State PCB — Maharashtra', 'CEA Electrical Inspection')</w:t>
            </w:r>
          </w:p>
        </w:tc>
      </w:tr>
      <w:tr>
        <w:tc>
          <w:tcPr>
            <w:tcW w:type="dxa" w:w="2500"/>
            <w:shd w:fill="F1F8E9" w:color="auto" w:val="clear"/>
          </w:tcPr>
          <w:p>
            <w:pPr>
              <w:spacing w:after="60" w:before="60"/>
            </w:pPr>
            <w:r>
              <w:rPr>
                <w:rFonts w:ascii="Calibri" w:cs="Calibri" w:eastAsia="Calibri" w:hAnsi="Calibri"/>
                <w:sz w:val="20"/>
                <w:szCs w:val="20"/>
              </w:rPr>
              <w:t xml:space="preserve">Applicable Standards</w:t>
            </w:r>
          </w:p>
        </w:tc>
        <w:tc>
          <w:tcPr>
            <w:tcW w:type="dxa" w:w="1200"/>
            <w:shd w:fill="F1F8E9" w:color="auto" w:val="clear"/>
          </w:tcPr>
          <w:p>
            <w:pPr>
              <w:spacing w:after="60" w:before="60"/>
            </w:pPr>
            <w:r>
              <w:rPr>
                <w:rFonts w:ascii="Calibri" w:cs="Calibri" w:eastAsia="Calibri" w:hAnsi="Calibri"/>
                <w:sz w:val="20"/>
                <w:szCs w:val="20"/>
              </w:rPr>
              <w:t xml:space="preserve">Text array</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List of applicable standards and regulations (e.g., 'CEA Technical Standards 2010', 'Environment Protection Act 1986', 'Factory Act 1948')</w:t>
            </w:r>
          </w:p>
        </w:tc>
      </w:tr>
      <w:tr>
        <w:tc>
          <w:tcPr>
            <w:tcW w:type="dxa" w:w="2500"/>
            <w:shd w:fill="FFFFFF" w:color="auto" w:val="clear"/>
          </w:tcPr>
          <w:p>
            <w:pPr>
              <w:spacing w:after="60" w:before="60"/>
            </w:pPr>
            <w:r>
              <w:rPr>
                <w:rFonts w:ascii="Calibri" w:cs="Calibri" w:eastAsia="Calibri" w:hAnsi="Calibri"/>
                <w:sz w:val="20"/>
                <w:szCs w:val="20"/>
              </w:rPr>
              <w:t xml:space="preserve">Mandatory Documents</w:t>
            </w:r>
          </w:p>
        </w:tc>
        <w:tc>
          <w:tcPr>
            <w:tcW w:type="dxa" w:w="1200"/>
            <w:shd w:fill="FFFFFF" w:color="auto" w:val="clear"/>
          </w:tcPr>
          <w:p>
            <w:pPr>
              <w:spacing w:after="60" w:before="60"/>
            </w:pPr>
            <w:r>
              <w:rPr>
                <w:rFonts w:ascii="Calibri" w:cs="Calibri" w:eastAsia="Calibri" w:hAnsi="Calibri"/>
                <w:sz w:val="20"/>
                <w:szCs w:val="20"/>
              </w:rPr>
              <w:t xml:space="preserve">Text array</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List of documents that must be obtained from this authority before COD (e.g., 'Environmental Clearance', 'Consent to Establish', 'No Objection Certificate')</w:t>
            </w:r>
          </w:p>
        </w:tc>
      </w:tr>
      <w:tr>
        <w:tc>
          <w:tcPr>
            <w:tcW w:type="dxa" w:w="2500"/>
            <w:shd w:fill="F1F8E9" w:color="auto" w:val="clear"/>
          </w:tcPr>
          <w:p>
            <w:pPr>
              <w:spacing w:after="60" w:before="60"/>
            </w:pPr>
            <w:r>
              <w:rPr>
                <w:rFonts w:ascii="Calibri" w:cs="Calibri" w:eastAsia="Calibri" w:hAnsi="Calibri"/>
                <w:sz w:val="20"/>
                <w:szCs w:val="20"/>
              </w:rPr>
              <w:t xml:space="preserve">Inspection Requirements</w:t>
            </w:r>
          </w:p>
        </w:tc>
        <w:tc>
          <w:tcPr>
            <w:tcW w:type="dxa" w:w="1200"/>
            <w:shd w:fill="F1F8E9" w:color="auto" w:val="clear"/>
          </w:tcPr>
          <w:p>
            <w:pPr>
              <w:spacing w:after="60" w:before="60"/>
            </w:pPr>
            <w:r>
              <w:rPr>
                <w:rFonts w:ascii="Calibri" w:cs="Calibri" w:eastAsia="Calibri" w:hAnsi="Calibri"/>
                <w:sz w:val="20"/>
                <w:szCs w:val="20"/>
              </w:rPr>
              <w:t xml:space="preserve">JSON array</w:t>
            </w:r>
          </w:p>
        </w:tc>
        <w:tc>
          <w:tcPr>
            <w:tcW w:type="dxa" w:w="1560"/>
            <w:shd w:fill="F1F8E9" w:color="auto" w:val="clear"/>
          </w:tcPr>
          <w:p>
            <w:pPr>
              <w:spacing w:after="60" w:before="60"/>
            </w:pPr>
            <w:r>
              <w:rPr>
                <w:rFonts w:ascii="Calibri" w:cs="Calibri" w:eastAsia="Calibri" w:hAnsi="Calibri"/>
                <w:sz w:val="20"/>
                <w:szCs w:val="20"/>
              </w:rPr>
              <w:t xml:space="preserve">[]</w:t>
            </w:r>
          </w:p>
        </w:tc>
        <w:tc>
          <w:tcPr>
            <w:tcW w:type="dxa" w:w="4100"/>
            <w:shd w:fill="F1F8E9" w:color="auto" w:val="clear"/>
          </w:tcPr>
          <w:p>
            <w:pPr>
              <w:spacing w:after="60" w:before="60"/>
            </w:pPr>
            <w:r>
              <w:rPr>
                <w:rFonts w:ascii="Calibri" w:cs="Calibri" w:eastAsia="Calibri" w:hAnsi="Calibri"/>
                <w:sz w:val="20"/>
                <w:szCs w:val="20"/>
              </w:rPr>
              <w:t xml:space="preserve">Required statutory inspections — each entry has: inspection name, applicable stage, mandatory flag, authority name</w:t>
            </w:r>
          </w:p>
        </w:tc>
      </w:tr>
      <w:tr>
        <w:tc>
          <w:tcPr>
            <w:tcW w:type="dxa" w:w="2500"/>
            <w:shd w:fill="FFFFFF" w:color="auto" w:val="clear"/>
          </w:tcPr>
          <w:p>
            <w:pPr>
              <w:spacing w:after="60" w:before="60"/>
            </w:pPr>
            <w:r>
              <w:rPr>
                <w:rFonts w:ascii="Calibri" w:cs="Calibri" w:eastAsia="Calibri" w:hAnsi="Calibri"/>
                <w:sz w:val="20"/>
                <w:szCs w:val="20"/>
              </w:rPr>
              <w:t xml:space="preserve">Approval Authority</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Name of the regulatory body or authority — text only, not a system reference</w:t>
            </w:r>
          </w:p>
        </w:tc>
      </w:tr>
      <w:tr>
        <w:tc>
          <w:tcPr>
            <w:tcW w:type="dxa" w:w="2500"/>
            <w:shd w:fill="F1F8E9" w:color="auto" w:val="clear"/>
          </w:tcPr>
          <w:p>
            <w:pPr>
              <w:spacing w:after="60" w:before="60"/>
            </w:pPr>
            <w:r>
              <w:rPr>
                <w:rFonts w:ascii="Calibri" w:cs="Calibri" w:eastAsia="Calibri" w:hAnsi="Calibri"/>
                <w:sz w:val="20"/>
                <w:szCs w:val="20"/>
              </w:rPr>
              <w:t xml:space="preserve">Approval Lead Time (days)</w:t>
            </w:r>
          </w:p>
        </w:tc>
        <w:tc>
          <w:tcPr>
            <w:tcW w:type="dxa" w:w="1200"/>
            <w:shd w:fill="F1F8E9" w:color="auto" w:val="clear"/>
          </w:tcPr>
          <w:p>
            <w:pPr>
              <w:spacing w:after="60" w:before="60"/>
            </w:pPr>
            <w:r>
              <w:rPr>
                <w:rFonts w:ascii="Calibri" w:cs="Calibri" w:eastAsia="Calibri" w:hAnsi="Calibri"/>
                <w:sz w:val="20"/>
                <w:szCs w:val="20"/>
              </w:rPr>
              <w:t xml:space="preserve">Integer</w:t>
            </w:r>
          </w:p>
        </w:tc>
        <w:tc>
          <w:tcPr>
            <w:tcW w:type="dxa" w:w="1560"/>
            <w:shd w:fill="F1F8E9" w:color="auto" w:val="clear"/>
          </w:tcPr>
          <w:p>
            <w:pPr>
              <w:spacing w:after="60" w:before="60"/>
            </w:pPr>
            <w:r>
              <w:rPr>
                <w:rFonts w:ascii="Calibri" w:cs="Calibri" w:eastAsia="Calibri" w:hAnsi="Calibri"/>
                <w:sz w:val="20"/>
                <w:szCs w:val="20"/>
              </w:rPr>
              <w:t xml:space="preserve">30</w:t>
            </w:r>
          </w:p>
        </w:tc>
        <w:tc>
          <w:tcPr>
            <w:tcW w:type="dxa" w:w="4100"/>
            <w:shd w:fill="F1F8E9" w:color="auto" w:val="clear"/>
          </w:tcPr>
          <w:p>
            <w:pPr>
              <w:spacing w:after="60" w:before="60"/>
            </w:pPr>
            <w:r>
              <w:rPr>
                <w:rFonts w:ascii="Calibri" w:cs="Calibri" w:eastAsia="Calibri" w:hAnsi="Calibri"/>
                <w:sz w:val="20"/>
                <w:szCs w:val="20"/>
              </w:rPr>
              <w:t xml:space="preserve">Estimated lead time in calendar days to obtain this approval — used by Readiness Engine to back-calculate application deadline</w:t>
            </w:r>
          </w:p>
        </w:tc>
      </w:tr>
      <w:tr>
        <w:tc>
          <w:tcPr>
            <w:tcW w:type="dxa" w:w="2500"/>
            <w:shd w:fill="FFFFFF" w:color="auto" w:val="clear"/>
          </w:tcPr>
          <w:p>
            <w:pPr>
              <w:spacing w:after="60" w:before="60"/>
            </w:pPr>
            <w:r>
              <w:rPr>
                <w:rFonts w:ascii="Calibri" w:cs="Calibri" w:eastAsia="Calibri" w:hAnsi="Calibri"/>
                <w:sz w:val="20"/>
                <w:szCs w:val="20"/>
              </w:rPr>
              <w:t xml:space="preserve">Application Deadline Rule</w:t>
            </w:r>
          </w:p>
        </w:tc>
        <w:tc>
          <w:tcPr>
            <w:tcW w:type="dxa" w:w="1200"/>
            <w:shd w:fill="FFFFFF" w:color="auto" w:val="clear"/>
          </w:tcPr>
          <w:p>
            <w:pPr>
              <w:spacing w:after="60" w:before="60"/>
            </w:pPr>
            <w:r>
              <w:rPr>
                <w:rFonts w:ascii="Calibri" w:cs="Calibri" w:eastAsia="Calibri" w:hAnsi="Calibri"/>
                <w:sz w:val="20"/>
                <w:szCs w:val="20"/>
              </w:rPr>
              <w:t xml:space="preserve">Text</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Rule for when the application must be submitted (e.g., '60 days before planned COD', 'Before Construction Readiness Gate passes')</w:t>
            </w:r>
          </w:p>
        </w:tc>
      </w:tr>
      <w:tr>
        <w:tc>
          <w:tcPr>
            <w:tcW w:type="dxa" w:w="2500"/>
            <w:shd w:fill="F1F8E9" w:color="auto" w:val="clear"/>
          </w:tcPr>
          <w:p>
            <w:pPr>
              <w:spacing w:after="60" w:before="60"/>
            </w:pPr>
            <w:r>
              <w:rPr>
                <w:rFonts w:ascii="Calibri" w:cs="Calibri" w:eastAsia="Calibri" w:hAnsi="Calibri"/>
                <w:sz w:val="20"/>
                <w:szCs w:val="20"/>
              </w:rPr>
              <w:t xml:space="preserve">Reporting Frequency</w:t>
            </w:r>
          </w:p>
        </w:tc>
        <w:tc>
          <w:tcPr>
            <w:tcW w:type="dxa" w:w="1200"/>
            <w:shd w:fill="F1F8E9" w:color="auto" w:val="clear"/>
          </w:tcPr>
          <w:p>
            <w:pPr>
              <w:spacing w:after="60" w:before="60"/>
            </w:pPr>
            <w:r>
              <w:rPr>
                <w:rFonts w:ascii="Calibri" w:cs="Calibri" w:eastAsia="Calibri" w:hAnsi="Calibri"/>
                <w:sz w:val="20"/>
                <w:szCs w:val="20"/>
              </w:rPr>
              <w:t xml:space="preserve">Enum</w:t>
            </w:r>
          </w:p>
        </w:tc>
        <w:tc>
          <w:tcPr>
            <w:tcW w:type="dxa" w:w="1560"/>
            <w:shd w:fill="F1F8E9" w:color="auto" w:val="clear"/>
          </w:tcPr>
          <w:p>
            <w:pPr>
              <w:spacing w:after="60" w:before="60"/>
            </w:pPr>
            <w:r>
              <w:rPr>
                <w:rFonts w:ascii="Calibri" w:cs="Calibri" w:eastAsia="Calibri" w:hAnsi="Calibri"/>
                <w:sz w:val="20"/>
                <w:szCs w:val="20"/>
              </w:rPr>
              <w:t xml:space="preserve">annual</w:t>
            </w:r>
          </w:p>
        </w:tc>
        <w:tc>
          <w:tcPr>
            <w:tcW w:type="dxa" w:w="4100"/>
            <w:shd w:fill="F1F8E9" w:color="auto" w:val="clear"/>
          </w:tcPr>
          <w:p>
            <w:pPr>
              <w:spacing w:after="60" w:before="60"/>
            </w:pPr>
            <w:r>
              <w:rPr>
                <w:rFonts w:ascii="Calibri" w:cs="Calibri" w:eastAsia="Calibri" w:hAnsi="Calibri"/>
                <w:sz w:val="20"/>
                <w:szCs w:val="20"/>
              </w:rPr>
              <w:t xml:space="preserve">How often compliance reports must be submitted: monthly / quarterly / annual / milestone_triggered / one_time</w:t>
            </w:r>
          </w:p>
        </w:tc>
      </w:tr>
      <w:tr>
        <w:tc>
          <w:tcPr>
            <w:tcW w:type="dxa" w:w="2500"/>
            <w:shd w:fill="FFFFFF" w:color="auto" w:val="clear"/>
          </w:tcPr>
          <w:p>
            <w:pPr>
              <w:spacing w:after="60" w:before="60"/>
            </w:pPr>
            <w:r>
              <w:rPr>
                <w:rFonts w:ascii="Calibri" w:cs="Calibri" w:eastAsia="Calibri" w:hAnsi="Calibri"/>
                <w:sz w:val="20"/>
                <w:szCs w:val="20"/>
              </w:rPr>
              <w:t xml:space="preserve">Reporting Obligations</w:t>
            </w:r>
          </w:p>
        </w:tc>
        <w:tc>
          <w:tcPr>
            <w:tcW w:type="dxa" w:w="1200"/>
            <w:shd w:fill="FFFFFF" w:color="auto" w:val="clear"/>
          </w:tcPr>
          <w:p>
            <w:pPr>
              <w:spacing w:after="60" w:before="60"/>
            </w:pPr>
            <w:r>
              <w:rPr>
                <w:rFonts w:ascii="Calibri" w:cs="Calibri" w:eastAsia="Calibri" w:hAnsi="Calibri"/>
                <w:sz w:val="20"/>
                <w:szCs w:val="20"/>
              </w:rPr>
              <w:t xml:space="preserve">Text array</w:t>
            </w:r>
          </w:p>
        </w:tc>
        <w:tc>
          <w:tcPr>
            <w:tcW w:type="dxa" w:w="1560"/>
            <w:shd w:fill="FFFFFF" w:color="auto" w:val="clear"/>
          </w:tcPr>
          <w:p>
            <w:pPr>
              <w:spacing w:after="60" w:before="60"/>
            </w:pPr>
            <w:r>
              <w:rPr>
                <w:rFonts w:ascii="Calibri" w:cs="Calibri" w:eastAsia="Calibri" w:hAnsi="Calibri"/>
                <w:sz w:val="20"/>
                <w:szCs w:val="20"/>
              </w:rPr>
              <w:t xml:space="preserve">[]</w:t>
            </w:r>
          </w:p>
        </w:tc>
        <w:tc>
          <w:tcPr>
            <w:tcW w:type="dxa" w:w="4100"/>
            <w:shd w:fill="FFFFFF" w:color="auto" w:val="clear"/>
          </w:tcPr>
          <w:p>
            <w:pPr>
              <w:spacing w:after="60" w:before="60"/>
            </w:pPr>
            <w:r>
              <w:rPr>
                <w:rFonts w:ascii="Calibri" w:cs="Calibri" w:eastAsia="Calibri" w:hAnsi="Calibri"/>
                <w:sz w:val="20"/>
                <w:szCs w:val="20"/>
              </w:rPr>
              <w:t xml:space="preserve">List of periodic reports that must be submitted to this authority</w:t>
            </w:r>
          </w:p>
        </w:tc>
      </w:tr>
      <w:tr>
        <w:tc>
          <w:tcPr>
            <w:tcW w:type="dxa" w:w="2500"/>
            <w:shd w:fill="F1F8E9" w:color="auto" w:val="clear"/>
          </w:tcPr>
          <w:p>
            <w:pPr>
              <w:spacing w:after="60" w:before="60"/>
            </w:pPr>
            <w:r>
              <w:rPr>
                <w:rFonts w:ascii="Calibri" w:cs="Calibri" w:eastAsia="Calibri" w:hAnsi="Calibri"/>
                <w:sz w:val="20"/>
                <w:szCs w:val="20"/>
              </w:rPr>
              <w:t xml:space="preserve">Feeds COD Gate</w:t>
            </w:r>
          </w:p>
        </w:tc>
        <w:tc>
          <w:tcPr>
            <w:tcW w:type="dxa" w:w="1200"/>
            <w:shd w:fill="F1F8E9" w:color="auto" w:val="clear"/>
          </w:tcPr>
          <w:p>
            <w:pPr>
              <w:spacing w:after="60" w:before="60"/>
            </w:pPr>
            <w:r>
              <w:rPr>
                <w:rFonts w:ascii="Calibri" w:cs="Calibri" w:eastAsia="Calibri" w:hAnsi="Calibri"/>
                <w:sz w:val="20"/>
                <w:szCs w:val="20"/>
              </w:rPr>
              <w:t xml:space="preserve">Boolean</w:t>
            </w:r>
          </w:p>
        </w:tc>
        <w:tc>
          <w:tcPr>
            <w:tcW w:type="dxa" w:w="1560"/>
            <w:shd w:fill="F1F8E9" w:color="auto" w:val="clear"/>
          </w:tcPr>
          <w:p>
            <w:pPr>
              <w:spacing w:after="60" w:before="60"/>
            </w:pPr>
            <w:r>
              <w:rPr>
                <w:rFonts w:ascii="Calibri" w:cs="Calibri" w:eastAsia="Calibri" w:hAnsi="Calibri"/>
                <w:sz w:val="20"/>
                <w:szCs w:val="20"/>
              </w:rPr>
              <w:t xml:space="preserve">true</w:t>
            </w:r>
          </w:p>
        </w:tc>
        <w:tc>
          <w:tcPr>
            <w:tcW w:type="dxa" w:w="4100"/>
            <w:shd w:fill="F1F8E9" w:color="auto" w:val="clear"/>
          </w:tcPr>
          <w:p>
            <w:pPr>
              <w:spacing w:after="60" w:before="60"/>
            </w:pPr>
            <w:r>
              <w:rPr>
                <w:rFonts w:ascii="Calibri" w:cs="Calibri" w:eastAsia="Calibri" w:hAnsi="Calibri"/>
                <w:sz w:val="20"/>
                <w:szCs w:val="20"/>
              </w:rPr>
              <w:t xml:space="preserve">Whether this compliance item must be certified complete before the COD Readiness gate can pass</w:t>
            </w:r>
          </w:p>
        </w:tc>
      </w:tr>
      <w:tr>
        <w:tc>
          <w:tcPr>
            <w:tcW w:type="dxa" w:w="2500"/>
            <w:shd w:fill="FFFFFF" w:color="auto" w:val="clear"/>
          </w:tcPr>
          <w:p>
            <w:pPr>
              <w:spacing w:after="60" w:before="60"/>
            </w:pPr>
            <w:r>
              <w:rPr>
                <w:rFonts w:ascii="Calibri" w:cs="Calibri" w:eastAsia="Calibri" w:hAnsi="Calibri"/>
                <w:sz w:val="20"/>
                <w:szCs w:val="20"/>
              </w:rPr>
              <w:t xml:space="preserve">Alert Lead Time (days)</w:t>
            </w:r>
          </w:p>
        </w:tc>
        <w:tc>
          <w:tcPr>
            <w:tcW w:type="dxa" w:w="1200"/>
            <w:shd w:fill="FFFFFF" w:color="auto" w:val="clear"/>
          </w:tcPr>
          <w:p>
            <w:pPr>
              <w:spacing w:after="60" w:before="60"/>
            </w:pPr>
            <w:r>
              <w:rPr>
                <w:rFonts w:ascii="Calibri" w:cs="Calibri" w:eastAsia="Calibri" w:hAnsi="Calibri"/>
                <w:sz w:val="20"/>
                <w:szCs w:val="20"/>
              </w:rPr>
              <w:t xml:space="preserve">Integer</w:t>
            </w:r>
          </w:p>
        </w:tc>
        <w:tc>
          <w:tcPr>
            <w:tcW w:type="dxa" w:w="1560"/>
            <w:shd w:fill="FFFFFF" w:color="auto" w:val="clear"/>
          </w:tcPr>
          <w:p>
            <w:pPr>
              <w:spacing w:after="60" w:before="60"/>
            </w:pPr>
            <w:r>
              <w:rPr>
                <w:rFonts w:ascii="Calibri" w:cs="Calibri" w:eastAsia="Calibri" w:hAnsi="Calibri"/>
                <w:sz w:val="20"/>
                <w:szCs w:val="20"/>
              </w:rPr>
              <w:t xml:space="preserve">14</w:t>
            </w:r>
          </w:p>
        </w:tc>
        <w:tc>
          <w:tcPr>
            <w:tcW w:type="dxa" w:w="4100"/>
            <w:shd w:fill="FFFFFF" w:color="auto" w:val="clear"/>
          </w:tcPr>
          <w:p>
            <w:pPr>
              <w:spacing w:after="60" w:before="60"/>
            </w:pPr>
            <w:r>
              <w:rPr>
                <w:rFonts w:ascii="Calibri" w:cs="Calibri" w:eastAsia="Calibri" w:hAnsi="Calibri"/>
                <w:sz w:val="20"/>
                <w:szCs w:val="20"/>
              </w:rPr>
              <w:t xml:space="preserve">Number of days before a regulatory deadline that Green PM raises an alert to the responsible role</w:t>
            </w:r>
          </w:p>
        </w:tc>
      </w:tr>
      <w:tr>
        <w:tc>
          <w:tcPr>
            <w:tcW w:type="dxa" w:w="2500"/>
            <w:shd w:fill="F1F8E9" w:color="auto" w:val="clear"/>
          </w:tcPr>
          <w:p>
            <w:pPr>
              <w:spacing w:after="60" w:before="60"/>
            </w:pPr>
            <w:r>
              <w:rPr>
                <w:rFonts w:ascii="Calibri" w:cs="Calibri" w:eastAsia="Calibri" w:hAnsi="Calibri"/>
                <w:sz w:val="20"/>
                <w:szCs w:val="20"/>
              </w:rPr>
              <w:t xml:space="preserve">Responsible Role</w:t>
            </w:r>
          </w:p>
        </w:tc>
        <w:tc>
          <w:tcPr>
            <w:tcW w:type="dxa" w:w="1200"/>
            <w:shd w:fill="F1F8E9" w:color="auto" w:val="clear"/>
          </w:tcPr>
          <w:p>
            <w:pPr>
              <w:spacing w:after="60" w:before="60"/>
            </w:pPr>
            <w:r>
              <w:rPr>
                <w:rFonts w:ascii="Calibri" w:cs="Calibri" w:eastAsia="Calibri" w:hAnsi="Calibri"/>
                <w:sz w:val="20"/>
                <w:szCs w:val="20"/>
              </w:rPr>
              <w:t xml:space="preserve">Role reference</w:t>
            </w:r>
          </w:p>
        </w:tc>
        <w:tc>
          <w:tcPr>
            <w:tcW w:type="dxa" w:w="1560"/>
            <w:shd w:fill="F1F8E9" w:color="auto" w:val="clear"/>
          </w:tcPr>
          <w:p>
            <w:pPr>
              <w:spacing w:after="60" w:before="60"/>
            </w:pPr>
            <w:r>
              <w:rPr>
                <w:rFonts w:ascii="Calibri" w:cs="Calibri" w:eastAsia="Calibri" w:hAnsi="Calibri"/>
                <w:sz w:val="20"/>
                <w:szCs w:val="20"/>
              </w:rPr>
              <w:t xml:space="preserve">project_director</w:t>
            </w:r>
          </w:p>
        </w:tc>
        <w:tc>
          <w:tcPr>
            <w:tcW w:type="dxa" w:w="4100"/>
            <w:shd w:fill="F1F8E9" w:color="auto" w:val="clear"/>
          </w:tcPr>
          <w:p>
            <w:pPr>
              <w:spacing w:after="60" w:before="60"/>
            </w:pPr>
            <w:r>
              <w:rPr>
                <w:rFonts w:ascii="Calibri" w:cs="Calibri" w:eastAsia="Calibri" w:hAnsi="Calibri"/>
                <w:sz w:val="20"/>
                <w:szCs w:val="20"/>
              </w:rPr>
              <w:t xml:space="preserve">Role responsible for managing this regulatory requirement — receives alerts when deadlines approach</w:t>
            </w:r>
          </w:p>
        </w:tc>
      </w:tr>
    </w:tbl>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GreenPM v5 Green PM Studio</dc:title>
  <dc:creator>Green PM</dc:creator>
  <dc:description>Configuration layer reference — 15 builders for client-specific adaptation</dc:description>
  <cp:lastModifiedBy>Un-named</cp:lastModifiedBy>
  <cp:revision>1</cp:revision>
  <dcterms:created xsi:type="dcterms:W3CDTF">2026-08-03T11:57:41.211Z</dcterms:created>
  <dcterms:modified xsi:type="dcterms:W3CDTF">2026-08-03T11:57:41.214Z</dcterms:modified>
</cp:coreProperties>
</file>

<file path=docProps/custom.xml><?xml version="1.0" encoding="utf-8"?>
<Properties xmlns="http://schemas.openxmlformats.org/officeDocument/2006/custom-properties" xmlns:vt="http://schemas.openxmlformats.org/officeDocument/2006/docPropsVTypes"/>
</file>