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line="280"/>
        <w:jc w:val="left"/>
      </w:pPr>
      <w:r>
        <w:rPr>
          <w:rFonts w:ascii="Calibri" w:cs="Calibri" w:eastAsia="Calibri" w:hAnsi="Calibri"/>
          <w:b w:val="false"/>
          <w:bCs w:val="false"/>
          <w:i w:val="false"/>
          <w:iCs w:val="false"/>
          <w:color w:val="37474F"/>
          <w:sz w:val="22"/>
          <w:szCs w:val="22"/>
        </w:rPr>
        <w:t xml:space="preserve"/>
      </w:r>
    </w:p>
    <w:p>
      <w:pPr>
        <w:spacing w:after="120" w:before="0" w:line="280"/>
        <w:jc w:val="center"/>
      </w:pPr>
      <w:r>
        <w:rPr>
          <w:rFonts w:ascii="Calibri" w:cs="Calibri" w:eastAsia="Calibri" w:hAnsi="Calibri"/>
          <w:b/>
          <w:bCs/>
          <w:i w:val="false"/>
          <w:iCs w:val="false"/>
          <w:color w:val="1B5E20"/>
          <w:sz w:val="68"/>
          <w:szCs w:val="68"/>
        </w:rPr>
        <w:t xml:space="preserve">Green PM</w:t>
      </w:r>
    </w:p>
    <w:p>
      <w:pPr>
        <w:spacing w:after="160" w:before="0" w:line="280"/>
        <w:jc w:val="center"/>
      </w:pPr>
      <w:r>
        <w:rPr>
          <w:rFonts w:ascii="Calibri" w:cs="Calibri" w:eastAsia="Calibri" w:hAnsi="Calibri"/>
          <w:b w:val="false"/>
          <w:bCs w:val="false"/>
          <w:i/>
          <w:iCs/>
          <w:color w:val="388E3C"/>
          <w:sz w:val="28"/>
          <w:szCs w:val="28"/>
        </w:rPr>
        <w:t xml:space="preserve">Engineering Project Intelligence Platform</w:t>
      </w:r>
    </w:p>
    <w:p>
      <w:pPr>
        <w:pBdr>
          <w:bottom w:val="single" w:color="A5D6A7" w:sz="6"/>
        </w:pBdr>
        <w:spacing w:after="120" w:before="120" w:line="280"/>
        <w:jc w:val="left"/>
      </w:pPr>
    </w:p>
    <w:p>
      <w:pPr>
        <w:spacing w:after="240" w:before="240" w:line="280"/>
        <w:jc w:val="center"/>
      </w:pPr>
      <w:r>
        <w:rPr>
          <w:rFonts w:ascii="Calibri" w:cs="Calibri" w:eastAsia="Calibri" w:hAnsi="Calibri"/>
          <w:b/>
          <w:bCs/>
          <w:i w:val="false"/>
          <w:iCs w:val="false"/>
          <w:color w:val="2E7D32"/>
          <w:sz w:val="48"/>
          <w:szCs w:val="48"/>
        </w:rPr>
        <w:t xml:space="preserve">v5 Information Architecture</w:t>
      </w:r>
    </w:p>
    <w:p>
      <w:pPr>
        <w:pBdr>
          <w:bottom w:val="single" w:color="A5D6A7" w:sz="6"/>
        </w:pBdr>
        <w:spacing w:after="120" w:before="120" w:line="280"/>
        <w:jc w:val="left"/>
      </w:pPr>
    </w:p>
    <w:p>
      <w:pPr>
        <w:spacing w:after="480" w:before="0" w:line="280"/>
        <w:jc w:val="left"/>
      </w:pPr>
      <w:r>
        <w:rPr>
          <w:rFonts w:ascii="Calibri" w:cs="Calibri" w:eastAsia="Calibri" w:hAnsi="Calibri"/>
          <w:b w:val="false"/>
          <w:bCs w:val="false"/>
          <w:i w:val="false"/>
          <w:iCs w:val="false"/>
          <w:color w:val="37474F"/>
          <w:sz w:val="22"/>
          <w:szCs w:val="22"/>
        </w:rPr>
        <w:t xml:space="preserve"/>
      </w:r>
    </w:p>
    <w:p>
      <w:pPr>
        <w:spacing w:after="120" w:before="0" w:line="280"/>
        <w:jc w:val="center"/>
      </w:pPr>
      <w:r>
        <w:rPr>
          <w:rFonts w:ascii="Calibri" w:cs="Calibri" w:eastAsia="Calibri" w:hAnsi="Calibri"/>
          <w:b w:val="false"/>
          <w:bCs w:val="false"/>
          <w:i w:val="false"/>
          <w:iCs w:val="false"/>
          <w:color w:val="546E7A"/>
          <w:sz w:val="22"/>
          <w:szCs w:val="22"/>
        </w:rPr>
        <w:t xml:space="preserve">Version 5.0  ·  August 2026</w:t>
      </w:r>
    </w:p>
    <w:p>
      <w:pPr>
        <w:spacing w:after="120" w:before="0" w:line="280"/>
        <w:jc w:val="center"/>
      </w:pPr>
      <w:r>
        <w:rPr>
          <w:rFonts w:ascii="Calibri" w:cs="Calibri" w:eastAsia="Calibri" w:hAnsi="Calibri"/>
          <w:b/>
          <w:bCs/>
          <w:i w:val="false"/>
          <w:iCs w:val="false"/>
          <w:color w:val="E65100"/>
          <w:sz w:val="18"/>
          <w:szCs w:val="18"/>
        </w:rPr>
        <w:t xml:space="preserve">CONFIDENTIAL  —  INTERNAL USE ONLY</w:t>
      </w:r>
    </w:p>
    <w:p>
      <w:pPr>
        <w:spacing w:after="0"/>
      </w:pPr>
      <w:r>
        <w:br w:type="page"/>
      </w:r>
    </w:p>
    <w:p>
      <w:pPr>
        <w:pStyle w:val="Heading1"/>
        <w:spacing w:after="200" w:before="480" w:line="280"/>
        <w:jc w:val="left"/>
      </w:pPr>
      <w:r>
        <w:rPr>
          <w:rFonts w:ascii="Calibri" w:cs="Calibri" w:eastAsia="Calibri" w:hAnsi="Calibri"/>
          <w:b/>
          <w:bCs/>
          <w:i w:val="false"/>
          <w:iCs w:val="false"/>
          <w:color w:val="1B5E20"/>
          <w:sz w:val="36"/>
          <w:szCs w:val="36"/>
        </w:rPr>
        <w:t xml:space="preserve">1. Information Architecture Philosophy</w:t>
      </w:r>
    </w:p>
    <w:p>
      <w:pPr>
        <w:spacing w:after="160" w:before="0" w:line="280"/>
        <w:jc w:val="left"/>
      </w:pPr>
      <w:r>
        <w:rPr>
          <w:rFonts w:ascii="Calibri" w:cs="Calibri" w:eastAsia="Calibri" w:hAnsi="Calibri"/>
          <w:b w:val="false"/>
          <w:bCs w:val="false"/>
          <w:i w:val="false"/>
          <w:iCs w:val="false"/>
          <w:color w:val="37474F"/>
          <w:sz w:val="22"/>
          <w:szCs w:val="22"/>
        </w:rPr>
        <w:t xml:space="preserve">Green PM v5 organises all project intelligence into two distinct environments. Each environment serves a different purpose and a different type of user action.</w:t>
      </w:r>
    </w:p>
    <w:p>
      <w:pPr>
        <w:pStyle w:val="Heading2"/>
        <w:spacing w:after="160" w:before="360" w:line="280"/>
        <w:jc w:val="left"/>
      </w:pPr>
      <w:r>
        <w:rPr>
          <w:rFonts w:ascii="Calibri" w:cs="Calibri" w:eastAsia="Calibri" w:hAnsi="Calibri"/>
          <w:b/>
          <w:bCs/>
          <w:i w:val="false"/>
          <w:iCs w:val="false"/>
          <w:color w:val="2E7D32"/>
          <w:sz w:val="28"/>
          <w:szCs w:val="28"/>
        </w:rPr>
        <w:t xml:space="preserve">1.1  Two Environments</w:t>
      </w:r>
    </w:p>
    <w:tbl>
      <w:tblPr>
        <w:tblW w:type="dxa" w:w="9360"/>
        <w:tblBorders>
          <w:top w:val="single" w:color="A5D6A7" w:sz="4"/>
          <w:left w:val="single" w:color="A5D6A7" w:sz="4"/>
          <w:bottom w:val="single" w:color="A5D6A7" w:sz="4"/>
          <w:right w:val="single" w:color="A5D6A7" w:sz="4"/>
          <w:insideH w:val="single" w:color="auto" w:sz="4"/>
          <w:insideV w:val="single" w:color="auto" w:sz="4"/>
        </w:tblBorders>
      </w:tblPr>
      <w:tblGrid>
        <w:gridCol w:w="2400"/>
        <w:gridCol w:w="6960"/>
      </w:tblGrid>
      <w:tr>
        <w:trPr>
          <w:tblHeader/>
        </w:trPr>
        <w:tc>
          <w:tcPr>
            <w:tcW w:type="dxa" w:w="2400"/>
            <w:gridSpan w:val="1"/>
            <w:shd w:fill="2E7D32"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Environment</w:t>
            </w:r>
          </w:p>
        </w:tc>
        <w:tc>
          <w:tcPr>
            <w:tcW w:type="dxa" w:w="6960"/>
            <w:gridSpan w:val="1"/>
            <w:shd w:fill="2E7D32"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Purpose</w:t>
            </w:r>
          </w:p>
        </w:tc>
      </w:tr>
      <w:tr>
        <w:trPr>
          <w:tblHeader w:val="false"/>
        </w:trPr>
        <w:tc>
          <w:tcPr>
            <w:tcW w:type="dxa" w:w="24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Project Environment</w:t>
            </w:r>
          </w:p>
        </w:tc>
        <w:tc>
          <w:tcPr>
            <w:tcW w:type="dxa" w:w="69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The working environment where day-to-day project intelligence is consumed and created. Used by the full project team — site engineers, project managers, procurement, quality, commissioning, and executives.</w:t>
            </w:r>
          </w:p>
        </w:tc>
      </w:tr>
      <w:tr>
        <w:trPr>
          <w:tblHeader w:val="false"/>
        </w:trPr>
        <w:tc>
          <w:tcPr>
            <w:tcW w:type="dxa" w:w="24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Studio Environment</w:t>
            </w:r>
          </w:p>
        </w:tc>
        <w:tc>
          <w:tcPr>
            <w:tcW w:type="dxa" w:w="69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Where tenant administrators configure Green PM for their organisation — stage gates, alert rules, approval chains, vendor scoring weights, readiness gate criteria, and more. No code required.</w:t>
            </w:r>
          </w:p>
        </w:tc>
      </w:tr>
    </w:tbl>
    <w:p>
      <w:pPr>
        <w:spacing w:after="200" w:before="0" w:line="280"/>
        <w:jc w:val="left"/>
      </w:pPr>
      <w:r>
        <w:rPr>
          <w:rFonts w:ascii="Calibri" w:cs="Calibri" w:eastAsia="Calibri" w:hAnsi="Calibri"/>
          <w:b w:val="false"/>
          <w:bCs w:val="false"/>
          <w:i w:val="false"/>
          <w:iCs w:val="false"/>
          <w:color w:val="37474F"/>
          <w:sz w:val="22"/>
          <w:szCs w:val="22"/>
        </w:rPr>
        <w:t xml:space="preserve"/>
      </w:r>
    </w:p>
    <w:p>
      <w:pPr>
        <w:pStyle w:val="Heading2"/>
        <w:spacing w:after="160" w:before="360" w:line="280"/>
        <w:jc w:val="left"/>
      </w:pPr>
      <w:r>
        <w:rPr>
          <w:rFonts w:ascii="Calibri" w:cs="Calibri" w:eastAsia="Calibri" w:hAnsi="Calibri"/>
          <w:b/>
          <w:bCs/>
          <w:i w:val="false"/>
          <w:iCs w:val="false"/>
          <w:color w:val="2E7D32"/>
          <w:sz w:val="28"/>
          <w:szCs w:val="28"/>
        </w:rPr>
        <w:t xml:space="preserve">1.2  Entity Workspace: The Dominant Pattern</w:t>
      </w:r>
    </w:p>
    <w:p>
      <w:pPr>
        <w:spacing w:after="120" w:before="0" w:line="280"/>
        <w:jc w:val="left"/>
      </w:pPr>
      <w:r>
        <w:rPr>
          <w:rFonts w:ascii="Calibri" w:cs="Calibri" w:eastAsia="Calibri" w:hAnsi="Calibri"/>
          <w:b w:val="false"/>
          <w:bCs w:val="false"/>
          <w:i w:val="false"/>
          <w:iCs w:val="false"/>
          <w:color w:val="37474F"/>
          <w:sz w:val="22"/>
          <w:szCs w:val="22"/>
        </w:rPr>
        <w:t xml:space="preserve">The Entity Workspace is the primary interaction pattern in Green PM v5. Opening any project entity — an activity, drawing, equipment tag, vendor, change order, decision, risk, or shipment — reveals all connected intelligence without requiring navigation.</w:t>
      </w:r>
    </w:p>
    <w:p>
      <w:pPr>
        <w:spacing w:after="120" w:before="0" w:line="280"/>
        <w:jc w:val="left"/>
      </w:pPr>
      <w:r>
        <w:rPr>
          <w:rFonts w:ascii="Calibri" w:cs="Calibri" w:eastAsia="Calibri" w:hAnsi="Calibri"/>
          <w:b w:val="false"/>
          <w:bCs w:val="false"/>
          <w:i w:val="false"/>
          <w:iCs w:val="false"/>
          <w:color w:val="37474F"/>
          <w:sz w:val="22"/>
          <w:szCs w:val="22"/>
        </w:rPr>
        <w:t xml:space="preserve">v5 expands Entity Workspaces from 5 types (v4) to 10 types, powered by the Project Intelligence Graph:</w:t>
      </w:r>
    </w:p>
    <w:tbl>
      <w:tblPr>
        <w:tblW w:type="dxa" w:w="9360"/>
        <w:tblBorders>
          <w:top w:val="single" w:color="A5D6A7" w:sz="4"/>
          <w:left w:val="single" w:color="A5D6A7" w:sz="4"/>
          <w:bottom w:val="single" w:color="A5D6A7" w:sz="4"/>
          <w:right w:val="single" w:color="A5D6A7" w:sz="4"/>
          <w:insideH w:val="single" w:color="auto" w:sz="4"/>
          <w:insideV w:val="single" w:color="auto" w:sz="4"/>
        </w:tblBorders>
      </w:tblPr>
      <w:tblGrid>
        <w:gridCol w:w="2160"/>
        <w:gridCol w:w="7200"/>
      </w:tblGrid>
      <w:tr>
        <w:trPr>
          <w:tblHeader/>
        </w:trPr>
        <w:tc>
          <w:tcPr>
            <w:tcW w:type="dxa" w:w="2160"/>
            <w:gridSpan w:val="1"/>
            <w:shd w:fill="2E7D32"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Workspace Type</w:t>
            </w:r>
          </w:p>
        </w:tc>
        <w:tc>
          <w:tcPr>
            <w:tcW w:type="dxa" w:w="7200"/>
            <w:gridSpan w:val="1"/>
            <w:shd w:fill="2E7D32"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Connected Intelligence Surfaced</w:t>
            </w:r>
          </w:p>
        </w:tc>
      </w:tr>
      <w:tr>
        <w:trPr>
          <w:tblHeader w:val="false"/>
        </w:trPr>
        <w:tc>
          <w:tcPr>
            <w:tcW w:type="dxa" w:w="21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Activity Workspace</w:t>
            </w:r>
          </w:p>
        </w:tc>
        <w:tc>
          <w:tcPr>
            <w:tcW w:type="dxa" w:w="72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Schedule position, predecessor/successor chain, evidence trail, risks, changes, drawing requirements, vendor dependencies, readiness status, coordination items, decisions</w:t>
            </w:r>
          </w:p>
        </w:tc>
      </w:tr>
      <w:tr>
        <w:trPr>
          <w:tblHeader w:val="false"/>
        </w:trPr>
        <w:tc>
          <w:tcPr>
            <w:tcW w:type="dxa" w:w="21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Drawing Workspace</w:t>
            </w:r>
          </w:p>
        </w:tc>
        <w:tc>
          <w:tcPr>
            <w:tcW w:type="dxa" w:w="72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Current revision, all revisions, RFI log, impacted activities, materials specified, vendor documentation, approval chain, distribution list, consistency alerts</w:t>
            </w:r>
          </w:p>
        </w:tc>
      </w:tr>
      <w:tr>
        <w:trPr>
          <w:tblHeader w:val="false"/>
        </w:trPr>
        <w:tc>
          <w:tcPr>
            <w:tcW w:type="dxa" w:w="21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Equipment Workspace</w:t>
            </w:r>
          </w:p>
        </w:tc>
        <w:tc>
          <w:tcPr>
            <w:tcW w:type="dxa" w:w="72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Tag number, design spec, purchase order, vendor, FAT status, shipment, installation activity, commissioning activities, QA inspection records, spare parts</w:t>
            </w:r>
          </w:p>
        </w:tc>
      </w:tr>
      <w:tr>
        <w:trPr>
          <w:tblHeader w:val="false"/>
        </w:trPr>
        <w:tc>
          <w:tcPr>
            <w:tcW w:type="dxa" w:w="21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Vendor Workspace</w:t>
            </w:r>
          </w:p>
        </w:tc>
        <w:tc>
          <w:tcPr>
            <w:tcW w:type="dxa" w:w="72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All deliverables, performance scores (6 dimensions), contract milestones, dispatch schedule, NCRs, correspondence, payment status, causal attribution</w:t>
            </w:r>
          </w:p>
        </w:tc>
      </w:tr>
      <w:tr>
        <w:trPr>
          <w:tblHeader w:val="false"/>
        </w:trPr>
        <w:tc>
          <w:tcPr>
            <w:tcW w:type="dxa" w:w="21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Change Workspace</w:t>
            </w:r>
          </w:p>
        </w:tc>
        <w:tc>
          <w:tcPr>
            <w:tcW w:type="dxa" w:w="72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Originating event, impact assessment, affected activities (PIG traversal), affected drawings, approval chain, coordination items, cost impact, schedule impact</w:t>
            </w:r>
          </w:p>
        </w:tc>
      </w:tr>
      <w:tr>
        <w:trPr>
          <w:tblHeader w:val="false"/>
        </w:trPr>
        <w:tc>
          <w:tcPr>
            <w:tcW w:type="dxa" w:w="21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Decision Workspace</w:t>
            </w:r>
          </w:p>
        </w:tc>
        <w:tc>
          <w:tcPr>
            <w:tcW w:type="dxa" w:w="72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Decision record, options considered, evidence basis, approvers, outcome, implementation tracking, institutional memory links</w:t>
            </w:r>
          </w:p>
        </w:tc>
      </w:tr>
      <w:tr>
        <w:trPr>
          <w:tblHeader w:val="false"/>
        </w:trPr>
        <w:tc>
          <w:tcPr>
            <w:tcW w:type="dxa" w:w="21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Risk Workspace</w:t>
            </w:r>
          </w:p>
        </w:tc>
        <w:tc>
          <w:tcPr>
            <w:tcW w:type="dxa" w:w="72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Risk description, probability/impact, mitigation plan, trigger indicators, monitoring cadence, linked activities, linked changes, historical similar risks</w:t>
            </w:r>
          </w:p>
        </w:tc>
      </w:tr>
      <w:tr>
        <w:trPr>
          <w:tblHeader w:val="false"/>
        </w:trPr>
        <w:tc>
          <w:tcPr>
            <w:tcW w:type="dxa" w:w="21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Shipment Workspace</w:t>
            </w:r>
          </w:p>
        </w:tc>
        <w:tc>
          <w:tcPr>
            <w:tcW w:type="dxa" w:w="72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Material description, PO reference, vendor, dispatch date, current location, ETA, inspection status, receiving confirmation, storage location, installation activity</w:t>
            </w:r>
          </w:p>
        </w:tc>
      </w:tr>
      <w:tr>
        <w:trPr>
          <w:tblHeader w:val="false"/>
        </w:trPr>
        <w:tc>
          <w:tcPr>
            <w:tcW w:type="dxa" w:w="21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Package Workspace</w:t>
            </w:r>
          </w:p>
        </w:tc>
        <w:tc>
          <w:tcPr>
            <w:tcW w:type="dxa" w:w="72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All items in package, procurement status, vendor, drawing requirements, MTO status, bulk/tagged breakdown</w:t>
            </w:r>
          </w:p>
        </w:tc>
      </w:tr>
      <w:tr>
        <w:trPr>
          <w:tblHeader w:val="false"/>
        </w:trPr>
        <w:tc>
          <w:tcPr>
            <w:tcW w:type="dxa" w:w="21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WBS Workspace</w:t>
            </w:r>
          </w:p>
        </w:tc>
        <w:tc>
          <w:tcPr>
            <w:tcW w:type="dxa" w:w="72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All activities in WBS element, progress rollup, evidence score rollup, cost rollup, resource loading, risk exposure, readiness status</w:t>
            </w:r>
          </w:p>
        </w:tc>
      </w:tr>
    </w:tbl>
    <w:p>
      <w:pPr>
        <w:spacing w:after="200" w:before="0" w:line="280"/>
        <w:jc w:val="left"/>
      </w:pPr>
      <w:r>
        <w:rPr>
          <w:rFonts w:ascii="Calibri" w:cs="Calibri" w:eastAsia="Calibri" w:hAnsi="Calibri"/>
          <w:b w:val="false"/>
          <w:bCs w:val="false"/>
          <w:i w:val="false"/>
          <w:iCs w:val="false"/>
          <w:color w:val="37474F"/>
          <w:sz w:val="22"/>
          <w:szCs w:val="22"/>
        </w:rPr>
        <w:t xml:space="preserve"/>
      </w:r>
    </w:p>
    <w:p>
      <w:pPr>
        <w:pStyle w:val="Heading2"/>
        <w:spacing w:after="160" w:before="360" w:line="280"/>
        <w:jc w:val="left"/>
      </w:pPr>
      <w:r>
        <w:rPr>
          <w:rFonts w:ascii="Calibri" w:cs="Calibri" w:eastAsia="Calibri" w:hAnsi="Calibri"/>
          <w:b/>
          <w:bCs/>
          <w:i w:val="false"/>
          <w:iCs w:val="false"/>
          <w:color w:val="2E7D32"/>
          <w:sz w:val="28"/>
          <w:szCs w:val="28"/>
        </w:rPr>
        <w:t xml:space="preserve">1.3  Architectural Foundation: Project Intelligence Graph (PIG)</w:t>
      </w:r>
    </w:p>
    <w:p>
      <w:pPr>
        <w:spacing w:after="120" w:before="0" w:line="280"/>
        <w:jc w:val="left"/>
      </w:pPr>
      <w:r>
        <w:rPr>
          <w:rFonts w:ascii="Calibri" w:cs="Calibri" w:eastAsia="Calibri" w:hAnsi="Calibri"/>
          <w:b w:val="false"/>
          <w:bCs w:val="false"/>
          <w:i w:val="false"/>
          <w:iCs w:val="false"/>
          <w:color w:val="37474F"/>
          <w:sz w:val="22"/>
          <w:szCs w:val="22"/>
        </w:rPr>
        <w:t xml:space="preserve">All Entity Workspaces are powered by the Project Intelligence Graph — a live, persistent property graph with 20+ node types and 30+ typed edge types. Opening an entity workspace traverses the PIG in real time to surface all connected intelligence. Every engine queries the PIG; engines do not maintain their own relationship models.</w:t>
      </w:r>
    </w:p>
    <w:p>
      <w:pPr>
        <w:spacing w:after="200" w:before="0" w:line="280"/>
        <w:jc w:val="left"/>
      </w:pPr>
      <w:r>
        <w:rPr>
          <w:rFonts w:ascii="Calibri" w:cs="Calibri" w:eastAsia="Calibri" w:hAnsi="Calibri"/>
          <w:b w:val="false"/>
          <w:bCs w:val="false"/>
          <w:i w:val="false"/>
          <w:iCs w:val="false"/>
          <w:color w:val="37474F"/>
          <w:sz w:val="22"/>
          <w:szCs w:val="22"/>
        </w:rPr>
        <w:t xml:space="preserve">This is why Entity Workspaces show consistent, synchronised intelligence regardless of which engine last processed an event.</w:t>
      </w:r>
    </w:p>
    <w:p>
      <w:pPr>
        <w:spacing w:after="0"/>
      </w:pPr>
      <w:r>
        <w:br w:type="page"/>
      </w:r>
    </w:p>
    <w:p>
      <w:pPr>
        <w:pStyle w:val="Heading1"/>
        <w:spacing w:after="200" w:before="480" w:line="280"/>
        <w:jc w:val="left"/>
      </w:pPr>
      <w:r>
        <w:rPr>
          <w:rFonts w:ascii="Calibri" w:cs="Calibri" w:eastAsia="Calibri" w:hAnsi="Calibri"/>
          <w:b/>
          <w:bCs/>
          <w:i w:val="false"/>
          <w:iCs w:val="false"/>
          <w:color w:val="1B5E20"/>
          <w:sz w:val="36"/>
          <w:szCs w:val="36"/>
        </w:rPr>
        <w:t xml:space="preserve">2. Project Environment — Screen Inventory</w:t>
      </w:r>
    </w:p>
    <w:p>
      <w:pPr>
        <w:spacing w:after="200" w:before="0" w:line="280"/>
        <w:jc w:val="left"/>
      </w:pPr>
      <w:r>
        <w:rPr>
          <w:rFonts w:ascii="Calibri" w:cs="Calibri" w:eastAsia="Calibri" w:hAnsi="Calibri"/>
          <w:b w:val="false"/>
          <w:bCs w:val="false"/>
          <w:i w:val="false"/>
          <w:iCs w:val="false"/>
          <w:color w:val="37474F"/>
          <w:sz w:val="22"/>
          <w:szCs w:val="22"/>
        </w:rPr>
        <w:t xml:space="preserve">The Project Environment contains 83 enumerated screens across 17 groups. Every screen is reachable from the global command bar (⌘K) and no screen is more than 3 taps from the home dashboard.</w:t>
      </w:r>
    </w:p>
    <w:p>
      <w:pPr>
        <w:pStyle w:val="Heading2"/>
        <w:spacing w:after="100" w:before="360" w:line="280"/>
        <w:jc w:val="left"/>
      </w:pPr>
      <w:r>
        <w:rPr>
          <w:rFonts w:ascii="Calibri" w:cs="Calibri" w:eastAsia="Calibri" w:hAnsi="Calibri"/>
          <w:b/>
          <w:bCs/>
          <w:i w:val="false"/>
          <w:iCs w:val="false"/>
          <w:color w:val="2E7D32"/>
          <w:sz w:val="26"/>
          <w:szCs w:val="26"/>
        </w:rPr>
        <w:t xml:space="preserve">Group 1: Project Command Centre (PCC)</w:t>
      </w:r>
    </w:p>
    <w:p>
      <w:pPr>
        <w:spacing w:after="120" w:before="0" w:line="280"/>
        <w:jc w:val="left"/>
      </w:pPr>
      <w:r>
        <w:rPr>
          <w:rFonts w:ascii="Calibri" w:cs="Calibri" w:eastAsia="Calibri" w:hAnsi="Calibri"/>
          <w:b/>
          <w:bCs/>
          <w:i w:val="false"/>
          <w:iCs w:val="false"/>
          <w:color w:val="388E3C"/>
          <w:sz w:val="20"/>
          <w:szCs w:val="20"/>
        </w:rPr>
        <w:t xml:space="preserve">8 screens</w:t>
      </w:r>
    </w:p>
    <w:p>
      <w:pPr>
        <w:spacing w:after="120" w:before="0" w:line="280"/>
        <w:jc w:val="left"/>
      </w:pPr>
      <w:r>
        <w:rPr>
          <w:rFonts w:ascii="Calibri" w:cs="Calibri" w:eastAsia="Calibri" w:hAnsi="Calibri"/>
          <w:b w:val="false"/>
          <w:bCs w:val="false"/>
          <w:i w:val="false"/>
          <w:iCs w:val="false"/>
          <w:color w:val="37474F"/>
          <w:sz w:val="22"/>
          <w:szCs w:val="22"/>
        </w:rPr>
        <w:t xml:space="preserve">The Project Command Centre is the home dashboard. It delivers the Executive Digital Twin every Monday: Reality, Forecast, and Required Decisions. All eight panels are live — data is refreshed via Firestore in real time.</w:t>
      </w:r>
    </w:p>
    <w:tbl>
      <w:tblPr>
        <w:tblW w:type="dxa" w:w="9360"/>
        <w:tblBorders>
          <w:top w:val="single" w:color="A5D6A7" w:sz="4"/>
          <w:left w:val="single" w:color="A5D6A7" w:sz="4"/>
          <w:bottom w:val="single" w:color="A5D6A7" w:sz="4"/>
          <w:right w:val="single" w:color="A5D6A7" w:sz="4"/>
          <w:insideH w:val="single" w:color="auto" w:sz="4"/>
          <w:insideV w:val="single" w:color="auto" w:sz="4"/>
        </w:tblBorders>
      </w:tblPr>
      <w:tblGrid>
        <w:gridCol w:w="1560"/>
        <w:gridCol w:w="7800"/>
      </w:tblGrid>
      <w:tr>
        <w:trPr>
          <w:tblHeader/>
        </w:trPr>
        <w:tc>
          <w:tcPr>
            <w:tcW w:type="dxa" w:w="156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Code</w:t>
            </w:r>
          </w:p>
        </w:tc>
        <w:tc>
          <w:tcPr>
            <w:tcW w:type="dxa" w:w="780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Name</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PCC-01</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Executive Summary Panel  —  Reality, Forecast, Required Decisions (Executive Digital Twin)</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PCC-02</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Schedule Intelligence Panel  —  Critical path, float analysis, predecessor chain</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PCC-03</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Change Intelligence Panel  —  Change register, impact heatmap, approval queue</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PCC-04</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Risk &amp; Forecast Panel  —  Risk heat map, Monte Carlo simulation, readiness gates summary</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PCC-05</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Vendor &amp; Supply Chain Panel  —  Vendor scorecards, dispatch tracker, material readiness</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PCC-06</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Engineering &amp; Readiness Panel  —  Drawing register, readiness gates, IFC status</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PCC-07</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Evidence &amp; Quality Panel  —  Evidence score distribution, unverified activities, quality gates</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PCC-08</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Decisions &amp; Actions Panel  —  Open decisions, pending approvals, coordination item backlog</w:t>
            </w:r>
          </w:p>
        </w:tc>
      </w:tr>
    </w:tbl>
    <w:p>
      <w:pPr>
        <w:spacing w:after="160" w:before="0" w:line="280"/>
        <w:jc w:val="left"/>
      </w:pPr>
      <w:r>
        <w:rPr>
          <w:rFonts w:ascii="Calibri" w:cs="Calibri" w:eastAsia="Calibri" w:hAnsi="Calibri"/>
          <w:b w:val="false"/>
          <w:bCs w:val="false"/>
          <w:i w:val="false"/>
          <w:iCs w:val="false"/>
          <w:color w:val="37474F"/>
          <w:sz w:val="22"/>
          <w:szCs w:val="22"/>
        </w:rPr>
        <w:t xml:space="preserve"/>
      </w:r>
    </w:p>
    <w:p>
      <w:pPr>
        <w:pStyle w:val="Heading2"/>
        <w:spacing w:after="100" w:before="360" w:line="280"/>
        <w:jc w:val="left"/>
      </w:pPr>
      <w:r>
        <w:rPr>
          <w:rFonts w:ascii="Calibri" w:cs="Calibri" w:eastAsia="Calibri" w:hAnsi="Calibri"/>
          <w:b/>
          <w:bCs/>
          <w:i w:val="false"/>
          <w:iCs w:val="false"/>
          <w:color w:val="2E7D32"/>
          <w:sz w:val="26"/>
          <w:szCs w:val="26"/>
        </w:rPr>
        <w:t xml:space="preserve">Group 2: Activity Workspaces (ACT)</w:t>
      </w:r>
    </w:p>
    <w:p>
      <w:pPr>
        <w:spacing w:after="120" w:before="0" w:line="280"/>
        <w:jc w:val="left"/>
      </w:pPr>
      <w:r>
        <w:rPr>
          <w:rFonts w:ascii="Calibri" w:cs="Calibri" w:eastAsia="Calibri" w:hAnsi="Calibri"/>
          <w:b/>
          <w:bCs/>
          <w:i w:val="false"/>
          <w:iCs w:val="false"/>
          <w:color w:val="388E3C"/>
          <w:sz w:val="20"/>
          <w:szCs w:val="20"/>
        </w:rPr>
        <w:t xml:space="preserve">10 screens</w:t>
      </w:r>
    </w:p>
    <w:p>
      <w:pPr>
        <w:spacing w:after="120" w:before="0" w:line="280"/>
        <w:jc w:val="left"/>
      </w:pPr>
      <w:r>
        <w:rPr>
          <w:rFonts w:ascii="Calibri" w:cs="Calibri" w:eastAsia="Calibri" w:hAnsi="Calibri"/>
          <w:b w:val="false"/>
          <w:bCs w:val="false"/>
          <w:i w:val="false"/>
          <w:iCs w:val="false"/>
          <w:color w:val="37474F"/>
          <w:sz w:val="22"/>
          <w:szCs w:val="22"/>
        </w:rPr>
        <w:t xml:space="preserve">Each tab in the Activity Workspace surfaces a different dimension of intelligence for the selected activity. All tabs are loaded from the Project Intelligence Graph in real time. ACT-09 (Ask Green PM) is the inline AI Copilot.</w:t>
      </w:r>
    </w:p>
    <w:tbl>
      <w:tblPr>
        <w:tblW w:type="dxa" w:w="9360"/>
        <w:tblBorders>
          <w:top w:val="single" w:color="A5D6A7" w:sz="4"/>
          <w:left w:val="single" w:color="A5D6A7" w:sz="4"/>
          <w:bottom w:val="single" w:color="A5D6A7" w:sz="4"/>
          <w:right w:val="single" w:color="A5D6A7" w:sz="4"/>
          <w:insideH w:val="single" w:color="auto" w:sz="4"/>
          <w:insideV w:val="single" w:color="auto" w:sz="4"/>
        </w:tblBorders>
      </w:tblPr>
      <w:tblGrid>
        <w:gridCol w:w="1560"/>
        <w:gridCol w:w="7800"/>
      </w:tblGrid>
      <w:tr>
        <w:trPr>
          <w:tblHeader/>
        </w:trPr>
        <w:tc>
          <w:tcPr>
            <w:tcW w:type="dxa" w:w="156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Code</w:t>
            </w:r>
          </w:p>
        </w:tc>
        <w:tc>
          <w:tcPr>
            <w:tcW w:type="dxa" w:w="780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Name</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ACT-01</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Activity Workspace — Schedule &amp; Progress</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ACT-02</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Activity Workspace — Evidence Trail</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ACT-03</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Activity Workspace — Change Impact</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ACT-04</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Activity Workspace — Vendor &amp; Supply Dependencies</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ACT-05</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Activity Workspace — Risk Exposure</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ACT-06</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Activity Workspace — Readiness Status</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ACT-07</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Activity Workspace — Coordination Items</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ACT-08</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Activity Workspace — Decisions</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ACT-09</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Activity Workspace — Ask Green PM (AI Copilot)</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ACT-10</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Activity Workspace — Audit Trail</w:t>
            </w:r>
          </w:p>
        </w:tc>
      </w:tr>
    </w:tbl>
    <w:p>
      <w:pPr>
        <w:spacing w:after="160" w:before="0" w:line="280"/>
        <w:jc w:val="left"/>
      </w:pPr>
      <w:r>
        <w:rPr>
          <w:rFonts w:ascii="Calibri" w:cs="Calibri" w:eastAsia="Calibri" w:hAnsi="Calibri"/>
          <w:b w:val="false"/>
          <w:bCs w:val="false"/>
          <w:i w:val="false"/>
          <w:iCs w:val="false"/>
          <w:color w:val="37474F"/>
          <w:sz w:val="22"/>
          <w:szCs w:val="22"/>
        </w:rPr>
        <w:t xml:space="preserve"/>
      </w:r>
    </w:p>
    <w:p>
      <w:pPr>
        <w:pStyle w:val="Heading2"/>
        <w:spacing w:after="100" w:before="360" w:line="280"/>
        <w:jc w:val="left"/>
      </w:pPr>
      <w:r>
        <w:rPr>
          <w:rFonts w:ascii="Calibri" w:cs="Calibri" w:eastAsia="Calibri" w:hAnsi="Calibri"/>
          <w:b/>
          <w:bCs/>
          <w:i w:val="false"/>
          <w:iCs w:val="false"/>
          <w:color w:val="2E7D32"/>
          <w:sz w:val="26"/>
          <w:szCs w:val="26"/>
        </w:rPr>
        <w:t xml:space="preserve">Group 3: Drawing Workspaces (DRW)</w:t>
      </w:r>
    </w:p>
    <w:p>
      <w:pPr>
        <w:spacing w:after="120" w:before="0" w:line="280"/>
        <w:jc w:val="left"/>
      </w:pPr>
      <w:r>
        <w:rPr>
          <w:rFonts w:ascii="Calibri" w:cs="Calibri" w:eastAsia="Calibri" w:hAnsi="Calibri"/>
          <w:b/>
          <w:bCs/>
          <w:i w:val="false"/>
          <w:iCs w:val="false"/>
          <w:color w:val="388E3C"/>
          <w:sz w:val="20"/>
          <w:szCs w:val="20"/>
        </w:rPr>
        <w:t xml:space="preserve">6 screens</w:t>
      </w:r>
    </w:p>
    <w:tbl>
      <w:tblPr>
        <w:tblW w:type="dxa" w:w="9360"/>
        <w:tblBorders>
          <w:top w:val="single" w:color="A5D6A7" w:sz="4"/>
          <w:left w:val="single" w:color="A5D6A7" w:sz="4"/>
          <w:bottom w:val="single" w:color="A5D6A7" w:sz="4"/>
          <w:right w:val="single" w:color="A5D6A7" w:sz="4"/>
          <w:insideH w:val="single" w:color="auto" w:sz="4"/>
          <w:insideV w:val="single" w:color="auto" w:sz="4"/>
        </w:tblBorders>
      </w:tblPr>
      <w:tblGrid>
        <w:gridCol w:w="1560"/>
        <w:gridCol w:w="7800"/>
      </w:tblGrid>
      <w:tr>
        <w:trPr>
          <w:tblHeader/>
        </w:trPr>
        <w:tc>
          <w:tcPr>
            <w:tcW w:type="dxa" w:w="156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Code</w:t>
            </w:r>
          </w:p>
        </w:tc>
        <w:tc>
          <w:tcPr>
            <w:tcW w:type="dxa" w:w="780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Name</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DRW-01</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Drawing Workspace — Current Revision &amp; Metadata</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DRW-02</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Drawing Workspace — Revision History</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DRW-03</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Drawing Workspace — Impacted Activities (PIG-derived)</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DRW-04</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Drawing Workspace — RFI &amp; Comments</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DRW-05</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Drawing Workspace — Approval Chain</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DRW-06</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Drawing Workspace — Consistency Alerts</w:t>
            </w:r>
          </w:p>
        </w:tc>
      </w:tr>
    </w:tbl>
    <w:p>
      <w:pPr>
        <w:spacing w:after="160" w:before="0" w:line="280"/>
        <w:jc w:val="left"/>
      </w:pPr>
      <w:r>
        <w:rPr>
          <w:rFonts w:ascii="Calibri" w:cs="Calibri" w:eastAsia="Calibri" w:hAnsi="Calibri"/>
          <w:b w:val="false"/>
          <w:bCs w:val="false"/>
          <w:i w:val="false"/>
          <w:iCs w:val="false"/>
          <w:color w:val="37474F"/>
          <w:sz w:val="22"/>
          <w:szCs w:val="22"/>
        </w:rPr>
        <w:t xml:space="preserve"/>
      </w:r>
    </w:p>
    <w:p>
      <w:pPr>
        <w:pStyle w:val="Heading2"/>
        <w:spacing w:after="100" w:before="360" w:line="280"/>
        <w:jc w:val="left"/>
      </w:pPr>
      <w:r>
        <w:rPr>
          <w:rFonts w:ascii="Calibri" w:cs="Calibri" w:eastAsia="Calibri" w:hAnsi="Calibri"/>
          <w:b/>
          <w:bCs/>
          <w:i w:val="false"/>
          <w:iCs w:val="false"/>
          <w:color w:val="2E7D32"/>
          <w:sz w:val="26"/>
          <w:szCs w:val="26"/>
        </w:rPr>
        <w:t xml:space="preserve">Group 4: Equipment Workspaces (EQP)</w:t>
      </w:r>
    </w:p>
    <w:p>
      <w:pPr>
        <w:spacing w:after="120" w:before="0" w:line="280"/>
        <w:jc w:val="left"/>
      </w:pPr>
      <w:r>
        <w:rPr>
          <w:rFonts w:ascii="Calibri" w:cs="Calibri" w:eastAsia="Calibri" w:hAnsi="Calibri"/>
          <w:b/>
          <w:bCs/>
          <w:i w:val="false"/>
          <w:iCs w:val="false"/>
          <w:color w:val="388E3C"/>
          <w:sz w:val="20"/>
          <w:szCs w:val="20"/>
        </w:rPr>
        <w:t xml:space="preserve">6 screens</w:t>
      </w:r>
    </w:p>
    <w:tbl>
      <w:tblPr>
        <w:tblW w:type="dxa" w:w="9360"/>
        <w:tblBorders>
          <w:top w:val="single" w:color="A5D6A7" w:sz="4"/>
          <w:left w:val="single" w:color="A5D6A7" w:sz="4"/>
          <w:bottom w:val="single" w:color="A5D6A7" w:sz="4"/>
          <w:right w:val="single" w:color="A5D6A7" w:sz="4"/>
          <w:insideH w:val="single" w:color="auto" w:sz="4"/>
          <w:insideV w:val="single" w:color="auto" w:sz="4"/>
        </w:tblBorders>
      </w:tblPr>
      <w:tblGrid>
        <w:gridCol w:w="1560"/>
        <w:gridCol w:w="7800"/>
      </w:tblGrid>
      <w:tr>
        <w:trPr>
          <w:tblHeader/>
        </w:trPr>
        <w:tc>
          <w:tcPr>
            <w:tcW w:type="dxa" w:w="156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Code</w:t>
            </w:r>
          </w:p>
        </w:tc>
        <w:tc>
          <w:tcPr>
            <w:tcW w:type="dxa" w:w="780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Name</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EQP-01</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Equipment Workspace — Tag Data &amp; Status</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EQP-02</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Equipment Workspace — Vendor &amp; Procurement</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EQP-03</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Equipment Workspace — Dispatch &amp; Shipment</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EQP-04</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Equipment Workspace — Installation Activity</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EQP-05</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Equipment Workspace — QA Inspection Records</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EQP-06</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Equipment Workspace — Commissioning Status</w:t>
            </w:r>
          </w:p>
        </w:tc>
      </w:tr>
    </w:tbl>
    <w:p>
      <w:pPr>
        <w:spacing w:after="160" w:before="0" w:line="280"/>
        <w:jc w:val="left"/>
      </w:pPr>
      <w:r>
        <w:rPr>
          <w:rFonts w:ascii="Calibri" w:cs="Calibri" w:eastAsia="Calibri" w:hAnsi="Calibri"/>
          <w:b w:val="false"/>
          <w:bCs w:val="false"/>
          <w:i w:val="false"/>
          <w:iCs w:val="false"/>
          <w:color w:val="37474F"/>
          <w:sz w:val="22"/>
          <w:szCs w:val="22"/>
        </w:rPr>
        <w:t xml:space="preserve"/>
      </w:r>
    </w:p>
    <w:p>
      <w:pPr>
        <w:pStyle w:val="Heading2"/>
        <w:spacing w:after="100" w:before="360" w:line="280"/>
        <w:jc w:val="left"/>
      </w:pPr>
      <w:r>
        <w:rPr>
          <w:rFonts w:ascii="Calibri" w:cs="Calibri" w:eastAsia="Calibri" w:hAnsi="Calibri"/>
          <w:b/>
          <w:bCs/>
          <w:i w:val="false"/>
          <w:iCs w:val="false"/>
          <w:color w:val="2E7D32"/>
          <w:sz w:val="26"/>
          <w:szCs w:val="26"/>
        </w:rPr>
        <w:t xml:space="preserve">Group 5: Vendor Workspaces (VND)</w:t>
      </w:r>
    </w:p>
    <w:p>
      <w:pPr>
        <w:spacing w:after="120" w:before="0" w:line="280"/>
        <w:jc w:val="left"/>
      </w:pPr>
      <w:r>
        <w:rPr>
          <w:rFonts w:ascii="Calibri" w:cs="Calibri" w:eastAsia="Calibri" w:hAnsi="Calibri"/>
          <w:b/>
          <w:bCs/>
          <w:i w:val="false"/>
          <w:iCs w:val="false"/>
          <w:color w:val="388E3C"/>
          <w:sz w:val="20"/>
          <w:szCs w:val="20"/>
        </w:rPr>
        <w:t xml:space="preserve">5 screens</w:t>
      </w:r>
    </w:p>
    <w:tbl>
      <w:tblPr>
        <w:tblW w:type="dxa" w:w="9360"/>
        <w:tblBorders>
          <w:top w:val="single" w:color="A5D6A7" w:sz="4"/>
          <w:left w:val="single" w:color="A5D6A7" w:sz="4"/>
          <w:bottom w:val="single" w:color="A5D6A7" w:sz="4"/>
          <w:right w:val="single" w:color="A5D6A7" w:sz="4"/>
          <w:insideH w:val="single" w:color="auto" w:sz="4"/>
          <w:insideV w:val="single" w:color="auto" w:sz="4"/>
        </w:tblBorders>
      </w:tblPr>
      <w:tblGrid>
        <w:gridCol w:w="1560"/>
        <w:gridCol w:w="7800"/>
      </w:tblGrid>
      <w:tr>
        <w:trPr>
          <w:tblHeader/>
        </w:trPr>
        <w:tc>
          <w:tcPr>
            <w:tcW w:type="dxa" w:w="156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Code</w:t>
            </w:r>
          </w:p>
        </w:tc>
        <w:tc>
          <w:tcPr>
            <w:tcW w:type="dxa" w:w="780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Name</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VND-01</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Vendor Workspace — Performance Scorecard (6 dimensions: quality, delivery, responsiveness, documentation, commercial, relationship)</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VND-02</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Vendor Workspace — Deliverable Tracker</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VND-03</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Vendor Workspace — Dispatch &amp; Shipment Log</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VND-04</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Vendor Workspace — NCR &amp; Correspondence</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VND-05</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Vendor Portal (external-facing view for vendor self-service)</w:t>
            </w:r>
          </w:p>
        </w:tc>
      </w:tr>
    </w:tbl>
    <w:p>
      <w:pPr>
        <w:spacing w:after="160" w:before="0" w:line="280"/>
        <w:jc w:val="left"/>
      </w:pPr>
      <w:r>
        <w:rPr>
          <w:rFonts w:ascii="Calibri" w:cs="Calibri" w:eastAsia="Calibri" w:hAnsi="Calibri"/>
          <w:b w:val="false"/>
          <w:bCs w:val="false"/>
          <w:i w:val="false"/>
          <w:iCs w:val="false"/>
          <w:color w:val="37474F"/>
          <w:sz w:val="22"/>
          <w:szCs w:val="22"/>
        </w:rPr>
        <w:t xml:space="preserve"/>
      </w:r>
    </w:p>
    <w:p>
      <w:pPr>
        <w:pStyle w:val="Heading2"/>
        <w:spacing w:after="100" w:before="360" w:line="280"/>
        <w:jc w:val="left"/>
      </w:pPr>
      <w:r>
        <w:rPr>
          <w:rFonts w:ascii="Calibri" w:cs="Calibri" w:eastAsia="Calibri" w:hAnsi="Calibri"/>
          <w:b/>
          <w:bCs/>
          <w:i w:val="false"/>
          <w:iCs w:val="false"/>
          <w:color w:val="2E7D32"/>
          <w:sz w:val="26"/>
          <w:szCs w:val="26"/>
        </w:rPr>
        <w:t xml:space="preserve">Group 6: Change Workspaces (CHG)</w:t>
      </w:r>
    </w:p>
    <w:p>
      <w:pPr>
        <w:spacing w:after="120" w:before="0" w:line="280"/>
        <w:jc w:val="left"/>
      </w:pPr>
      <w:r>
        <w:rPr>
          <w:rFonts w:ascii="Calibri" w:cs="Calibri" w:eastAsia="Calibri" w:hAnsi="Calibri"/>
          <w:b/>
          <w:bCs/>
          <w:i w:val="false"/>
          <w:iCs w:val="false"/>
          <w:color w:val="388E3C"/>
          <w:sz w:val="20"/>
          <w:szCs w:val="20"/>
        </w:rPr>
        <w:t xml:space="preserve">5 screens</w:t>
      </w:r>
    </w:p>
    <w:tbl>
      <w:tblPr>
        <w:tblW w:type="dxa" w:w="9360"/>
        <w:tblBorders>
          <w:top w:val="single" w:color="A5D6A7" w:sz="4"/>
          <w:left w:val="single" w:color="A5D6A7" w:sz="4"/>
          <w:bottom w:val="single" w:color="A5D6A7" w:sz="4"/>
          <w:right w:val="single" w:color="A5D6A7" w:sz="4"/>
          <w:insideH w:val="single" w:color="auto" w:sz="4"/>
          <w:insideV w:val="single" w:color="auto" w:sz="4"/>
        </w:tblBorders>
      </w:tblPr>
      <w:tblGrid>
        <w:gridCol w:w="1560"/>
        <w:gridCol w:w="7800"/>
      </w:tblGrid>
      <w:tr>
        <w:trPr>
          <w:tblHeader/>
        </w:trPr>
        <w:tc>
          <w:tcPr>
            <w:tcW w:type="dxa" w:w="156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Code</w:t>
            </w:r>
          </w:p>
        </w:tc>
        <w:tc>
          <w:tcPr>
            <w:tcW w:type="dxa" w:w="780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Name</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CHG-01</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Change Workspace — Overview &amp; Impact Summary</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CHG-02</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Change Workspace — Affected Activities (PIG traversal result)</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CHG-03</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Change Workspace — Affected Drawings</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CHG-04</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Change Workspace — Approval Chain &amp; Workflow</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CHG-05</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Change Workspace — Coordination Items</w:t>
            </w:r>
          </w:p>
        </w:tc>
      </w:tr>
    </w:tbl>
    <w:p>
      <w:pPr>
        <w:spacing w:after="160" w:before="0" w:line="280"/>
        <w:jc w:val="left"/>
      </w:pPr>
      <w:r>
        <w:rPr>
          <w:rFonts w:ascii="Calibri" w:cs="Calibri" w:eastAsia="Calibri" w:hAnsi="Calibri"/>
          <w:b w:val="false"/>
          <w:bCs w:val="false"/>
          <w:i w:val="false"/>
          <w:iCs w:val="false"/>
          <w:color w:val="37474F"/>
          <w:sz w:val="22"/>
          <w:szCs w:val="22"/>
        </w:rPr>
        <w:t xml:space="preserve"/>
      </w:r>
    </w:p>
    <w:p>
      <w:pPr>
        <w:spacing w:after="0"/>
      </w:pPr>
      <w:r>
        <w:br w:type="page"/>
      </w:r>
    </w:p>
    <w:p>
      <w:pPr>
        <w:pStyle w:val="Heading2"/>
        <w:spacing w:after="100" w:before="360" w:line="280"/>
        <w:jc w:val="left"/>
      </w:pPr>
      <w:r>
        <w:rPr>
          <w:rFonts w:ascii="Calibri" w:cs="Calibri" w:eastAsia="Calibri" w:hAnsi="Calibri"/>
          <w:b/>
          <w:bCs/>
          <w:i w:val="false"/>
          <w:iCs w:val="false"/>
          <w:color w:val="2E7D32"/>
          <w:sz w:val="26"/>
          <w:szCs w:val="26"/>
        </w:rPr>
        <w:t xml:space="preserve">Group 7: Decision Workspaces (DEC)</w:t>
      </w:r>
    </w:p>
    <w:p>
      <w:pPr>
        <w:spacing w:after="120" w:before="0" w:line="280"/>
        <w:jc w:val="left"/>
      </w:pPr>
      <w:r>
        <w:rPr>
          <w:rFonts w:ascii="Calibri" w:cs="Calibri" w:eastAsia="Calibri" w:hAnsi="Calibri"/>
          <w:b/>
          <w:bCs/>
          <w:i w:val="false"/>
          <w:iCs w:val="false"/>
          <w:color w:val="388E3C"/>
          <w:sz w:val="20"/>
          <w:szCs w:val="20"/>
        </w:rPr>
        <w:t xml:space="preserve">4 screens</w:t>
      </w:r>
    </w:p>
    <w:p>
      <w:pPr>
        <w:spacing w:after="120" w:before="0" w:line="280"/>
        <w:jc w:val="left"/>
      </w:pPr>
      <w:r>
        <w:rPr>
          <w:rFonts w:ascii="Calibri" w:cs="Calibri" w:eastAsia="Calibri" w:hAnsi="Calibri"/>
          <w:b w:val="false"/>
          <w:bCs w:val="false"/>
          <w:i w:val="false"/>
          <w:iCs w:val="false"/>
          <w:color w:val="37474F"/>
          <w:sz w:val="22"/>
          <w:szCs w:val="22"/>
        </w:rPr>
        <w:t xml:space="preserve">Decision Workspaces are a v5 addition. The Decision Engine now surfaces all context, options, evidence, institutional memory, and approval workflow within a single workspace. The 10-state decision lifecycle is tracked end-to-end.</w:t>
      </w:r>
    </w:p>
    <w:tbl>
      <w:tblPr>
        <w:tblW w:type="dxa" w:w="9360"/>
        <w:tblBorders>
          <w:top w:val="single" w:color="A5D6A7" w:sz="4"/>
          <w:left w:val="single" w:color="A5D6A7" w:sz="4"/>
          <w:bottom w:val="single" w:color="A5D6A7" w:sz="4"/>
          <w:right w:val="single" w:color="A5D6A7" w:sz="4"/>
          <w:insideH w:val="single" w:color="auto" w:sz="4"/>
          <w:insideV w:val="single" w:color="auto" w:sz="4"/>
        </w:tblBorders>
      </w:tblPr>
      <w:tblGrid>
        <w:gridCol w:w="1560"/>
        <w:gridCol w:w="7800"/>
      </w:tblGrid>
      <w:tr>
        <w:trPr>
          <w:tblHeader/>
        </w:trPr>
        <w:tc>
          <w:tcPr>
            <w:tcW w:type="dxa" w:w="156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Code</w:t>
            </w:r>
          </w:p>
        </w:tc>
        <w:tc>
          <w:tcPr>
            <w:tcW w:type="dxa" w:w="780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Name</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DEC-01</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Decision Workspace — Record &amp; Context</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DEC-02</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Decision Workspace — Options &amp; Evidence</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DEC-03</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Decision Workspace — Approval Flow</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DEC-04</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Decision Workspace — Outcome &amp; Institutional Memory Link</w:t>
            </w:r>
          </w:p>
        </w:tc>
      </w:tr>
    </w:tbl>
    <w:p>
      <w:pPr>
        <w:spacing w:after="160" w:before="0" w:line="280"/>
        <w:jc w:val="left"/>
      </w:pPr>
      <w:r>
        <w:rPr>
          <w:rFonts w:ascii="Calibri" w:cs="Calibri" w:eastAsia="Calibri" w:hAnsi="Calibri"/>
          <w:b w:val="false"/>
          <w:bCs w:val="false"/>
          <w:i w:val="false"/>
          <w:iCs w:val="false"/>
          <w:color w:val="37474F"/>
          <w:sz w:val="22"/>
          <w:szCs w:val="22"/>
        </w:rPr>
        <w:t xml:space="preserve"/>
      </w:r>
    </w:p>
    <w:p>
      <w:pPr>
        <w:pStyle w:val="Heading2"/>
        <w:spacing w:after="100" w:before="360" w:line="280"/>
        <w:jc w:val="left"/>
      </w:pPr>
      <w:r>
        <w:rPr>
          <w:rFonts w:ascii="Calibri" w:cs="Calibri" w:eastAsia="Calibri" w:hAnsi="Calibri"/>
          <w:b/>
          <w:bCs/>
          <w:i w:val="false"/>
          <w:iCs w:val="false"/>
          <w:color w:val="2E7D32"/>
          <w:sz w:val="26"/>
          <w:szCs w:val="26"/>
        </w:rPr>
        <w:t xml:space="preserve">Group 8: Risk Workspaces (RSK)</w:t>
      </w:r>
    </w:p>
    <w:p>
      <w:pPr>
        <w:spacing w:after="120" w:before="0" w:line="280"/>
        <w:jc w:val="left"/>
      </w:pPr>
      <w:r>
        <w:rPr>
          <w:rFonts w:ascii="Calibri" w:cs="Calibri" w:eastAsia="Calibri" w:hAnsi="Calibri"/>
          <w:b/>
          <w:bCs/>
          <w:i w:val="false"/>
          <w:iCs w:val="false"/>
          <w:color w:val="388E3C"/>
          <w:sz w:val="20"/>
          <w:szCs w:val="20"/>
        </w:rPr>
        <w:t xml:space="preserve">4 screens</w:t>
      </w:r>
    </w:p>
    <w:p>
      <w:pPr>
        <w:spacing w:after="120" w:before="0" w:line="280"/>
        <w:jc w:val="left"/>
      </w:pPr>
      <w:r>
        <w:rPr>
          <w:rFonts w:ascii="Calibri" w:cs="Calibri" w:eastAsia="Calibri" w:hAnsi="Calibri"/>
          <w:b w:val="false"/>
          <w:bCs w:val="false"/>
          <w:i w:val="false"/>
          <w:iCs w:val="false"/>
          <w:color w:val="37474F"/>
          <w:sz w:val="22"/>
          <w:szCs w:val="22"/>
        </w:rPr>
        <w:t xml:space="preserve">RSK-04 surfaces historically similar risks from the Organizational Memory Engine, providing evidence-backed mitigation recommendations calibrated from prior project outcomes.</w:t>
      </w:r>
    </w:p>
    <w:tbl>
      <w:tblPr>
        <w:tblW w:type="dxa" w:w="9360"/>
        <w:tblBorders>
          <w:top w:val="single" w:color="A5D6A7" w:sz="4"/>
          <w:left w:val="single" w:color="A5D6A7" w:sz="4"/>
          <w:bottom w:val="single" w:color="A5D6A7" w:sz="4"/>
          <w:right w:val="single" w:color="A5D6A7" w:sz="4"/>
          <w:insideH w:val="single" w:color="auto" w:sz="4"/>
          <w:insideV w:val="single" w:color="auto" w:sz="4"/>
        </w:tblBorders>
      </w:tblPr>
      <w:tblGrid>
        <w:gridCol w:w="1560"/>
        <w:gridCol w:w="7800"/>
      </w:tblGrid>
      <w:tr>
        <w:trPr>
          <w:tblHeader/>
        </w:trPr>
        <w:tc>
          <w:tcPr>
            <w:tcW w:type="dxa" w:w="156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Code</w:t>
            </w:r>
          </w:p>
        </w:tc>
        <w:tc>
          <w:tcPr>
            <w:tcW w:type="dxa" w:w="780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Name</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RSK-01</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Risk Workspace — Risk Record &amp; Scoring</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RSK-02</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Risk Workspace — Mitigation Plan</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RSK-03</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Risk Workspace — Linked Activities &amp; Changes</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RSK-04</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Risk Workspace — Historical Similar Risks (Organizational Memory Engine)</w:t>
            </w:r>
          </w:p>
        </w:tc>
      </w:tr>
    </w:tbl>
    <w:p>
      <w:pPr>
        <w:spacing w:after="160" w:before="0" w:line="280"/>
        <w:jc w:val="left"/>
      </w:pPr>
      <w:r>
        <w:rPr>
          <w:rFonts w:ascii="Calibri" w:cs="Calibri" w:eastAsia="Calibri" w:hAnsi="Calibri"/>
          <w:b w:val="false"/>
          <w:bCs w:val="false"/>
          <w:i w:val="false"/>
          <w:iCs w:val="false"/>
          <w:color w:val="37474F"/>
          <w:sz w:val="22"/>
          <w:szCs w:val="22"/>
        </w:rPr>
        <w:t xml:space="preserve"/>
      </w:r>
    </w:p>
    <w:p>
      <w:pPr>
        <w:pStyle w:val="Heading2"/>
        <w:spacing w:after="100" w:before="360" w:line="280"/>
        <w:jc w:val="left"/>
      </w:pPr>
      <w:r>
        <w:rPr>
          <w:rFonts w:ascii="Calibri" w:cs="Calibri" w:eastAsia="Calibri" w:hAnsi="Calibri"/>
          <w:b/>
          <w:bCs/>
          <w:i w:val="false"/>
          <w:iCs w:val="false"/>
          <w:color w:val="2E7D32"/>
          <w:sz w:val="26"/>
          <w:szCs w:val="26"/>
        </w:rPr>
        <w:t xml:space="preserve">Group 9: Shipment Workspaces (SHP)</w:t>
      </w:r>
    </w:p>
    <w:p>
      <w:pPr>
        <w:spacing w:after="120" w:before="0" w:line="280"/>
        <w:jc w:val="left"/>
      </w:pPr>
      <w:r>
        <w:rPr>
          <w:rFonts w:ascii="Calibri" w:cs="Calibri" w:eastAsia="Calibri" w:hAnsi="Calibri"/>
          <w:b/>
          <w:bCs/>
          <w:i w:val="false"/>
          <w:iCs w:val="false"/>
          <w:color w:val="388E3C"/>
          <w:sz w:val="20"/>
          <w:szCs w:val="20"/>
        </w:rPr>
        <w:t xml:space="preserve">3 screens</w:t>
      </w:r>
    </w:p>
    <w:tbl>
      <w:tblPr>
        <w:tblW w:type="dxa" w:w="9360"/>
        <w:tblBorders>
          <w:top w:val="single" w:color="A5D6A7" w:sz="4"/>
          <w:left w:val="single" w:color="A5D6A7" w:sz="4"/>
          <w:bottom w:val="single" w:color="A5D6A7" w:sz="4"/>
          <w:right w:val="single" w:color="A5D6A7" w:sz="4"/>
          <w:insideH w:val="single" w:color="auto" w:sz="4"/>
          <w:insideV w:val="single" w:color="auto" w:sz="4"/>
        </w:tblBorders>
      </w:tblPr>
      <w:tblGrid>
        <w:gridCol w:w="1560"/>
        <w:gridCol w:w="7800"/>
      </w:tblGrid>
      <w:tr>
        <w:trPr>
          <w:tblHeader/>
        </w:trPr>
        <w:tc>
          <w:tcPr>
            <w:tcW w:type="dxa" w:w="156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Code</w:t>
            </w:r>
          </w:p>
        </w:tc>
        <w:tc>
          <w:tcPr>
            <w:tcW w:type="dxa" w:w="780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Name</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SHP-01</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Shipment Workspace — Status &amp; Location</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SHP-02</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Shipment Workspace — Inspection &amp; Clearance</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SHP-03</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Shipment Workspace — Installation Activity Link</w:t>
            </w:r>
          </w:p>
        </w:tc>
      </w:tr>
    </w:tbl>
    <w:p>
      <w:pPr>
        <w:spacing w:after="160" w:before="0" w:line="280"/>
        <w:jc w:val="left"/>
      </w:pPr>
      <w:r>
        <w:rPr>
          <w:rFonts w:ascii="Calibri" w:cs="Calibri" w:eastAsia="Calibri" w:hAnsi="Calibri"/>
          <w:b w:val="false"/>
          <w:bCs w:val="false"/>
          <w:i w:val="false"/>
          <w:iCs w:val="false"/>
          <w:color w:val="37474F"/>
          <w:sz w:val="22"/>
          <w:szCs w:val="22"/>
        </w:rPr>
        <w:t xml:space="preserve"/>
      </w:r>
    </w:p>
    <w:p>
      <w:pPr>
        <w:pStyle w:val="Heading2"/>
        <w:spacing w:after="100" w:before="360" w:line="280"/>
        <w:jc w:val="left"/>
      </w:pPr>
      <w:r>
        <w:rPr>
          <w:rFonts w:ascii="Calibri" w:cs="Calibri" w:eastAsia="Calibri" w:hAnsi="Calibri"/>
          <w:b/>
          <w:bCs/>
          <w:i w:val="false"/>
          <w:iCs w:val="false"/>
          <w:color w:val="2E7D32"/>
          <w:sz w:val="26"/>
          <w:szCs w:val="26"/>
        </w:rPr>
        <w:t xml:space="preserve">Group 10: WBS Workspaces (WBS)</w:t>
      </w:r>
    </w:p>
    <w:p>
      <w:pPr>
        <w:spacing w:after="120" w:before="0" w:line="280"/>
        <w:jc w:val="left"/>
      </w:pPr>
      <w:r>
        <w:rPr>
          <w:rFonts w:ascii="Calibri" w:cs="Calibri" w:eastAsia="Calibri" w:hAnsi="Calibri"/>
          <w:b/>
          <w:bCs/>
          <w:i w:val="false"/>
          <w:iCs w:val="false"/>
          <w:color w:val="388E3C"/>
          <w:sz w:val="20"/>
          <w:szCs w:val="20"/>
        </w:rPr>
        <w:t xml:space="preserve">3 screens</w:t>
      </w:r>
    </w:p>
    <w:tbl>
      <w:tblPr>
        <w:tblW w:type="dxa" w:w="9360"/>
        <w:tblBorders>
          <w:top w:val="single" w:color="A5D6A7" w:sz="4"/>
          <w:left w:val="single" w:color="A5D6A7" w:sz="4"/>
          <w:bottom w:val="single" w:color="A5D6A7" w:sz="4"/>
          <w:right w:val="single" w:color="A5D6A7" w:sz="4"/>
          <w:insideH w:val="single" w:color="auto" w:sz="4"/>
          <w:insideV w:val="single" w:color="auto" w:sz="4"/>
        </w:tblBorders>
      </w:tblPr>
      <w:tblGrid>
        <w:gridCol w:w="1560"/>
        <w:gridCol w:w="7800"/>
      </w:tblGrid>
      <w:tr>
        <w:trPr>
          <w:tblHeader/>
        </w:trPr>
        <w:tc>
          <w:tcPr>
            <w:tcW w:type="dxa" w:w="156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Code</w:t>
            </w:r>
          </w:p>
        </w:tc>
        <w:tc>
          <w:tcPr>
            <w:tcW w:type="dxa" w:w="780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Name</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WBS-01</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WBS Workspace — Activity Tree &amp; Rollup</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WBS-02</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WBS Workspace — Progress &amp; Evidence Rollup</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WBS-03</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WBS Workspace — Readiness &amp; Forecast Rollup</w:t>
            </w:r>
          </w:p>
        </w:tc>
      </w:tr>
    </w:tbl>
    <w:p>
      <w:pPr>
        <w:spacing w:after="160" w:before="0" w:line="280"/>
        <w:jc w:val="left"/>
      </w:pPr>
      <w:r>
        <w:rPr>
          <w:rFonts w:ascii="Calibri" w:cs="Calibri" w:eastAsia="Calibri" w:hAnsi="Calibri"/>
          <w:b w:val="false"/>
          <w:bCs w:val="false"/>
          <w:i w:val="false"/>
          <w:iCs w:val="false"/>
          <w:color w:val="37474F"/>
          <w:sz w:val="22"/>
          <w:szCs w:val="22"/>
        </w:rPr>
        <w:t xml:space="preserve"/>
      </w:r>
    </w:p>
    <w:p>
      <w:pPr>
        <w:spacing w:after="0"/>
      </w:pPr>
      <w:r>
        <w:br w:type="page"/>
      </w:r>
    </w:p>
    <w:p>
      <w:pPr>
        <w:pStyle w:val="Heading2"/>
        <w:spacing w:after="100" w:before="360" w:line="280"/>
        <w:jc w:val="left"/>
      </w:pPr>
      <w:r>
        <w:rPr>
          <w:rFonts w:ascii="Calibri" w:cs="Calibri" w:eastAsia="Calibri" w:hAnsi="Calibri"/>
          <w:b/>
          <w:bCs/>
          <w:i w:val="false"/>
          <w:iCs w:val="false"/>
          <w:color w:val="2E7D32"/>
          <w:sz w:val="26"/>
          <w:szCs w:val="26"/>
        </w:rPr>
        <w:t xml:space="preserve">Group 11: Readiness Engine Screens (RDY)</w:t>
      </w:r>
      <w:r>
        <w:rPr>
          <w:rFonts w:ascii="Calibri" w:cs="Calibri" w:eastAsia="Calibri" w:hAnsi="Calibri"/>
          <w:b/>
          <w:bCs/>
          <w:i w:val="false"/>
          <w:iCs w:val="false"/>
          <w:color w:val="E65100"/>
          <w:sz w:val="18"/>
          <w:szCs w:val="18"/>
        </w:rPr>
        <w:t xml:space="preserve">  ★ NEW</w:t>
      </w:r>
    </w:p>
    <w:p>
      <w:pPr>
        <w:spacing w:after="120" w:before="0" w:line="280"/>
        <w:jc w:val="left"/>
      </w:pPr>
      <w:r>
        <w:rPr>
          <w:rFonts w:ascii="Calibri" w:cs="Calibri" w:eastAsia="Calibri" w:hAnsi="Calibri"/>
          <w:b/>
          <w:bCs/>
          <w:i w:val="false"/>
          <w:iCs w:val="false"/>
          <w:color w:val="388E3C"/>
          <w:sz w:val="20"/>
          <w:szCs w:val="20"/>
        </w:rPr>
        <w:t xml:space="preserve">5 screens</w:t>
      </w:r>
      <w:r>
        <w:rPr>
          <w:rFonts w:ascii="Calibri" w:cs="Calibri" w:eastAsia="Calibri" w:hAnsi="Calibri"/>
          <w:b w:val="false"/>
          <w:bCs w:val="false"/>
          <w:i/>
          <w:iCs/>
          <w:color w:val="E65100"/>
          <w:sz w:val="20"/>
          <w:szCs w:val="20"/>
        </w:rPr>
        <w:t xml:space="preserve">  —  New in v5</w:t>
      </w:r>
    </w:p>
    <w:p>
      <w:pPr>
        <w:spacing w:after="120" w:before="0" w:line="280"/>
        <w:jc w:val="left"/>
      </w:pPr>
      <w:r>
        <w:rPr>
          <w:rFonts w:ascii="Calibri" w:cs="Calibri" w:eastAsia="Calibri" w:hAnsi="Calibri"/>
          <w:b w:val="false"/>
          <w:bCs w:val="false"/>
          <w:i w:val="false"/>
          <w:iCs w:val="false"/>
          <w:color w:val="37474F"/>
          <w:sz w:val="22"/>
          <w:szCs w:val="22"/>
        </w:rPr>
        <w:t xml:space="preserve">The Readiness Engine is new in v5. EPC executives think in readiness, not raw progress percentage. Six gate types are tracked: Engineering, Material, Construction, Quality, Commissioning, and COD. Each gate has structured criteria, completion percentage, blocking items, and responsible parties.</w:t>
      </w:r>
    </w:p>
    <w:tbl>
      <w:tblPr>
        <w:tblW w:type="dxa" w:w="9360"/>
        <w:tblBorders>
          <w:top w:val="single" w:color="A5D6A7" w:sz="4"/>
          <w:left w:val="single" w:color="A5D6A7" w:sz="4"/>
          <w:bottom w:val="single" w:color="A5D6A7" w:sz="4"/>
          <w:right w:val="single" w:color="A5D6A7" w:sz="4"/>
          <w:insideH w:val="single" w:color="auto" w:sz="4"/>
          <w:insideV w:val="single" w:color="auto" w:sz="4"/>
        </w:tblBorders>
      </w:tblPr>
      <w:tblGrid>
        <w:gridCol w:w="1560"/>
        <w:gridCol w:w="7800"/>
      </w:tblGrid>
      <w:tr>
        <w:trPr>
          <w:tblHeader/>
        </w:trPr>
        <w:tc>
          <w:tcPr>
            <w:tcW w:type="dxa" w:w="156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Code</w:t>
            </w:r>
          </w:p>
        </w:tc>
        <w:tc>
          <w:tcPr>
            <w:tcW w:type="dxa" w:w="780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Name</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RDY-01</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Readiness Dashboard — All 6 gate types, project-level summary</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RDY-02</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Engineering Readiness — Drawing IFC status, specification approvals</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RDY-03</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Material &amp; Construction Readiness — Material on site, permits in place</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RDY-04</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Quality &amp; Commissioning Readiness — Punch list completion, system commissioning</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RDY-05</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COD Readiness — Handover documentation, regulatory clearances</w:t>
            </w:r>
          </w:p>
        </w:tc>
      </w:tr>
    </w:tbl>
    <w:p>
      <w:pPr>
        <w:spacing w:after="160" w:before="0" w:line="280"/>
        <w:jc w:val="left"/>
      </w:pPr>
      <w:r>
        <w:rPr>
          <w:rFonts w:ascii="Calibri" w:cs="Calibri" w:eastAsia="Calibri" w:hAnsi="Calibri"/>
          <w:b w:val="false"/>
          <w:bCs w:val="false"/>
          <w:i w:val="false"/>
          <w:iCs w:val="false"/>
          <w:color w:val="37474F"/>
          <w:sz w:val="22"/>
          <w:szCs w:val="22"/>
        </w:rPr>
        <w:t xml:space="preserve"/>
      </w:r>
    </w:p>
    <w:p>
      <w:pPr>
        <w:pStyle w:val="Heading2"/>
        <w:spacing w:after="100" w:before="360" w:line="280"/>
        <w:jc w:val="left"/>
      </w:pPr>
      <w:r>
        <w:rPr>
          <w:rFonts w:ascii="Calibri" w:cs="Calibri" w:eastAsia="Calibri" w:hAnsi="Calibri"/>
          <w:b/>
          <w:bCs/>
          <w:i w:val="false"/>
          <w:iCs w:val="false"/>
          <w:color w:val="2E7D32"/>
          <w:sz w:val="26"/>
          <w:szCs w:val="26"/>
        </w:rPr>
        <w:t xml:space="preserve">Group 12: Simulation Engine Screens (SIM)</w:t>
      </w:r>
      <w:r>
        <w:rPr>
          <w:rFonts w:ascii="Calibri" w:cs="Calibri" w:eastAsia="Calibri" w:hAnsi="Calibri"/>
          <w:b/>
          <w:bCs/>
          <w:i w:val="false"/>
          <w:iCs w:val="false"/>
          <w:color w:val="E65100"/>
          <w:sz w:val="18"/>
          <w:szCs w:val="18"/>
        </w:rPr>
        <w:t xml:space="preserve">  ★ NEW</w:t>
      </w:r>
    </w:p>
    <w:p>
      <w:pPr>
        <w:spacing w:after="120" w:before="0" w:line="280"/>
        <w:jc w:val="left"/>
      </w:pPr>
      <w:r>
        <w:rPr>
          <w:rFonts w:ascii="Calibri" w:cs="Calibri" w:eastAsia="Calibri" w:hAnsi="Calibri"/>
          <w:b/>
          <w:bCs/>
          <w:i w:val="false"/>
          <w:iCs w:val="false"/>
          <w:color w:val="388E3C"/>
          <w:sz w:val="20"/>
          <w:szCs w:val="20"/>
        </w:rPr>
        <w:t xml:space="preserve">4 screens</w:t>
      </w:r>
      <w:r>
        <w:rPr>
          <w:rFonts w:ascii="Calibri" w:cs="Calibri" w:eastAsia="Calibri" w:hAnsi="Calibri"/>
          <w:b w:val="false"/>
          <w:bCs w:val="false"/>
          <w:i/>
          <w:iCs/>
          <w:color w:val="E65100"/>
          <w:sz w:val="20"/>
          <w:szCs w:val="20"/>
        </w:rPr>
        <w:t xml:space="preserve">  —  New in v5</w:t>
      </w:r>
    </w:p>
    <w:p>
      <w:pPr>
        <w:spacing w:after="120" w:before="0" w:line="280"/>
        <w:jc w:val="left"/>
      </w:pPr>
      <w:r>
        <w:rPr>
          <w:rFonts w:ascii="Calibri" w:cs="Calibri" w:eastAsia="Calibri" w:hAnsi="Calibri"/>
          <w:b w:val="false"/>
          <w:bCs w:val="false"/>
          <w:i w:val="false"/>
          <w:iCs w:val="false"/>
          <w:color w:val="37474F"/>
          <w:sz w:val="22"/>
          <w:szCs w:val="22"/>
        </w:rPr>
        <w:t xml:space="preserve">The Simulation Engine is new in v5. Users specify a perturbation (e.g. 'Drawing delayed 3 weeks') and the engine runs a forward projection over the Project Intelligence Graph, outputting revised schedule impact, budget impact, critical path delta, and recommended mitigations. Key scenarios include: vendor delay, monsoon start date, additional crew, scope change, and resource reallocation.</w:t>
      </w:r>
    </w:p>
    <w:tbl>
      <w:tblPr>
        <w:tblW w:type="dxa" w:w="9360"/>
        <w:tblBorders>
          <w:top w:val="single" w:color="A5D6A7" w:sz="4"/>
          <w:left w:val="single" w:color="A5D6A7" w:sz="4"/>
          <w:bottom w:val="single" w:color="A5D6A7" w:sz="4"/>
          <w:right w:val="single" w:color="A5D6A7" w:sz="4"/>
          <w:insideH w:val="single" w:color="auto" w:sz="4"/>
          <w:insideV w:val="single" w:color="auto" w:sz="4"/>
        </w:tblBorders>
      </w:tblPr>
      <w:tblGrid>
        <w:gridCol w:w="1560"/>
        <w:gridCol w:w="7800"/>
      </w:tblGrid>
      <w:tr>
        <w:trPr>
          <w:tblHeader/>
        </w:trPr>
        <w:tc>
          <w:tcPr>
            <w:tcW w:type="dxa" w:w="156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Code</w:t>
            </w:r>
          </w:p>
        </w:tc>
        <w:tc>
          <w:tcPr>
            <w:tcW w:type="dxa" w:w="780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Name</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SIM-01</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Simulation Workspace — Scenario Builder (select entity + perturbation type)</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SIM-02</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Simulation Workspace — Results (schedule impact, cost impact, critical path delta)</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SIM-03</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Simulation Workspace — Scenario Comparison (multiple scenarios side by side)</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SIM-04</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Simulation Workspace — Saved Scenarios Library</w:t>
            </w:r>
          </w:p>
        </w:tc>
      </w:tr>
    </w:tbl>
    <w:p>
      <w:pPr>
        <w:spacing w:after="160" w:before="0" w:line="280"/>
        <w:jc w:val="left"/>
      </w:pPr>
      <w:r>
        <w:rPr>
          <w:rFonts w:ascii="Calibri" w:cs="Calibri" w:eastAsia="Calibri" w:hAnsi="Calibri"/>
          <w:b w:val="false"/>
          <w:bCs w:val="false"/>
          <w:i w:val="false"/>
          <w:iCs w:val="false"/>
          <w:color w:val="37474F"/>
          <w:sz w:val="22"/>
          <w:szCs w:val="22"/>
        </w:rPr>
        <w:t xml:space="preserve"/>
      </w:r>
    </w:p>
    <w:p>
      <w:pPr>
        <w:pStyle w:val="Heading2"/>
        <w:spacing w:after="100" w:before="360" w:line="280"/>
        <w:jc w:val="left"/>
      </w:pPr>
      <w:r>
        <w:rPr>
          <w:rFonts w:ascii="Calibri" w:cs="Calibri" w:eastAsia="Calibri" w:hAnsi="Calibri"/>
          <w:b/>
          <w:bCs/>
          <w:i w:val="false"/>
          <w:iCs w:val="false"/>
          <w:color w:val="2E7D32"/>
          <w:sz w:val="26"/>
          <w:szCs w:val="26"/>
        </w:rPr>
        <w:t xml:space="preserve">Group 13: Coordination Engine Screens (CRD)</w:t>
      </w:r>
      <w:r>
        <w:rPr>
          <w:rFonts w:ascii="Calibri" w:cs="Calibri" w:eastAsia="Calibri" w:hAnsi="Calibri"/>
          <w:b/>
          <w:bCs/>
          <w:i w:val="false"/>
          <w:iCs w:val="false"/>
          <w:color w:val="E65100"/>
          <w:sz w:val="18"/>
          <w:szCs w:val="18"/>
        </w:rPr>
        <w:t xml:space="preserve">  ★ NEW</w:t>
      </w:r>
    </w:p>
    <w:p>
      <w:pPr>
        <w:spacing w:after="120" w:before="0" w:line="280"/>
        <w:jc w:val="left"/>
      </w:pPr>
      <w:r>
        <w:rPr>
          <w:rFonts w:ascii="Calibri" w:cs="Calibri" w:eastAsia="Calibri" w:hAnsi="Calibri"/>
          <w:b/>
          <w:bCs/>
          <w:i w:val="false"/>
          <w:iCs w:val="false"/>
          <w:color w:val="388E3C"/>
          <w:sz w:val="20"/>
          <w:szCs w:val="20"/>
        </w:rPr>
        <w:t xml:space="preserve">4 screens</w:t>
      </w:r>
      <w:r>
        <w:rPr>
          <w:rFonts w:ascii="Calibri" w:cs="Calibri" w:eastAsia="Calibri" w:hAnsi="Calibri"/>
          <w:b w:val="false"/>
          <w:bCs w:val="false"/>
          <w:i/>
          <w:iCs/>
          <w:color w:val="E65100"/>
          <w:sz w:val="20"/>
          <w:szCs w:val="20"/>
        </w:rPr>
        <w:t xml:space="preserve">  —  New in v5</w:t>
      </w:r>
    </w:p>
    <w:p>
      <w:pPr>
        <w:spacing w:after="120" w:before="0" w:line="280"/>
        <w:jc w:val="left"/>
      </w:pPr>
      <w:r>
        <w:rPr>
          <w:rFonts w:ascii="Calibri" w:cs="Calibri" w:eastAsia="Calibri" w:hAnsi="Calibri"/>
          <w:b w:val="false"/>
          <w:bCs w:val="false"/>
          <w:i w:val="false"/>
          <w:iCs w:val="false"/>
          <w:color w:val="37474F"/>
          <w:sz w:val="22"/>
          <w:szCs w:val="22"/>
        </w:rPr>
        <w:t xml:space="preserve">The Coordination Engine is new in v5 and bridges intelligence and action. Every significant project event generates a coordination item that is tracked through a verified close-loop pipeline: Event → Impact Assessment → Action Items → Notification → Acknowledgment → Execution → Verification → Closure. Without the Coordination Engine, perfect intelligence can go unacted-on.</w:t>
      </w:r>
    </w:p>
    <w:tbl>
      <w:tblPr>
        <w:tblW w:type="dxa" w:w="9360"/>
        <w:tblBorders>
          <w:top w:val="single" w:color="A5D6A7" w:sz="4"/>
          <w:left w:val="single" w:color="A5D6A7" w:sz="4"/>
          <w:bottom w:val="single" w:color="A5D6A7" w:sz="4"/>
          <w:right w:val="single" w:color="A5D6A7" w:sz="4"/>
          <w:insideH w:val="single" w:color="auto" w:sz="4"/>
          <w:insideV w:val="single" w:color="auto" w:sz="4"/>
        </w:tblBorders>
      </w:tblPr>
      <w:tblGrid>
        <w:gridCol w:w="1560"/>
        <w:gridCol w:w="7800"/>
      </w:tblGrid>
      <w:tr>
        <w:trPr>
          <w:tblHeader/>
        </w:trPr>
        <w:tc>
          <w:tcPr>
            <w:tcW w:type="dxa" w:w="156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Code</w:t>
            </w:r>
          </w:p>
        </w:tc>
        <w:tc>
          <w:tcPr>
            <w:tcW w:type="dxa" w:w="780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Name</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CRD-01</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Coordination Board — All open coordination items (kanban-style view)</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CRD-02</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Coordination Item Detail — Acknowledgment, Action, and Verification status</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CRD-03</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Coordination Item History — Close-loop audit trail</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CRD-04</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My Coordination Items — Personalised queue for each user</w:t>
            </w:r>
          </w:p>
        </w:tc>
      </w:tr>
    </w:tbl>
    <w:p>
      <w:pPr>
        <w:spacing w:after="160" w:before="0" w:line="280"/>
        <w:jc w:val="left"/>
      </w:pPr>
      <w:r>
        <w:rPr>
          <w:rFonts w:ascii="Calibri" w:cs="Calibri" w:eastAsia="Calibri" w:hAnsi="Calibri"/>
          <w:b w:val="false"/>
          <w:bCs w:val="false"/>
          <w:i w:val="false"/>
          <w:iCs w:val="false"/>
          <w:color w:val="37474F"/>
          <w:sz w:val="22"/>
          <w:szCs w:val="22"/>
        </w:rPr>
        <w:t xml:space="preserve"/>
      </w:r>
    </w:p>
    <w:p>
      <w:pPr>
        <w:pStyle w:val="Heading2"/>
        <w:spacing w:after="100" w:before="360" w:line="280"/>
        <w:jc w:val="left"/>
      </w:pPr>
      <w:r>
        <w:rPr>
          <w:rFonts w:ascii="Calibri" w:cs="Calibri" w:eastAsia="Calibri" w:hAnsi="Calibri"/>
          <w:b/>
          <w:bCs/>
          <w:i w:val="false"/>
          <w:iCs w:val="false"/>
          <w:color w:val="2E7D32"/>
          <w:sz w:val="26"/>
          <w:szCs w:val="26"/>
        </w:rPr>
        <w:t xml:space="preserve">Group 14: Organizational Memory Screens (MEM)</w:t>
      </w:r>
      <w:r>
        <w:rPr>
          <w:rFonts w:ascii="Calibri" w:cs="Calibri" w:eastAsia="Calibri" w:hAnsi="Calibri"/>
          <w:b/>
          <w:bCs/>
          <w:i w:val="false"/>
          <w:iCs w:val="false"/>
          <w:color w:val="E65100"/>
          <w:sz w:val="18"/>
          <w:szCs w:val="18"/>
        </w:rPr>
        <w:t xml:space="preserve">  ★ NEW</w:t>
      </w:r>
    </w:p>
    <w:p>
      <w:pPr>
        <w:spacing w:after="120" w:before="0" w:line="280"/>
        <w:jc w:val="left"/>
      </w:pPr>
      <w:r>
        <w:rPr>
          <w:rFonts w:ascii="Calibri" w:cs="Calibri" w:eastAsia="Calibri" w:hAnsi="Calibri"/>
          <w:b/>
          <w:bCs/>
          <w:i w:val="false"/>
          <w:iCs w:val="false"/>
          <w:color w:val="388E3C"/>
          <w:sz w:val="20"/>
          <w:szCs w:val="20"/>
        </w:rPr>
        <w:t xml:space="preserve">3 screens</w:t>
      </w:r>
      <w:r>
        <w:rPr>
          <w:rFonts w:ascii="Calibri" w:cs="Calibri" w:eastAsia="Calibri" w:hAnsi="Calibri"/>
          <w:b w:val="false"/>
          <w:bCs w:val="false"/>
          <w:i/>
          <w:iCs/>
          <w:color w:val="E65100"/>
          <w:sz w:val="20"/>
          <w:szCs w:val="20"/>
        </w:rPr>
        <w:t xml:space="preserve">  —  New in v5</w:t>
      </w:r>
    </w:p>
    <w:p>
      <w:pPr>
        <w:spacing w:after="120" w:before="0" w:line="280"/>
        <w:jc w:val="left"/>
      </w:pPr>
      <w:r>
        <w:rPr>
          <w:rFonts w:ascii="Calibri" w:cs="Calibri" w:eastAsia="Calibri" w:hAnsi="Calibri"/>
          <w:b w:val="false"/>
          <w:bCs w:val="false"/>
          <w:i w:val="false"/>
          <w:iCs w:val="false"/>
          <w:color w:val="37474F"/>
          <w:sz w:val="22"/>
          <w:szCs w:val="22"/>
        </w:rPr>
        <w:t xml:space="preserve">The Organizational Memory Engine is new in v5. It captures and makes searchable the institutional knowledge generated by each project: past decisions and outcomes, vendor recovery patterns, schedule recovery strategies that worked, risk patterns and their mitigations. It powers the Decision Engine's institutional learning, the Simulation Engine's historical calibration, and the Risk Engine's pattern detection.</w:t>
      </w:r>
    </w:p>
    <w:tbl>
      <w:tblPr>
        <w:tblW w:type="dxa" w:w="9360"/>
        <w:tblBorders>
          <w:top w:val="single" w:color="A5D6A7" w:sz="4"/>
          <w:left w:val="single" w:color="A5D6A7" w:sz="4"/>
          <w:bottom w:val="single" w:color="A5D6A7" w:sz="4"/>
          <w:right w:val="single" w:color="A5D6A7" w:sz="4"/>
          <w:insideH w:val="single" w:color="auto" w:sz="4"/>
          <w:insideV w:val="single" w:color="auto" w:sz="4"/>
        </w:tblBorders>
      </w:tblPr>
      <w:tblGrid>
        <w:gridCol w:w="1560"/>
        <w:gridCol w:w="7800"/>
      </w:tblGrid>
      <w:tr>
        <w:trPr>
          <w:tblHeader/>
        </w:trPr>
        <w:tc>
          <w:tcPr>
            <w:tcW w:type="dxa" w:w="156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Code</w:t>
            </w:r>
          </w:p>
        </w:tc>
        <w:tc>
          <w:tcPr>
            <w:tcW w:type="dxa" w:w="780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Name</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MEM-01</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Memory Browser — Pattern Library (searchable historical intelligence)</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MEM-02</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Memory Record Detail — Historical precedent with outcome data and confidence score</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MEM-03</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Memory Contributions — What this project has added to institutional knowledge</w:t>
            </w:r>
          </w:p>
        </w:tc>
      </w:tr>
    </w:tbl>
    <w:p>
      <w:pPr>
        <w:spacing w:after="160" w:before="0" w:line="280"/>
        <w:jc w:val="left"/>
      </w:pPr>
      <w:r>
        <w:rPr>
          <w:rFonts w:ascii="Calibri" w:cs="Calibri" w:eastAsia="Calibri" w:hAnsi="Calibri"/>
          <w:b w:val="false"/>
          <w:bCs w:val="false"/>
          <w:i w:val="false"/>
          <w:iCs w:val="false"/>
          <w:color w:val="37474F"/>
          <w:sz w:val="22"/>
          <w:szCs w:val="22"/>
        </w:rPr>
        <w:t xml:space="preserve"/>
      </w:r>
    </w:p>
    <w:p>
      <w:pPr>
        <w:spacing w:after="0"/>
      </w:pPr>
      <w:r>
        <w:br w:type="page"/>
      </w:r>
    </w:p>
    <w:p>
      <w:pPr>
        <w:pStyle w:val="Heading2"/>
        <w:spacing w:after="100" w:before="360" w:line="280"/>
        <w:jc w:val="left"/>
      </w:pPr>
      <w:r>
        <w:rPr>
          <w:rFonts w:ascii="Calibri" w:cs="Calibri" w:eastAsia="Calibri" w:hAnsi="Calibri"/>
          <w:b/>
          <w:bCs/>
          <w:i w:val="false"/>
          <w:iCs w:val="false"/>
          <w:color w:val="2E7D32"/>
          <w:sz w:val="26"/>
          <w:szCs w:val="26"/>
        </w:rPr>
        <w:t xml:space="preserve">Group 15: Reports (RPT)</w:t>
      </w:r>
    </w:p>
    <w:p>
      <w:pPr>
        <w:spacing w:after="120" w:before="0" w:line="280"/>
        <w:jc w:val="left"/>
      </w:pPr>
      <w:r>
        <w:rPr>
          <w:rFonts w:ascii="Calibri" w:cs="Calibri" w:eastAsia="Calibri" w:hAnsi="Calibri"/>
          <w:b/>
          <w:bCs/>
          <w:i w:val="false"/>
          <w:iCs w:val="false"/>
          <w:color w:val="388E3C"/>
          <w:sz w:val="20"/>
          <w:szCs w:val="20"/>
        </w:rPr>
        <w:t xml:space="preserve">5 screens</w:t>
      </w:r>
    </w:p>
    <w:p>
      <w:pPr>
        <w:spacing w:after="120" w:before="0" w:line="280"/>
        <w:jc w:val="left"/>
      </w:pPr>
      <w:r>
        <w:rPr>
          <w:rFonts w:ascii="Calibri" w:cs="Calibri" w:eastAsia="Calibri" w:hAnsi="Calibri"/>
          <w:b w:val="false"/>
          <w:bCs w:val="false"/>
          <w:i w:val="false"/>
          <w:iCs w:val="false"/>
          <w:color w:val="37474F"/>
          <w:sz w:val="22"/>
          <w:szCs w:val="22"/>
        </w:rPr>
        <w:t xml:space="preserve">Reports include AI narrative sections generated by the Reporting Engine using the Claude API. The 'send' action on any report is always a no-op in the system (it logs the action but does not transmit communications to external parties).</w:t>
      </w:r>
    </w:p>
    <w:tbl>
      <w:tblPr>
        <w:tblW w:type="dxa" w:w="9360"/>
        <w:tblBorders>
          <w:top w:val="single" w:color="A5D6A7" w:sz="4"/>
          <w:left w:val="single" w:color="A5D6A7" w:sz="4"/>
          <w:bottom w:val="single" w:color="A5D6A7" w:sz="4"/>
          <w:right w:val="single" w:color="A5D6A7" w:sz="4"/>
          <w:insideH w:val="single" w:color="auto" w:sz="4"/>
          <w:insideV w:val="single" w:color="auto" w:sz="4"/>
        </w:tblBorders>
      </w:tblPr>
      <w:tblGrid>
        <w:gridCol w:w="1560"/>
        <w:gridCol w:w="7800"/>
      </w:tblGrid>
      <w:tr>
        <w:trPr>
          <w:tblHeader/>
        </w:trPr>
        <w:tc>
          <w:tcPr>
            <w:tcW w:type="dxa" w:w="156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Code</w:t>
            </w:r>
          </w:p>
        </w:tc>
        <w:tc>
          <w:tcPr>
            <w:tcW w:type="dxa" w:w="780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Name</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RPT-01</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Report Library</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RPT-02</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Weekly Progress Report (editable draft with AI narrative sections)</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RPT-03</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Monthly Executive Report</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RPT-04</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Change Impact Report</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RPT-05</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Custom Report Builder</w:t>
            </w:r>
          </w:p>
        </w:tc>
      </w:tr>
    </w:tbl>
    <w:p>
      <w:pPr>
        <w:spacing w:after="160" w:before="0" w:line="280"/>
        <w:jc w:val="left"/>
      </w:pPr>
      <w:r>
        <w:rPr>
          <w:rFonts w:ascii="Calibri" w:cs="Calibri" w:eastAsia="Calibri" w:hAnsi="Calibri"/>
          <w:b w:val="false"/>
          <w:bCs w:val="false"/>
          <w:i w:val="false"/>
          <w:iCs w:val="false"/>
          <w:color w:val="37474F"/>
          <w:sz w:val="22"/>
          <w:szCs w:val="22"/>
        </w:rPr>
        <w:t xml:space="preserve"/>
      </w:r>
    </w:p>
    <w:p>
      <w:pPr>
        <w:pStyle w:val="Heading2"/>
        <w:spacing w:after="100" w:before="360" w:line="280"/>
        <w:jc w:val="left"/>
      </w:pPr>
      <w:r>
        <w:rPr>
          <w:rFonts w:ascii="Calibri" w:cs="Calibri" w:eastAsia="Calibri" w:hAnsi="Calibri"/>
          <w:b/>
          <w:bCs/>
          <w:i w:val="false"/>
          <w:iCs w:val="false"/>
          <w:color w:val="2E7D32"/>
          <w:sz w:val="26"/>
          <w:szCs w:val="26"/>
        </w:rPr>
        <w:t xml:space="preserve">Group 16: Evidence Capture (EVC)</w:t>
      </w:r>
    </w:p>
    <w:p>
      <w:pPr>
        <w:spacing w:after="120" w:before="0" w:line="280"/>
        <w:jc w:val="left"/>
      </w:pPr>
      <w:r>
        <w:rPr>
          <w:rFonts w:ascii="Calibri" w:cs="Calibri" w:eastAsia="Calibri" w:hAnsi="Calibri"/>
          <w:b/>
          <w:bCs/>
          <w:i w:val="false"/>
          <w:iCs w:val="false"/>
          <w:color w:val="388E3C"/>
          <w:sz w:val="20"/>
          <w:szCs w:val="20"/>
        </w:rPr>
        <w:t xml:space="preserve">4 screens</w:t>
      </w:r>
    </w:p>
    <w:p>
      <w:pPr>
        <w:spacing w:after="120" w:before="0" w:line="280"/>
        <w:jc w:val="left"/>
      </w:pPr>
      <w:r>
        <w:rPr>
          <w:rFonts w:ascii="Calibri" w:cs="Calibri" w:eastAsia="Calibri" w:hAnsi="Calibri"/>
          <w:b w:val="false"/>
          <w:bCs w:val="false"/>
          <w:i w:val="false"/>
          <w:iCs w:val="false"/>
          <w:color w:val="37474F"/>
          <w:sz w:val="22"/>
          <w:szCs w:val="22"/>
        </w:rPr>
        <w:t xml:space="preserve">Evidence Capture screens are mobile-first. 12 capture types are supported: photos, voice memos, video, documents, QR scan, GPS-tagged location, form-based, PDF mark-up, third-party integration import, structured survey, inspection checklist, and automated IoT feed.</w:t>
      </w:r>
    </w:p>
    <w:tbl>
      <w:tblPr>
        <w:tblW w:type="dxa" w:w="9360"/>
        <w:tblBorders>
          <w:top w:val="single" w:color="A5D6A7" w:sz="4"/>
          <w:left w:val="single" w:color="A5D6A7" w:sz="4"/>
          <w:bottom w:val="single" w:color="A5D6A7" w:sz="4"/>
          <w:right w:val="single" w:color="A5D6A7" w:sz="4"/>
          <w:insideH w:val="single" w:color="auto" w:sz="4"/>
          <w:insideV w:val="single" w:color="auto" w:sz="4"/>
        </w:tblBorders>
      </w:tblPr>
      <w:tblGrid>
        <w:gridCol w:w="1560"/>
        <w:gridCol w:w="7800"/>
      </w:tblGrid>
      <w:tr>
        <w:trPr>
          <w:tblHeader/>
        </w:trPr>
        <w:tc>
          <w:tcPr>
            <w:tcW w:type="dxa" w:w="156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Code</w:t>
            </w:r>
          </w:p>
        </w:tc>
        <w:tc>
          <w:tcPr>
            <w:tcW w:type="dxa" w:w="780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Name</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EVC-01</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Evidence Upload — Photos, voice memos, documents, structured forms</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EVC-02</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Evidence Review Queue — Pending verification by reviewers</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EVC-03</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Evidence Detail &amp; Score — Evidence Score v5 breakdown and metadata</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EVC-04</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Unverified Activities List — Activities with insufficient or unverified evidence</w:t>
            </w:r>
          </w:p>
        </w:tc>
      </w:tr>
    </w:tbl>
    <w:p>
      <w:pPr>
        <w:spacing w:after="160" w:before="0" w:line="280"/>
        <w:jc w:val="left"/>
      </w:pPr>
      <w:r>
        <w:rPr>
          <w:rFonts w:ascii="Calibri" w:cs="Calibri" w:eastAsia="Calibri" w:hAnsi="Calibri"/>
          <w:b w:val="false"/>
          <w:bCs w:val="false"/>
          <w:i w:val="false"/>
          <w:iCs w:val="false"/>
          <w:color w:val="37474F"/>
          <w:sz w:val="22"/>
          <w:szCs w:val="22"/>
        </w:rPr>
        <w:t xml:space="preserve"/>
      </w:r>
    </w:p>
    <w:p>
      <w:pPr>
        <w:pStyle w:val="Heading2"/>
        <w:spacing w:after="100" w:before="360" w:line="280"/>
        <w:jc w:val="left"/>
      </w:pPr>
      <w:r>
        <w:rPr>
          <w:rFonts w:ascii="Calibri" w:cs="Calibri" w:eastAsia="Calibri" w:hAnsi="Calibri"/>
          <w:b/>
          <w:bCs/>
          <w:i w:val="false"/>
          <w:iCs w:val="false"/>
          <w:color w:val="2E7D32"/>
          <w:sz w:val="26"/>
          <w:szCs w:val="26"/>
        </w:rPr>
        <w:t xml:space="preserve">Group 17: Notifications &amp; Actions (NTF)</w:t>
      </w:r>
    </w:p>
    <w:p>
      <w:pPr>
        <w:spacing w:after="120" w:before="0" w:line="280"/>
        <w:jc w:val="left"/>
      </w:pPr>
      <w:r>
        <w:rPr>
          <w:rFonts w:ascii="Calibri" w:cs="Calibri" w:eastAsia="Calibri" w:hAnsi="Calibri"/>
          <w:b/>
          <w:bCs/>
          <w:i w:val="false"/>
          <w:iCs w:val="false"/>
          <w:color w:val="388E3C"/>
          <w:sz w:val="20"/>
          <w:szCs w:val="20"/>
        </w:rPr>
        <w:t xml:space="preserve">4 screens</w:t>
      </w:r>
    </w:p>
    <w:tbl>
      <w:tblPr>
        <w:tblW w:type="dxa" w:w="9360"/>
        <w:tblBorders>
          <w:top w:val="single" w:color="A5D6A7" w:sz="4"/>
          <w:left w:val="single" w:color="A5D6A7" w:sz="4"/>
          <w:bottom w:val="single" w:color="A5D6A7" w:sz="4"/>
          <w:right w:val="single" w:color="A5D6A7" w:sz="4"/>
          <w:insideH w:val="single" w:color="auto" w:sz="4"/>
          <w:insideV w:val="single" w:color="auto" w:sz="4"/>
        </w:tblBorders>
      </w:tblPr>
      <w:tblGrid>
        <w:gridCol w:w="1560"/>
        <w:gridCol w:w="7800"/>
      </w:tblGrid>
      <w:tr>
        <w:trPr>
          <w:tblHeader/>
        </w:trPr>
        <w:tc>
          <w:tcPr>
            <w:tcW w:type="dxa" w:w="156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Code</w:t>
            </w:r>
          </w:p>
        </w:tc>
        <w:tc>
          <w:tcPr>
            <w:tcW w:type="dxa" w:w="7800"/>
            <w:gridSpan w:val="1"/>
            <w:shd w:fill="388E3C"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Screen Name</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NTF-01</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Notification Centre</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NTF-02</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Action Items Queue</w:t>
            </w:r>
          </w:p>
        </w:tc>
      </w:tr>
      <w:tr>
        <w:trPr>
          <w:tblHeader w:val="false"/>
        </w:trPr>
        <w:tc>
          <w:tcPr>
            <w:tcW w:type="dxa" w:w="15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NTF-03</w:t>
            </w:r>
          </w:p>
        </w:tc>
        <w:tc>
          <w:tcPr>
            <w:tcW w:type="dxa" w:w="78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Approval Queue</w:t>
            </w:r>
          </w:p>
        </w:tc>
      </w:tr>
      <w:tr>
        <w:trPr>
          <w:tblHeader w:val="false"/>
        </w:trPr>
        <w:tc>
          <w:tcPr>
            <w:tcW w:type="dxa" w:w="15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NTF-04</w:t>
            </w:r>
          </w:p>
        </w:tc>
        <w:tc>
          <w:tcPr>
            <w:tcW w:type="dxa" w:w="78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Escalation Log</w:t>
            </w:r>
          </w:p>
        </w:tc>
      </w:tr>
    </w:tbl>
    <w:p>
      <w:pPr>
        <w:spacing w:after="200" w:before="0" w:line="280"/>
        <w:jc w:val="left"/>
      </w:pPr>
      <w:r>
        <w:rPr>
          <w:rFonts w:ascii="Calibri" w:cs="Calibri" w:eastAsia="Calibri" w:hAnsi="Calibri"/>
          <w:b w:val="false"/>
          <w:bCs w:val="false"/>
          <w:i w:val="false"/>
          <w:iCs w:val="false"/>
          <w:color w:val="37474F"/>
          <w:sz w:val="22"/>
          <w:szCs w:val="22"/>
        </w:rPr>
        <w:t xml:space="preserve"/>
      </w:r>
    </w:p>
    <w:p>
      <w:pPr>
        <w:spacing w:after="0"/>
      </w:pPr>
      <w:r>
        <w:br w:type="page"/>
      </w:r>
    </w:p>
    <w:p>
      <w:pPr>
        <w:pStyle w:val="Heading1"/>
        <w:spacing w:after="200" w:before="480" w:line="280"/>
        <w:jc w:val="left"/>
      </w:pPr>
      <w:r>
        <w:rPr>
          <w:rFonts w:ascii="Calibri" w:cs="Calibri" w:eastAsia="Calibri" w:hAnsi="Calibri"/>
          <w:b/>
          <w:bCs/>
          <w:i w:val="false"/>
          <w:iCs w:val="false"/>
          <w:color w:val="1B5E20"/>
          <w:sz w:val="36"/>
          <w:szCs w:val="36"/>
        </w:rPr>
        <w:t xml:space="preserve">3. Green PM Studio Environment</w:t>
      </w:r>
    </w:p>
    <w:p>
      <w:pPr>
        <w:spacing w:after="120" w:before="0" w:line="280"/>
        <w:jc w:val="left"/>
      </w:pPr>
      <w:r>
        <w:rPr>
          <w:rFonts w:ascii="Calibri" w:cs="Calibri" w:eastAsia="Calibri" w:hAnsi="Calibri"/>
          <w:b w:val="false"/>
          <w:bCs w:val="false"/>
          <w:i w:val="false"/>
          <w:iCs w:val="false"/>
          <w:color w:val="37474F"/>
          <w:sz w:val="22"/>
          <w:szCs w:val="22"/>
        </w:rPr>
        <w:t xml:space="preserve">Green PM Studio is the configuration environment for tenant administrators. Studio was significantly expanded in v5: it absorbed the v4 Configuration Engine as a set of purpose-built no-code builders, and two new builders were added to support the Readiness Engine and Simulation Engine.</w:t>
      </w:r>
    </w:p>
    <w:p>
      <w:pPr>
        <w:spacing w:after="200" w:before="0" w:line="280"/>
        <w:jc w:val="left"/>
      </w:pPr>
      <w:r>
        <w:rPr>
          <w:rFonts w:ascii="Calibri" w:cs="Calibri" w:eastAsia="Calibri" w:hAnsi="Calibri"/>
          <w:b w:val="false"/>
          <w:bCs w:val="false"/>
          <w:i w:val="false"/>
          <w:iCs w:val="false"/>
          <w:color w:val="37474F"/>
          <w:sz w:val="22"/>
          <w:szCs w:val="22"/>
        </w:rPr>
        <w:t xml:space="preserve">Studio follows a no-code philosophy: every builder is a guided visual interface. No JSON, no YAML, no code. Every configuration change is versioned, auditable, and reversible.</w:t>
      </w:r>
    </w:p>
    <w:p>
      <w:pPr>
        <w:pStyle w:val="Heading2"/>
        <w:spacing w:after="160" w:before="360" w:line="280"/>
        <w:jc w:val="left"/>
      </w:pPr>
      <w:r>
        <w:rPr>
          <w:rFonts w:ascii="Calibri" w:cs="Calibri" w:eastAsia="Calibri" w:hAnsi="Calibri"/>
          <w:b/>
          <w:bCs/>
          <w:i w:val="false"/>
          <w:iCs w:val="false"/>
          <w:color w:val="2E7D32"/>
          <w:sz w:val="28"/>
          <w:szCs w:val="28"/>
        </w:rPr>
        <w:t xml:space="preserve">3.1  Studio Builders — 15 Total</w:t>
      </w:r>
    </w:p>
    <w:p>
      <w:pPr>
        <w:spacing w:after="120" w:before="0" w:line="280"/>
        <w:jc w:val="left"/>
      </w:pPr>
      <w:r>
        <w:rPr>
          <w:rFonts w:ascii="Calibri" w:cs="Calibri" w:eastAsia="Calibri" w:hAnsi="Calibri"/>
          <w:b w:val="false"/>
          <w:bCs w:val="false"/>
          <w:i w:val="false"/>
          <w:iCs w:val="false"/>
          <w:color w:val="37474F"/>
          <w:sz w:val="22"/>
          <w:szCs w:val="22"/>
        </w:rPr>
        <w:t xml:space="preserve">Two builders are new in v5 (highlighted below).</w:t>
      </w:r>
    </w:p>
    <w:tbl>
      <w:tblPr>
        <w:tblW w:type="dxa" w:w="9360"/>
        <w:tblBorders>
          <w:top w:val="single" w:color="A5D6A7" w:sz="4"/>
          <w:left w:val="single" w:color="A5D6A7" w:sz="4"/>
          <w:bottom w:val="single" w:color="A5D6A7" w:sz="4"/>
          <w:right w:val="single" w:color="A5D6A7" w:sz="4"/>
          <w:insideH w:val="single" w:color="auto" w:sz="4"/>
          <w:insideV w:val="single" w:color="auto" w:sz="4"/>
        </w:tblBorders>
      </w:tblPr>
      <w:tblGrid>
        <w:gridCol w:w="720"/>
        <w:gridCol w:w="3360"/>
        <w:gridCol w:w="5280"/>
      </w:tblGrid>
      <w:tr>
        <w:trPr>
          <w:tblHeader/>
        </w:trPr>
        <w:tc>
          <w:tcPr>
            <w:tcW w:type="dxa" w:w="720"/>
            <w:gridSpan w:val="1"/>
            <w:shd w:fill="1B5E20"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w:t>
            </w:r>
          </w:p>
        </w:tc>
        <w:tc>
          <w:tcPr>
            <w:tcW w:type="dxa" w:w="3360"/>
            <w:gridSpan w:val="1"/>
            <w:shd w:fill="1B5E20"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Builder</w:t>
            </w:r>
          </w:p>
        </w:tc>
        <w:tc>
          <w:tcPr>
            <w:tcW w:type="dxa" w:w="5280"/>
            <w:gridSpan w:val="1"/>
            <w:shd w:fill="1B5E20"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What it configures</w:t>
            </w:r>
          </w:p>
        </w:tc>
      </w:tr>
      <w:tr>
        <w:trPr>
          <w:tblHeader w:val="false"/>
        </w:trPr>
        <w:tc>
          <w:tcPr>
            <w:tcW w:type="dxa" w:w="7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01</w:t>
            </w:r>
          </w:p>
        </w:tc>
        <w:tc>
          <w:tcPr>
            <w:tcW w:type="dxa" w:w="33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Stage Gate Builder</w:t>
            </w:r>
          </w:p>
        </w:tc>
        <w:tc>
          <w:tcPr>
            <w:tcW w:type="dxa" w:w="528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Stage gate criteria, required evidence types, approver roles, and gate thresholds for each project phase</w:t>
            </w:r>
          </w:p>
        </w:tc>
      </w:tr>
      <w:tr>
        <w:trPr>
          <w:tblHeader w:val="false"/>
        </w:trPr>
        <w:tc>
          <w:tcPr>
            <w:tcW w:type="dxa" w:w="7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02</w:t>
            </w:r>
          </w:p>
        </w:tc>
        <w:tc>
          <w:tcPr>
            <w:tcW w:type="dxa" w:w="33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WBS Template Builder</w:t>
            </w:r>
          </w:p>
        </w:tc>
        <w:tc>
          <w:tcPr>
            <w:tcW w:type="dxa" w:w="528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Standard WBS structures, naming conventions, and default activity sets for each project type</w:t>
            </w:r>
          </w:p>
        </w:tc>
      </w:tr>
      <w:tr>
        <w:trPr>
          <w:tblHeader w:val="false"/>
        </w:trPr>
        <w:tc>
          <w:tcPr>
            <w:tcW w:type="dxa" w:w="7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03</w:t>
            </w:r>
          </w:p>
        </w:tc>
        <w:tc>
          <w:tcPr>
            <w:tcW w:type="dxa" w:w="33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Alert Rule Builder</w:t>
            </w:r>
          </w:p>
        </w:tc>
        <w:tc>
          <w:tcPr>
            <w:tcW w:type="dxa" w:w="528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Threshold-based and pattern-based alert rules; routing, priority, and escalation path</w:t>
            </w:r>
          </w:p>
        </w:tc>
      </w:tr>
      <w:tr>
        <w:trPr>
          <w:tblHeader w:val="false"/>
        </w:trPr>
        <w:tc>
          <w:tcPr>
            <w:tcW w:type="dxa" w:w="7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04</w:t>
            </w:r>
          </w:p>
        </w:tc>
        <w:tc>
          <w:tcPr>
            <w:tcW w:type="dxa" w:w="33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Report Template Builder</w:t>
            </w:r>
          </w:p>
        </w:tc>
        <w:tc>
          <w:tcPr>
            <w:tcW w:type="dxa" w:w="528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Report layouts, section definitions, data fields, narrative placeholders, and distribution rules</w:t>
            </w:r>
          </w:p>
        </w:tc>
      </w:tr>
      <w:tr>
        <w:trPr>
          <w:tblHeader w:val="false"/>
        </w:trPr>
        <w:tc>
          <w:tcPr>
            <w:tcW w:type="dxa" w:w="7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05</w:t>
            </w:r>
          </w:p>
        </w:tc>
        <w:tc>
          <w:tcPr>
            <w:tcW w:type="dxa" w:w="33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Approval Chain Builder</w:t>
            </w:r>
          </w:p>
        </w:tc>
        <w:tc>
          <w:tcPr>
            <w:tcW w:type="dxa" w:w="528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Multi-stage approval workflows for changes, decisions, and gate sign-offs; delegate rules; timeout actions</w:t>
            </w:r>
          </w:p>
        </w:tc>
      </w:tr>
      <w:tr>
        <w:trPr>
          <w:tblHeader w:val="false"/>
        </w:trPr>
        <w:tc>
          <w:tcPr>
            <w:tcW w:type="dxa" w:w="7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06</w:t>
            </w:r>
          </w:p>
        </w:tc>
        <w:tc>
          <w:tcPr>
            <w:tcW w:type="dxa" w:w="33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Evidence Profile Builder</w:t>
            </w:r>
          </w:p>
        </w:tc>
        <w:tc>
          <w:tcPr>
            <w:tcW w:type="dxa" w:w="528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Evidence Score v5 weights per activity type; minimum evidence thresholds; auto-verification rules</w:t>
            </w:r>
          </w:p>
        </w:tc>
      </w:tr>
      <w:tr>
        <w:trPr>
          <w:tblHeader w:val="false"/>
        </w:trPr>
        <w:tc>
          <w:tcPr>
            <w:tcW w:type="dxa" w:w="7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07</w:t>
            </w:r>
          </w:p>
        </w:tc>
        <w:tc>
          <w:tcPr>
            <w:tcW w:type="dxa" w:w="33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Integration Connector Builder</w:t>
            </w:r>
          </w:p>
        </w:tc>
        <w:tc>
          <w:tcPr>
            <w:tcW w:type="dxa" w:w="528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Configure connections to P6, MS Project, SAP, Procore, SharePoint, and custom REST endpoints</w:t>
            </w:r>
          </w:p>
        </w:tc>
      </w:tr>
      <w:tr>
        <w:trPr>
          <w:tblHeader w:val="false"/>
        </w:trPr>
        <w:tc>
          <w:tcPr>
            <w:tcW w:type="dxa" w:w="7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08</w:t>
            </w:r>
          </w:p>
        </w:tc>
        <w:tc>
          <w:tcPr>
            <w:tcW w:type="dxa" w:w="33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Notification Rule Builder</w:t>
            </w:r>
          </w:p>
        </w:tc>
        <w:tc>
          <w:tcPr>
            <w:tcW w:type="dxa" w:w="528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Event-to-notification mappings; channel routing (in-app, email, webhook); batching and digest rules</w:t>
            </w:r>
          </w:p>
        </w:tc>
      </w:tr>
      <w:tr>
        <w:trPr>
          <w:tblHeader w:val="false"/>
        </w:trPr>
        <w:tc>
          <w:tcPr>
            <w:tcW w:type="dxa" w:w="7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09</w:t>
            </w:r>
          </w:p>
        </w:tc>
        <w:tc>
          <w:tcPr>
            <w:tcW w:type="dxa" w:w="33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Custom Field Builder</w:t>
            </w:r>
          </w:p>
        </w:tc>
        <w:tc>
          <w:tcPr>
            <w:tcW w:type="dxa" w:w="528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Tenant-specific fields for any entity type; validation rules; display conditions; API exposure</w:t>
            </w:r>
          </w:p>
        </w:tc>
      </w:tr>
      <w:tr>
        <w:trPr>
          <w:tblHeader w:val="false"/>
        </w:trPr>
        <w:tc>
          <w:tcPr>
            <w:tcW w:type="dxa" w:w="7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10</w:t>
            </w:r>
          </w:p>
        </w:tc>
        <w:tc>
          <w:tcPr>
            <w:tcW w:type="dxa" w:w="33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Drawing Numbering Builder</w:t>
            </w:r>
          </w:p>
        </w:tc>
        <w:tc>
          <w:tcPr>
            <w:tcW w:type="dxa" w:w="528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Drawing numbering conventions, discipline codes, revision schemas, and automatic number generation rules</w:t>
            </w:r>
          </w:p>
        </w:tc>
      </w:tr>
      <w:tr>
        <w:trPr>
          <w:tblHeader w:val="false"/>
        </w:trPr>
        <w:tc>
          <w:tcPr>
            <w:tcW w:type="dxa" w:w="720"/>
            <w:gridSpan w:val="1"/>
            <w:tcMar>
              <w:top w:type="dxa" w:w="60"/>
              <w:left w:type="dxa" w:w="100"/>
              <w:bottom w:type="dxa" w:w="60"/>
              <w:right w:type="dxa" w:w="100"/>
            </w:tcMar>
          </w:tcPr>
          <w:p>
            <w:pPr>
              <w:spacing w:after="60" w:before="60"/>
              <w:jc w:val="left"/>
            </w:pPr>
            <w:r>
              <w:rPr>
                <w:rFonts w:ascii="Calibri" w:cs="Calibri" w:eastAsia="Calibri" w:hAnsi="Calibri"/>
                <w:b/>
                <w:bCs/>
                <w:i w:val="false"/>
                <w:iCs w:val="false"/>
                <w:color w:val="E65100"/>
                <w:sz w:val="20"/>
                <w:szCs w:val="20"/>
              </w:rPr>
              <w:t xml:space="preserve">11</w:t>
            </w:r>
          </w:p>
        </w:tc>
        <w:tc>
          <w:tcPr>
            <w:tcW w:type="dxa" w:w="3360"/>
            <w:gridSpan w:val="1"/>
            <w:tcMar>
              <w:top w:type="dxa" w:w="60"/>
              <w:left w:type="dxa" w:w="100"/>
              <w:bottom w:type="dxa" w:w="60"/>
              <w:right w:type="dxa" w:w="100"/>
            </w:tcMar>
          </w:tcPr>
          <w:p>
            <w:pPr>
              <w:spacing w:after="60" w:before="60"/>
              <w:jc w:val="left"/>
            </w:pPr>
            <w:r>
              <w:rPr>
                <w:rFonts w:ascii="Calibri" w:cs="Calibri" w:eastAsia="Calibri" w:hAnsi="Calibri"/>
                <w:b/>
                <w:bCs/>
                <w:i w:val="false"/>
                <w:iCs w:val="false"/>
                <w:color w:val="E65100"/>
                <w:sz w:val="20"/>
                <w:szCs w:val="20"/>
              </w:rPr>
              <w:t xml:space="preserve">Readiness Gate Criteria Builder  ★ NEW</w:t>
            </w:r>
          </w:p>
        </w:tc>
        <w:tc>
          <w:tcPr>
            <w:tcW w:type="dxa" w:w="528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Define criteria for each of the 6 readiness gate types; assign responsible parties; set completion thresholds; configure blocking items</w:t>
            </w:r>
          </w:p>
        </w:tc>
      </w:tr>
      <w:tr>
        <w:trPr>
          <w:tblHeader w:val="false"/>
        </w:trPr>
        <w:tc>
          <w:tcPr>
            <w:tcW w:type="dxa" w:w="7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E65100"/>
                <w:sz w:val="20"/>
                <w:szCs w:val="20"/>
              </w:rPr>
              <w:t xml:space="preserve">12</w:t>
            </w:r>
          </w:p>
        </w:tc>
        <w:tc>
          <w:tcPr>
            <w:tcW w:type="dxa" w:w="33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E65100"/>
                <w:sz w:val="20"/>
                <w:szCs w:val="20"/>
              </w:rPr>
              <w:t xml:space="preserve">Simulation Scenario Template Builder  ★ NEW</w:t>
            </w:r>
          </w:p>
        </w:tc>
        <w:tc>
          <w:tcPr>
            <w:tcW w:type="dxa" w:w="528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Pre-define perturbation types, parameter ranges, and output formats for Simulation Engine scenarios</w:t>
            </w:r>
          </w:p>
        </w:tc>
      </w:tr>
      <w:tr>
        <w:trPr>
          <w:tblHeader w:val="false"/>
        </w:trPr>
        <w:tc>
          <w:tcPr>
            <w:tcW w:type="dxa" w:w="7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13</w:t>
            </w:r>
          </w:p>
        </w:tc>
        <w:tc>
          <w:tcPr>
            <w:tcW w:type="dxa" w:w="33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Role &amp; Permission Builder</w:t>
            </w:r>
          </w:p>
        </w:tc>
        <w:tc>
          <w:tcPr>
            <w:tcW w:type="dxa" w:w="528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Role definitions; screen-level and data-level permissions; role assignment rules; external user access</w:t>
            </w:r>
          </w:p>
        </w:tc>
      </w:tr>
      <w:tr>
        <w:trPr>
          <w:tblHeader w:val="false"/>
        </w:trPr>
        <w:tc>
          <w:tcPr>
            <w:tcW w:type="dxa" w:w="7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14</w:t>
            </w:r>
          </w:p>
        </w:tc>
        <w:tc>
          <w:tcPr>
            <w:tcW w:type="dxa" w:w="336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Vendor Scoring Weight Builder</w:t>
            </w:r>
          </w:p>
        </w:tc>
        <w:tc>
          <w:tcPr>
            <w:tcW w:type="dxa" w:w="528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Weights for 6 vendor scoring dimensions per contract type; scoring frequency; minimum performance thresholds</w:t>
            </w:r>
          </w:p>
        </w:tc>
      </w:tr>
      <w:tr>
        <w:trPr>
          <w:tblHeader w:val="false"/>
        </w:trPr>
        <w:tc>
          <w:tcPr>
            <w:tcW w:type="dxa" w:w="7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15</w:t>
            </w:r>
          </w:p>
        </w:tc>
        <w:tc>
          <w:tcPr>
            <w:tcW w:type="dxa" w:w="336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Regulatory Compliance Builder</w:t>
            </w:r>
          </w:p>
        </w:tc>
        <w:tc>
          <w:tcPr>
            <w:tcW w:type="dxa" w:w="528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Regulatory frameworks, mandatory documentation sets, clearance checklists, and jurisdiction-specific rules</w:t>
            </w:r>
          </w:p>
        </w:tc>
      </w:tr>
    </w:tbl>
    <w:p>
      <w:pPr>
        <w:spacing w:after="200" w:before="0" w:line="280"/>
        <w:jc w:val="left"/>
      </w:pPr>
      <w:r>
        <w:rPr>
          <w:rFonts w:ascii="Calibri" w:cs="Calibri" w:eastAsia="Calibri" w:hAnsi="Calibri"/>
          <w:b w:val="false"/>
          <w:bCs w:val="false"/>
          <w:i w:val="false"/>
          <w:iCs w:val="false"/>
          <w:color w:val="37474F"/>
          <w:sz w:val="22"/>
          <w:szCs w:val="22"/>
        </w:rPr>
        <w:t xml:space="preserve"/>
      </w:r>
    </w:p>
    <w:p>
      <w:pPr>
        <w:pStyle w:val="Heading2"/>
        <w:spacing w:after="160" w:before="360" w:line="280"/>
        <w:jc w:val="left"/>
      </w:pPr>
      <w:r>
        <w:rPr>
          <w:rFonts w:ascii="Calibri" w:cs="Calibri" w:eastAsia="Calibri" w:hAnsi="Calibri"/>
          <w:b/>
          <w:bCs/>
          <w:i w:val="false"/>
          <w:iCs w:val="false"/>
          <w:color w:val="2E7D32"/>
          <w:sz w:val="28"/>
          <w:szCs w:val="28"/>
        </w:rPr>
        <w:t xml:space="preserve">3.2  Studio Access</w:t>
      </w:r>
    </w:p>
    <w:p>
      <w:pPr>
        <w:spacing w:after="200" w:before="0" w:line="280"/>
        <w:jc w:val="left"/>
      </w:pPr>
      <w:r>
        <w:rPr>
          <w:rFonts w:ascii="Calibri" w:cs="Calibri" w:eastAsia="Calibri" w:hAnsi="Calibri"/>
          <w:b w:val="false"/>
          <w:bCs w:val="false"/>
          <w:i w:val="false"/>
          <w:iCs w:val="false"/>
          <w:color w:val="37474F"/>
          <w:sz w:val="22"/>
          <w:szCs w:val="22"/>
        </w:rPr>
        <w:t xml:space="preserve">Studio is accessible to users with the Tenant Administrator or Studio Editor role. All Studio changes are applied to the project configuration immediately upon save, with a full audit trail of who changed what and when. All changes are reversible via configuration version history.</w:t>
      </w:r>
    </w:p>
    <w:p>
      <w:pPr>
        <w:spacing w:after="0"/>
      </w:pPr>
      <w:r>
        <w:br w:type="page"/>
      </w:r>
    </w:p>
    <w:p>
      <w:pPr>
        <w:pStyle w:val="Heading1"/>
        <w:spacing w:after="200" w:before="480" w:line="280"/>
        <w:jc w:val="left"/>
      </w:pPr>
      <w:r>
        <w:rPr>
          <w:rFonts w:ascii="Calibri" w:cs="Calibri" w:eastAsia="Calibri" w:hAnsi="Calibri"/>
          <w:b/>
          <w:bCs/>
          <w:i w:val="false"/>
          <w:iCs w:val="false"/>
          <w:color w:val="1B5E20"/>
          <w:sz w:val="36"/>
          <w:szCs w:val="36"/>
        </w:rPr>
        <w:t xml:space="preserve">4. Screen Count Summary</w:t>
      </w:r>
    </w:p>
    <w:p>
      <w:pPr>
        <w:spacing w:after="200" w:before="0" w:line="280"/>
        <w:jc w:val="left"/>
      </w:pPr>
      <w:r>
        <w:rPr>
          <w:rFonts w:ascii="Calibri" w:cs="Calibri" w:eastAsia="Calibri" w:hAnsi="Calibri"/>
          <w:b w:val="false"/>
          <w:bCs w:val="false"/>
          <w:i w:val="false"/>
          <w:iCs w:val="false"/>
          <w:color w:val="37474F"/>
          <w:sz w:val="22"/>
          <w:szCs w:val="22"/>
        </w:rPr>
        <w:t xml:space="preserve">The following table shows how the total screen count evolved from v4 (133 screens) to v5 (140 screens). The net increase of 7 screens reflects the addition of 4 new engine screen groups (+16 screens from RDY, SIM, CRD, MEM) offset by the rationalisation of the Studio environment (−28 screens) as the v4 Configuration Engine's many individual configuration screens were replaced by 15 purpose-built Studio builders.</w:t>
      </w:r>
    </w:p>
    <w:tbl>
      <w:tblPr>
        <w:tblW w:type="dxa" w:w="9360"/>
        <w:tblBorders>
          <w:top w:val="single" w:color="A5D6A7" w:sz="4"/>
          <w:left w:val="single" w:color="A5D6A7" w:sz="4"/>
          <w:bottom w:val="single" w:color="A5D6A7" w:sz="4"/>
          <w:right w:val="single" w:color="A5D6A7" w:sz="4"/>
          <w:insideH w:val="single" w:color="auto" w:sz="4"/>
          <w:insideV w:val="single" w:color="auto" w:sz="4"/>
        </w:tblBorders>
      </w:tblPr>
      <w:tblGrid>
        <w:gridCol w:w="4200"/>
        <w:gridCol w:w="1320"/>
        <w:gridCol w:w="1320"/>
        <w:gridCol w:w="2520"/>
      </w:tblGrid>
      <w:tr>
        <w:trPr>
          <w:tblHeader/>
        </w:trPr>
        <w:tc>
          <w:tcPr>
            <w:tcW w:type="dxa" w:w="4200"/>
            <w:gridSpan w:val="1"/>
            <w:shd w:fill="1B5E20"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Group</w:t>
            </w:r>
          </w:p>
        </w:tc>
        <w:tc>
          <w:tcPr>
            <w:tcW w:type="dxa" w:w="1320"/>
            <w:gridSpan w:val="1"/>
            <w:shd w:fill="1B5E20"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v4</w:t>
            </w:r>
          </w:p>
        </w:tc>
        <w:tc>
          <w:tcPr>
            <w:tcW w:type="dxa" w:w="1320"/>
            <w:gridSpan w:val="1"/>
            <w:shd w:fill="1B5E20"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v5</w:t>
            </w:r>
          </w:p>
        </w:tc>
        <w:tc>
          <w:tcPr>
            <w:tcW w:type="dxa" w:w="2520"/>
            <w:gridSpan w:val="1"/>
            <w:shd w:fill="1B5E20"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Change</w:t>
            </w:r>
          </w:p>
        </w:tc>
      </w:tr>
      <w:tr>
        <w:trPr>
          <w:tblHeader w:val="false"/>
        </w:trPr>
        <w:tc>
          <w:tcPr>
            <w:tcW w:type="dxa" w:w="42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Project Command Centre (PCC)</w:t>
            </w:r>
          </w:p>
        </w:tc>
        <w:tc>
          <w:tcPr>
            <w:tcW w:type="dxa" w:w="13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6</w:t>
            </w:r>
          </w:p>
        </w:tc>
        <w:tc>
          <w:tcPr>
            <w:tcW w:type="dxa" w:w="13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8</w:t>
            </w:r>
          </w:p>
        </w:tc>
        <w:tc>
          <w:tcPr>
            <w:tcW w:type="dxa" w:w="25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+2</w:t>
            </w:r>
          </w:p>
        </w:tc>
      </w:tr>
      <w:tr>
        <w:trPr>
          <w:tblHeader w:val="false"/>
        </w:trPr>
        <w:tc>
          <w:tcPr>
            <w:tcW w:type="dxa" w:w="42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Activity Workspaces (ACT)</w:t>
            </w:r>
          </w:p>
        </w:tc>
        <w:tc>
          <w:tcPr>
            <w:tcW w:type="dxa" w:w="13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7</w:t>
            </w:r>
          </w:p>
        </w:tc>
        <w:tc>
          <w:tcPr>
            <w:tcW w:type="dxa" w:w="13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10</w:t>
            </w:r>
          </w:p>
        </w:tc>
        <w:tc>
          <w:tcPr>
            <w:tcW w:type="dxa" w:w="25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+3</w:t>
            </w:r>
          </w:p>
        </w:tc>
      </w:tr>
      <w:tr>
        <w:trPr>
          <w:tblHeader w:val="false"/>
        </w:trPr>
        <w:tc>
          <w:tcPr>
            <w:tcW w:type="dxa" w:w="42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Drawing Workspaces (DRW)</w:t>
            </w:r>
          </w:p>
        </w:tc>
        <w:tc>
          <w:tcPr>
            <w:tcW w:type="dxa" w:w="13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6</w:t>
            </w:r>
          </w:p>
        </w:tc>
        <w:tc>
          <w:tcPr>
            <w:tcW w:type="dxa" w:w="13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6</w:t>
            </w:r>
          </w:p>
        </w:tc>
        <w:tc>
          <w:tcPr>
            <w:tcW w:type="dxa" w:w="25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w:t>
            </w:r>
          </w:p>
        </w:tc>
      </w:tr>
      <w:tr>
        <w:trPr>
          <w:tblHeader w:val="false"/>
        </w:trPr>
        <w:tc>
          <w:tcPr>
            <w:tcW w:type="dxa" w:w="42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Equipment Workspaces (EQP)</w:t>
            </w:r>
          </w:p>
        </w:tc>
        <w:tc>
          <w:tcPr>
            <w:tcW w:type="dxa" w:w="13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6</w:t>
            </w:r>
          </w:p>
        </w:tc>
        <w:tc>
          <w:tcPr>
            <w:tcW w:type="dxa" w:w="13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6</w:t>
            </w:r>
          </w:p>
        </w:tc>
        <w:tc>
          <w:tcPr>
            <w:tcW w:type="dxa" w:w="25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w:t>
            </w:r>
          </w:p>
        </w:tc>
      </w:tr>
      <w:tr>
        <w:trPr>
          <w:tblHeader w:val="false"/>
        </w:trPr>
        <w:tc>
          <w:tcPr>
            <w:tcW w:type="dxa" w:w="42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Vendor Workspaces (VND)</w:t>
            </w:r>
          </w:p>
        </w:tc>
        <w:tc>
          <w:tcPr>
            <w:tcW w:type="dxa" w:w="13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5</w:t>
            </w:r>
          </w:p>
        </w:tc>
        <w:tc>
          <w:tcPr>
            <w:tcW w:type="dxa" w:w="13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5</w:t>
            </w:r>
          </w:p>
        </w:tc>
        <w:tc>
          <w:tcPr>
            <w:tcW w:type="dxa" w:w="25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w:t>
            </w:r>
          </w:p>
        </w:tc>
      </w:tr>
      <w:tr>
        <w:trPr>
          <w:tblHeader w:val="false"/>
        </w:trPr>
        <w:tc>
          <w:tcPr>
            <w:tcW w:type="dxa" w:w="42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Change Workspaces (CHG)</w:t>
            </w:r>
          </w:p>
        </w:tc>
        <w:tc>
          <w:tcPr>
            <w:tcW w:type="dxa" w:w="13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5</w:t>
            </w:r>
          </w:p>
        </w:tc>
        <w:tc>
          <w:tcPr>
            <w:tcW w:type="dxa" w:w="13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5</w:t>
            </w:r>
          </w:p>
        </w:tc>
        <w:tc>
          <w:tcPr>
            <w:tcW w:type="dxa" w:w="25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w:t>
            </w:r>
          </w:p>
        </w:tc>
      </w:tr>
      <w:tr>
        <w:trPr>
          <w:tblHeader w:val="false"/>
        </w:trPr>
        <w:tc>
          <w:tcPr>
            <w:tcW w:type="dxa" w:w="42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iCs/>
                <w:color w:val="37474F"/>
                <w:sz w:val="20"/>
                <w:szCs w:val="20"/>
              </w:rPr>
              <w:t xml:space="preserve">Decision Workspaces (DEC)</w:t>
            </w:r>
          </w:p>
        </w:tc>
        <w:tc>
          <w:tcPr>
            <w:tcW w:type="dxa" w:w="13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iCs/>
                <w:color w:val="37474F"/>
                <w:sz w:val="20"/>
                <w:szCs w:val="20"/>
              </w:rPr>
              <w:t xml:space="preserve">—</w:t>
            </w:r>
          </w:p>
        </w:tc>
        <w:tc>
          <w:tcPr>
            <w:tcW w:type="dxa" w:w="1320"/>
            <w:gridSpan w:val="1"/>
            <w:tcMar>
              <w:top w:type="dxa" w:w="60"/>
              <w:left w:type="dxa" w:w="100"/>
              <w:bottom w:type="dxa" w:w="60"/>
              <w:right w:type="dxa" w:w="100"/>
            </w:tcMar>
          </w:tcPr>
          <w:p>
            <w:pPr>
              <w:spacing w:after="60" w:before="60"/>
              <w:jc w:val="left"/>
            </w:pPr>
            <w:r>
              <w:rPr>
                <w:rFonts w:ascii="Calibri" w:cs="Calibri" w:eastAsia="Calibri" w:hAnsi="Calibri"/>
                <w:b/>
                <w:bCs/>
                <w:i w:val="false"/>
                <w:iCs w:val="false"/>
                <w:color w:val="388E3C"/>
                <w:sz w:val="20"/>
                <w:szCs w:val="20"/>
              </w:rPr>
              <w:t xml:space="preserve">4</w:t>
            </w:r>
          </w:p>
        </w:tc>
        <w:tc>
          <w:tcPr>
            <w:tcW w:type="dxa" w:w="2520"/>
            <w:gridSpan w:val="1"/>
            <w:tcMar>
              <w:top w:type="dxa" w:w="60"/>
              <w:left w:type="dxa" w:w="100"/>
              <w:bottom w:type="dxa" w:w="60"/>
              <w:right w:type="dxa" w:w="100"/>
            </w:tcMar>
          </w:tcPr>
          <w:p>
            <w:pPr>
              <w:spacing w:after="60" w:before="60"/>
              <w:jc w:val="left"/>
            </w:pPr>
            <w:r>
              <w:rPr>
                <w:rFonts w:ascii="Calibri" w:cs="Calibri" w:eastAsia="Calibri" w:hAnsi="Calibri"/>
                <w:b/>
                <w:bCs/>
                <w:i w:val="false"/>
                <w:iCs w:val="false"/>
                <w:color w:val="E65100"/>
                <w:sz w:val="20"/>
                <w:szCs w:val="20"/>
              </w:rPr>
              <w:t xml:space="preserve">+4  ★ NEW</w:t>
            </w:r>
          </w:p>
        </w:tc>
      </w:tr>
      <w:tr>
        <w:trPr>
          <w:tblHeader w:val="false"/>
        </w:trPr>
        <w:tc>
          <w:tcPr>
            <w:tcW w:type="dxa" w:w="42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iCs/>
                <w:color w:val="37474F"/>
                <w:sz w:val="20"/>
                <w:szCs w:val="20"/>
              </w:rPr>
              <w:t xml:space="preserve">Risk Workspaces (RSK)</w:t>
            </w:r>
          </w:p>
        </w:tc>
        <w:tc>
          <w:tcPr>
            <w:tcW w:type="dxa" w:w="13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iCs/>
                <w:color w:val="37474F"/>
                <w:sz w:val="20"/>
                <w:szCs w:val="20"/>
              </w:rPr>
              <w:t xml:space="preserve">—</w:t>
            </w:r>
          </w:p>
        </w:tc>
        <w:tc>
          <w:tcPr>
            <w:tcW w:type="dxa" w:w="13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88E3C"/>
                <w:sz w:val="20"/>
                <w:szCs w:val="20"/>
              </w:rPr>
              <w:t xml:space="preserve">4</w:t>
            </w:r>
          </w:p>
        </w:tc>
        <w:tc>
          <w:tcPr>
            <w:tcW w:type="dxa" w:w="25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E65100"/>
                <w:sz w:val="20"/>
                <w:szCs w:val="20"/>
              </w:rPr>
              <w:t xml:space="preserve">+4  ★ NEW</w:t>
            </w:r>
          </w:p>
        </w:tc>
      </w:tr>
      <w:tr>
        <w:trPr>
          <w:tblHeader w:val="false"/>
        </w:trPr>
        <w:tc>
          <w:tcPr>
            <w:tcW w:type="dxa" w:w="42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iCs/>
                <w:color w:val="37474F"/>
                <w:sz w:val="20"/>
                <w:szCs w:val="20"/>
              </w:rPr>
              <w:t xml:space="preserve">Shipment Workspaces (SHP)</w:t>
            </w:r>
          </w:p>
        </w:tc>
        <w:tc>
          <w:tcPr>
            <w:tcW w:type="dxa" w:w="13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iCs/>
                <w:color w:val="37474F"/>
                <w:sz w:val="20"/>
                <w:szCs w:val="20"/>
              </w:rPr>
              <w:t xml:space="preserve">—</w:t>
            </w:r>
          </w:p>
        </w:tc>
        <w:tc>
          <w:tcPr>
            <w:tcW w:type="dxa" w:w="1320"/>
            <w:gridSpan w:val="1"/>
            <w:tcMar>
              <w:top w:type="dxa" w:w="60"/>
              <w:left w:type="dxa" w:w="100"/>
              <w:bottom w:type="dxa" w:w="60"/>
              <w:right w:type="dxa" w:w="100"/>
            </w:tcMar>
          </w:tcPr>
          <w:p>
            <w:pPr>
              <w:spacing w:after="60" w:before="60"/>
              <w:jc w:val="left"/>
            </w:pPr>
            <w:r>
              <w:rPr>
                <w:rFonts w:ascii="Calibri" w:cs="Calibri" w:eastAsia="Calibri" w:hAnsi="Calibri"/>
                <w:b/>
                <w:bCs/>
                <w:i w:val="false"/>
                <w:iCs w:val="false"/>
                <w:color w:val="388E3C"/>
                <w:sz w:val="20"/>
                <w:szCs w:val="20"/>
              </w:rPr>
              <w:t xml:space="preserve">3</w:t>
            </w:r>
          </w:p>
        </w:tc>
        <w:tc>
          <w:tcPr>
            <w:tcW w:type="dxa" w:w="2520"/>
            <w:gridSpan w:val="1"/>
            <w:tcMar>
              <w:top w:type="dxa" w:w="60"/>
              <w:left w:type="dxa" w:w="100"/>
              <w:bottom w:type="dxa" w:w="60"/>
              <w:right w:type="dxa" w:w="100"/>
            </w:tcMar>
          </w:tcPr>
          <w:p>
            <w:pPr>
              <w:spacing w:after="60" w:before="60"/>
              <w:jc w:val="left"/>
            </w:pPr>
            <w:r>
              <w:rPr>
                <w:rFonts w:ascii="Calibri" w:cs="Calibri" w:eastAsia="Calibri" w:hAnsi="Calibri"/>
                <w:b/>
                <w:bCs/>
                <w:i w:val="false"/>
                <w:iCs w:val="false"/>
                <w:color w:val="E65100"/>
                <w:sz w:val="20"/>
                <w:szCs w:val="20"/>
              </w:rPr>
              <w:t xml:space="preserve">+3  ★ NEW</w:t>
            </w:r>
          </w:p>
        </w:tc>
      </w:tr>
      <w:tr>
        <w:trPr>
          <w:tblHeader w:val="false"/>
        </w:trPr>
        <w:tc>
          <w:tcPr>
            <w:tcW w:type="dxa" w:w="42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iCs/>
                <w:color w:val="37474F"/>
                <w:sz w:val="20"/>
                <w:szCs w:val="20"/>
              </w:rPr>
              <w:t xml:space="preserve">WBS Workspaces (WBS)</w:t>
            </w:r>
          </w:p>
        </w:tc>
        <w:tc>
          <w:tcPr>
            <w:tcW w:type="dxa" w:w="13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iCs/>
                <w:color w:val="37474F"/>
                <w:sz w:val="20"/>
                <w:szCs w:val="20"/>
              </w:rPr>
              <w:t xml:space="preserve">—</w:t>
            </w:r>
          </w:p>
        </w:tc>
        <w:tc>
          <w:tcPr>
            <w:tcW w:type="dxa" w:w="13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88E3C"/>
                <w:sz w:val="20"/>
                <w:szCs w:val="20"/>
              </w:rPr>
              <w:t xml:space="preserve">3</w:t>
            </w:r>
          </w:p>
        </w:tc>
        <w:tc>
          <w:tcPr>
            <w:tcW w:type="dxa" w:w="25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E65100"/>
                <w:sz w:val="20"/>
                <w:szCs w:val="20"/>
              </w:rPr>
              <w:t xml:space="preserve">+3  ★ NEW</w:t>
            </w:r>
          </w:p>
        </w:tc>
      </w:tr>
      <w:tr>
        <w:trPr>
          <w:tblHeader w:val="false"/>
        </w:trPr>
        <w:tc>
          <w:tcPr>
            <w:tcW w:type="dxa" w:w="42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iCs/>
                <w:color w:val="37474F"/>
                <w:sz w:val="20"/>
                <w:szCs w:val="20"/>
              </w:rPr>
              <w:t xml:space="preserve">Readiness Engine Screens (RDY)</w:t>
            </w:r>
          </w:p>
        </w:tc>
        <w:tc>
          <w:tcPr>
            <w:tcW w:type="dxa" w:w="13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iCs/>
                <w:color w:val="37474F"/>
                <w:sz w:val="20"/>
                <w:szCs w:val="20"/>
              </w:rPr>
              <w:t xml:space="preserve">—</w:t>
            </w:r>
          </w:p>
        </w:tc>
        <w:tc>
          <w:tcPr>
            <w:tcW w:type="dxa" w:w="1320"/>
            <w:gridSpan w:val="1"/>
            <w:tcMar>
              <w:top w:type="dxa" w:w="60"/>
              <w:left w:type="dxa" w:w="100"/>
              <w:bottom w:type="dxa" w:w="60"/>
              <w:right w:type="dxa" w:w="100"/>
            </w:tcMar>
          </w:tcPr>
          <w:p>
            <w:pPr>
              <w:spacing w:after="60" w:before="60"/>
              <w:jc w:val="left"/>
            </w:pPr>
            <w:r>
              <w:rPr>
                <w:rFonts w:ascii="Calibri" w:cs="Calibri" w:eastAsia="Calibri" w:hAnsi="Calibri"/>
                <w:b/>
                <w:bCs/>
                <w:i w:val="false"/>
                <w:iCs w:val="false"/>
                <w:color w:val="388E3C"/>
                <w:sz w:val="20"/>
                <w:szCs w:val="20"/>
              </w:rPr>
              <w:t xml:space="preserve">5</w:t>
            </w:r>
          </w:p>
        </w:tc>
        <w:tc>
          <w:tcPr>
            <w:tcW w:type="dxa" w:w="2520"/>
            <w:gridSpan w:val="1"/>
            <w:tcMar>
              <w:top w:type="dxa" w:w="60"/>
              <w:left w:type="dxa" w:w="100"/>
              <w:bottom w:type="dxa" w:w="60"/>
              <w:right w:type="dxa" w:w="100"/>
            </w:tcMar>
          </w:tcPr>
          <w:p>
            <w:pPr>
              <w:spacing w:after="60" w:before="60"/>
              <w:jc w:val="left"/>
            </w:pPr>
            <w:r>
              <w:rPr>
                <w:rFonts w:ascii="Calibri" w:cs="Calibri" w:eastAsia="Calibri" w:hAnsi="Calibri"/>
                <w:b/>
                <w:bCs/>
                <w:i w:val="false"/>
                <w:iCs w:val="false"/>
                <w:color w:val="E65100"/>
                <w:sz w:val="20"/>
                <w:szCs w:val="20"/>
              </w:rPr>
              <w:t xml:space="preserve">+5  ★ NEW</w:t>
            </w:r>
          </w:p>
        </w:tc>
      </w:tr>
      <w:tr>
        <w:trPr>
          <w:tblHeader w:val="false"/>
        </w:trPr>
        <w:tc>
          <w:tcPr>
            <w:tcW w:type="dxa" w:w="42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iCs/>
                <w:color w:val="37474F"/>
                <w:sz w:val="20"/>
                <w:szCs w:val="20"/>
              </w:rPr>
              <w:t xml:space="preserve">Simulation Engine Screens (SIM)</w:t>
            </w:r>
          </w:p>
        </w:tc>
        <w:tc>
          <w:tcPr>
            <w:tcW w:type="dxa" w:w="13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iCs/>
                <w:color w:val="37474F"/>
                <w:sz w:val="20"/>
                <w:szCs w:val="20"/>
              </w:rPr>
              <w:t xml:space="preserve">—</w:t>
            </w:r>
          </w:p>
        </w:tc>
        <w:tc>
          <w:tcPr>
            <w:tcW w:type="dxa" w:w="13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88E3C"/>
                <w:sz w:val="20"/>
                <w:szCs w:val="20"/>
              </w:rPr>
              <w:t xml:space="preserve">4</w:t>
            </w:r>
          </w:p>
        </w:tc>
        <w:tc>
          <w:tcPr>
            <w:tcW w:type="dxa" w:w="25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E65100"/>
                <w:sz w:val="20"/>
                <w:szCs w:val="20"/>
              </w:rPr>
              <w:t xml:space="preserve">+4  ★ NEW</w:t>
            </w:r>
          </w:p>
        </w:tc>
      </w:tr>
      <w:tr>
        <w:trPr>
          <w:tblHeader w:val="false"/>
        </w:trPr>
        <w:tc>
          <w:tcPr>
            <w:tcW w:type="dxa" w:w="42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iCs/>
                <w:color w:val="37474F"/>
                <w:sz w:val="20"/>
                <w:szCs w:val="20"/>
              </w:rPr>
              <w:t xml:space="preserve">Coordination Engine Screens (CRD)</w:t>
            </w:r>
          </w:p>
        </w:tc>
        <w:tc>
          <w:tcPr>
            <w:tcW w:type="dxa" w:w="13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iCs/>
                <w:color w:val="37474F"/>
                <w:sz w:val="20"/>
                <w:szCs w:val="20"/>
              </w:rPr>
              <w:t xml:space="preserve">—</w:t>
            </w:r>
          </w:p>
        </w:tc>
        <w:tc>
          <w:tcPr>
            <w:tcW w:type="dxa" w:w="1320"/>
            <w:gridSpan w:val="1"/>
            <w:tcMar>
              <w:top w:type="dxa" w:w="60"/>
              <w:left w:type="dxa" w:w="100"/>
              <w:bottom w:type="dxa" w:w="60"/>
              <w:right w:type="dxa" w:w="100"/>
            </w:tcMar>
          </w:tcPr>
          <w:p>
            <w:pPr>
              <w:spacing w:after="60" w:before="60"/>
              <w:jc w:val="left"/>
            </w:pPr>
            <w:r>
              <w:rPr>
                <w:rFonts w:ascii="Calibri" w:cs="Calibri" w:eastAsia="Calibri" w:hAnsi="Calibri"/>
                <w:b/>
                <w:bCs/>
                <w:i w:val="false"/>
                <w:iCs w:val="false"/>
                <w:color w:val="388E3C"/>
                <w:sz w:val="20"/>
                <w:szCs w:val="20"/>
              </w:rPr>
              <w:t xml:space="preserve">4</w:t>
            </w:r>
          </w:p>
        </w:tc>
        <w:tc>
          <w:tcPr>
            <w:tcW w:type="dxa" w:w="2520"/>
            <w:gridSpan w:val="1"/>
            <w:tcMar>
              <w:top w:type="dxa" w:w="60"/>
              <w:left w:type="dxa" w:w="100"/>
              <w:bottom w:type="dxa" w:w="60"/>
              <w:right w:type="dxa" w:w="100"/>
            </w:tcMar>
          </w:tcPr>
          <w:p>
            <w:pPr>
              <w:spacing w:after="60" w:before="60"/>
              <w:jc w:val="left"/>
            </w:pPr>
            <w:r>
              <w:rPr>
                <w:rFonts w:ascii="Calibri" w:cs="Calibri" w:eastAsia="Calibri" w:hAnsi="Calibri"/>
                <w:b/>
                <w:bCs/>
                <w:i w:val="false"/>
                <w:iCs w:val="false"/>
                <w:color w:val="E65100"/>
                <w:sz w:val="20"/>
                <w:szCs w:val="20"/>
              </w:rPr>
              <w:t xml:space="preserve">+4  ★ NEW</w:t>
            </w:r>
          </w:p>
        </w:tc>
      </w:tr>
      <w:tr>
        <w:trPr>
          <w:tblHeader w:val="false"/>
        </w:trPr>
        <w:tc>
          <w:tcPr>
            <w:tcW w:type="dxa" w:w="42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iCs/>
                <w:color w:val="37474F"/>
                <w:sz w:val="20"/>
                <w:szCs w:val="20"/>
              </w:rPr>
              <w:t xml:space="preserve">Organizational Memory Screens (MEM)</w:t>
            </w:r>
          </w:p>
        </w:tc>
        <w:tc>
          <w:tcPr>
            <w:tcW w:type="dxa" w:w="13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iCs/>
                <w:color w:val="37474F"/>
                <w:sz w:val="20"/>
                <w:szCs w:val="20"/>
              </w:rPr>
              <w:t xml:space="preserve">—</w:t>
            </w:r>
          </w:p>
        </w:tc>
        <w:tc>
          <w:tcPr>
            <w:tcW w:type="dxa" w:w="13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88E3C"/>
                <w:sz w:val="20"/>
                <w:szCs w:val="20"/>
              </w:rPr>
              <w:t xml:space="preserve">3</w:t>
            </w:r>
          </w:p>
        </w:tc>
        <w:tc>
          <w:tcPr>
            <w:tcW w:type="dxa" w:w="25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E65100"/>
                <w:sz w:val="20"/>
                <w:szCs w:val="20"/>
              </w:rPr>
              <w:t xml:space="preserve">+3  ★ NEW</w:t>
            </w:r>
          </w:p>
        </w:tc>
      </w:tr>
      <w:tr>
        <w:trPr>
          <w:tblHeader w:val="false"/>
        </w:trPr>
        <w:tc>
          <w:tcPr>
            <w:tcW w:type="dxa" w:w="42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Reports (RPT)</w:t>
            </w:r>
          </w:p>
        </w:tc>
        <w:tc>
          <w:tcPr>
            <w:tcW w:type="dxa" w:w="13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5</w:t>
            </w:r>
          </w:p>
        </w:tc>
        <w:tc>
          <w:tcPr>
            <w:tcW w:type="dxa" w:w="13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5</w:t>
            </w:r>
          </w:p>
        </w:tc>
        <w:tc>
          <w:tcPr>
            <w:tcW w:type="dxa" w:w="25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w:t>
            </w:r>
          </w:p>
        </w:tc>
      </w:tr>
      <w:tr>
        <w:trPr>
          <w:tblHeader w:val="false"/>
        </w:trPr>
        <w:tc>
          <w:tcPr>
            <w:tcW w:type="dxa" w:w="42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Evidence Capture (EVC)</w:t>
            </w:r>
          </w:p>
        </w:tc>
        <w:tc>
          <w:tcPr>
            <w:tcW w:type="dxa" w:w="13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4</w:t>
            </w:r>
          </w:p>
        </w:tc>
        <w:tc>
          <w:tcPr>
            <w:tcW w:type="dxa" w:w="13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4</w:t>
            </w:r>
          </w:p>
        </w:tc>
        <w:tc>
          <w:tcPr>
            <w:tcW w:type="dxa" w:w="25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w:t>
            </w:r>
          </w:p>
        </w:tc>
      </w:tr>
      <w:tr>
        <w:trPr>
          <w:tblHeader w:val="false"/>
        </w:trPr>
        <w:tc>
          <w:tcPr>
            <w:tcW w:type="dxa" w:w="420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Notifications &amp; Actions (NTF)</w:t>
            </w:r>
          </w:p>
        </w:tc>
        <w:tc>
          <w:tcPr>
            <w:tcW w:type="dxa" w:w="13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4</w:t>
            </w:r>
          </w:p>
        </w:tc>
        <w:tc>
          <w:tcPr>
            <w:tcW w:type="dxa" w:w="13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4</w:t>
            </w:r>
          </w:p>
        </w:tc>
        <w:tc>
          <w:tcPr>
            <w:tcW w:type="dxa" w:w="25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w:t>
            </w:r>
          </w:p>
        </w:tc>
      </w:tr>
      <w:tr>
        <w:trPr>
          <w:tblHeader w:val="false"/>
        </w:trPr>
        <w:tc>
          <w:tcPr>
            <w:tcW w:type="dxa" w:w="420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Green PM Studio (incl. Configuration Engine in v4)</w:t>
            </w:r>
          </w:p>
        </w:tc>
        <w:tc>
          <w:tcPr>
            <w:tcW w:type="dxa" w:w="13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85</w:t>
            </w:r>
          </w:p>
        </w:tc>
        <w:tc>
          <w:tcPr>
            <w:tcW w:type="dxa" w:w="13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57</w:t>
            </w:r>
          </w:p>
        </w:tc>
        <w:tc>
          <w:tcPr>
            <w:tcW w:type="dxa" w:w="25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−28 (rationalised)</w:t>
            </w:r>
          </w:p>
        </w:tc>
      </w:tr>
      <w:tr>
        <w:trPr>
          <w:tblHeader w:val="false"/>
        </w:trPr>
        <w:tc>
          <w:tcPr>
            <w:tcW w:type="dxa" w:w="4200"/>
            <w:gridSpan w:val="1"/>
            <w:shd w:fill="E8F5E9"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474F"/>
                <w:sz w:val="22"/>
                <w:szCs w:val="22"/>
              </w:rPr>
              <w:t xml:space="preserve">TOTAL</w:t>
            </w:r>
          </w:p>
        </w:tc>
        <w:tc>
          <w:tcPr>
            <w:tcW w:type="dxa" w:w="1320"/>
            <w:gridSpan w:val="1"/>
            <w:shd w:fill="E8F5E9"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474F"/>
                <w:sz w:val="22"/>
                <w:szCs w:val="22"/>
              </w:rPr>
              <w:t xml:space="preserve">133</w:t>
            </w:r>
          </w:p>
        </w:tc>
        <w:tc>
          <w:tcPr>
            <w:tcW w:type="dxa" w:w="1320"/>
            <w:gridSpan w:val="1"/>
            <w:shd w:fill="E8F5E9"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88E3C"/>
                <w:sz w:val="22"/>
                <w:szCs w:val="22"/>
              </w:rPr>
              <w:t xml:space="preserve">140</w:t>
            </w:r>
          </w:p>
        </w:tc>
        <w:tc>
          <w:tcPr>
            <w:tcW w:type="dxa" w:w="2520"/>
            <w:gridSpan w:val="1"/>
            <w:shd w:fill="E8F5E9"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88E3C"/>
                <w:sz w:val="22"/>
                <w:szCs w:val="22"/>
              </w:rPr>
              <w:t xml:space="preserve">+7</w:t>
            </w:r>
          </w:p>
        </w:tc>
      </w:tr>
    </w:tbl>
    <w:p>
      <w:pPr>
        <w:spacing w:after="120" w:before="0" w:line="280"/>
        <w:jc w:val="left"/>
      </w:pPr>
      <w:r>
        <w:rPr>
          <w:rFonts w:ascii="Calibri" w:cs="Calibri" w:eastAsia="Calibri" w:hAnsi="Calibri"/>
          <w:b w:val="false"/>
          <w:bCs w:val="false"/>
          <w:i w:val="false"/>
          <w:iCs w:val="false"/>
          <w:color w:val="37474F"/>
          <w:sz w:val="22"/>
          <w:szCs w:val="22"/>
        </w:rPr>
        <w:t xml:space="preserve"/>
      </w:r>
    </w:p>
    <w:p>
      <w:pPr>
        <w:spacing w:after="200" w:before="0" w:line="280"/>
        <w:jc w:val="left"/>
      </w:pPr>
      <w:r>
        <w:rPr>
          <w:rFonts w:ascii="Calibri" w:cs="Calibri" w:eastAsia="Calibri" w:hAnsi="Calibri"/>
          <w:b w:val="false"/>
          <w:bCs w:val="false"/>
          <w:i/>
          <w:iCs/>
          <w:color w:val="546E7A"/>
          <w:sz w:val="18"/>
          <w:szCs w:val="18"/>
        </w:rPr>
        <w:t xml:space="preserve">Note: v4 Studio count (85) includes the Configuration Engine, which was a standalone module in v4 with many individual configuration screens. v5 absorbed it into Green PM Studio and restructured as 15 purpose-built builders, rationalising screen count while significantly increasing capability and removing code-level configuration.</w:t>
      </w:r>
    </w:p>
    <w:p>
      <w:pPr>
        <w:spacing w:after="0"/>
      </w:pPr>
      <w:r>
        <w:br w:type="page"/>
      </w:r>
    </w:p>
    <w:p>
      <w:pPr>
        <w:pStyle w:val="Heading1"/>
        <w:spacing w:after="200" w:before="480" w:line="280"/>
        <w:jc w:val="left"/>
      </w:pPr>
      <w:r>
        <w:rPr>
          <w:rFonts w:ascii="Calibri" w:cs="Calibri" w:eastAsia="Calibri" w:hAnsi="Calibri"/>
          <w:b/>
          <w:bCs/>
          <w:i w:val="false"/>
          <w:iCs w:val="false"/>
          <w:color w:val="1B5E20"/>
          <w:sz w:val="36"/>
          <w:szCs w:val="36"/>
        </w:rPr>
        <w:t xml:space="preserve">5. IA Principles</w:t>
      </w:r>
    </w:p>
    <w:p>
      <w:pPr>
        <w:spacing w:after="200" w:before="0" w:line="280"/>
        <w:jc w:val="left"/>
      </w:pPr>
      <w:r>
        <w:rPr>
          <w:rFonts w:ascii="Calibri" w:cs="Calibri" w:eastAsia="Calibri" w:hAnsi="Calibri"/>
          <w:b w:val="false"/>
          <w:bCs w:val="false"/>
          <w:i w:val="false"/>
          <w:iCs w:val="false"/>
          <w:color w:val="37474F"/>
          <w:sz w:val="22"/>
          <w:szCs w:val="22"/>
        </w:rPr>
        <w:t xml:space="preserve">The following principles govern every design decision in the Green PM v5 information architecture.</w:t>
      </w:r>
    </w:p>
    <w:p>
      <w:pPr>
        <w:pStyle w:val="Heading2"/>
        <w:spacing w:after="160" w:before="360" w:line="280"/>
        <w:jc w:val="left"/>
      </w:pPr>
      <w:r>
        <w:rPr>
          <w:rFonts w:ascii="Calibri" w:cs="Calibri" w:eastAsia="Calibri" w:hAnsi="Calibri"/>
          <w:b/>
          <w:bCs/>
          <w:i w:val="false"/>
          <w:iCs w:val="false"/>
          <w:color w:val="2E7D32"/>
          <w:sz w:val="28"/>
          <w:szCs w:val="28"/>
        </w:rPr>
        <w:t xml:space="preserve">5.1  Entity Workspace is the Primary Pattern</w:t>
      </w:r>
    </w:p>
    <w:p>
      <w:pPr>
        <w:spacing w:after="200" w:before="0" w:line="280"/>
        <w:jc w:val="left"/>
      </w:pPr>
      <w:r>
        <w:rPr>
          <w:rFonts w:ascii="Calibri" w:cs="Calibri" w:eastAsia="Calibri" w:hAnsi="Calibri"/>
          <w:b w:val="false"/>
          <w:bCs w:val="false"/>
          <w:i w:val="false"/>
          <w:iCs w:val="false"/>
          <w:color w:val="37474F"/>
          <w:sz w:val="22"/>
          <w:szCs w:val="22"/>
        </w:rPr>
        <w:t xml:space="preserve">Every major project entity is its own workspace. Opening an entity reveals ALL connected intelligence without requiring navigation across modules. This is the opposite of module-based IA where a user must visit the Risk module, then the Schedule module, then the Vendor module to understand a single activity. Entity Workspaces collapse that navigation into zero clicks.</w:t>
      </w:r>
    </w:p>
    <w:p>
      <w:pPr>
        <w:pStyle w:val="Heading2"/>
        <w:spacing w:after="160" w:before="360" w:line="280"/>
        <w:jc w:val="left"/>
      </w:pPr>
      <w:r>
        <w:rPr>
          <w:rFonts w:ascii="Calibri" w:cs="Calibri" w:eastAsia="Calibri" w:hAnsi="Calibri"/>
          <w:b/>
          <w:bCs/>
          <w:i w:val="false"/>
          <w:iCs w:val="false"/>
          <w:color w:val="2E7D32"/>
          <w:sz w:val="28"/>
          <w:szCs w:val="28"/>
        </w:rPr>
        <w:t xml:space="preserve">5.2  ⌘K is Always Available</w:t>
      </w:r>
    </w:p>
    <w:p>
      <w:pPr>
        <w:spacing w:after="200" w:before="0" w:line="280"/>
        <w:jc w:val="left"/>
      </w:pPr>
      <w:r>
        <w:rPr>
          <w:rFonts w:ascii="Calibri" w:cs="Calibri" w:eastAsia="Calibri" w:hAnsi="Calibri"/>
          <w:b w:val="false"/>
          <w:bCs w:val="false"/>
          <w:i w:val="false"/>
          <w:iCs w:val="false"/>
          <w:color w:val="37474F"/>
          <w:sz w:val="22"/>
          <w:szCs w:val="22"/>
        </w:rPr>
        <w:t xml:space="preserve">The global command bar (⌘K) is available from every screen in the Project Environment. It supports entity search, screen navigation, AI Copilot queries, and quick actions. No screen requires knowledge of a navigation hierarchy to reach.</w:t>
      </w:r>
    </w:p>
    <w:p>
      <w:pPr>
        <w:pStyle w:val="Heading2"/>
        <w:spacing w:after="160" w:before="360" w:line="280"/>
        <w:jc w:val="left"/>
      </w:pPr>
      <w:r>
        <w:rPr>
          <w:rFonts w:ascii="Calibri" w:cs="Calibri" w:eastAsia="Calibri" w:hAnsi="Calibri"/>
          <w:b/>
          <w:bCs/>
          <w:i w:val="false"/>
          <w:iCs w:val="false"/>
          <w:color w:val="2E7D32"/>
          <w:sz w:val="28"/>
          <w:szCs w:val="28"/>
        </w:rPr>
        <w:t xml:space="preserve">5.3  3-Tap Maximum Depth</w:t>
      </w:r>
    </w:p>
    <w:p>
      <w:pPr>
        <w:spacing w:after="200" w:before="0" w:line="280"/>
        <w:jc w:val="left"/>
      </w:pPr>
      <w:r>
        <w:rPr>
          <w:rFonts w:ascii="Calibri" w:cs="Calibri" w:eastAsia="Calibri" w:hAnsi="Calibri"/>
          <w:b w:val="false"/>
          <w:bCs w:val="false"/>
          <w:i w:val="false"/>
          <w:iCs w:val="false"/>
          <w:color w:val="37474F"/>
          <w:sz w:val="22"/>
          <w:szCs w:val="22"/>
        </w:rPr>
        <w:t xml:space="preserve">No screen requires more than 3 taps from the home dashboard (Project Command Centre). The IA deliberately avoids deep hierarchies. If content is more than 3 levels deep, it belongs inside an Entity Workspace tab, not a new screen.</w:t>
      </w:r>
    </w:p>
    <w:p>
      <w:pPr>
        <w:pStyle w:val="Heading2"/>
        <w:spacing w:after="160" w:before="360" w:line="280"/>
        <w:jc w:val="left"/>
      </w:pPr>
      <w:r>
        <w:rPr>
          <w:rFonts w:ascii="Calibri" w:cs="Calibri" w:eastAsia="Calibri" w:hAnsi="Calibri"/>
          <w:b/>
          <w:bCs/>
          <w:i w:val="false"/>
          <w:iCs w:val="false"/>
          <w:color w:val="2E7D32"/>
          <w:sz w:val="28"/>
          <w:szCs w:val="28"/>
        </w:rPr>
        <w:t xml:space="preserve">5.4  Mobile-First for Evidence Capture</w:t>
      </w:r>
    </w:p>
    <w:p>
      <w:pPr>
        <w:spacing w:after="200" w:before="0" w:line="280"/>
        <w:jc w:val="left"/>
      </w:pPr>
      <w:r>
        <w:rPr>
          <w:rFonts w:ascii="Calibri" w:cs="Calibri" w:eastAsia="Calibri" w:hAnsi="Calibri"/>
          <w:b w:val="false"/>
          <w:bCs w:val="false"/>
          <w:i w:val="false"/>
          <w:iCs w:val="false"/>
          <w:color w:val="37474F"/>
          <w:sz w:val="22"/>
          <w:szCs w:val="22"/>
        </w:rPr>
        <w:t xml:space="preserve">Evidence Capture screens (EVC-01 through EVC-04) are designed mobile-first. All remaining screens are desktop-primary with responsive mobile views. This reflects where each task occurs: site engineers capture evidence on phones; project managers and executives review on desktops.</w:t>
      </w:r>
    </w:p>
    <w:p>
      <w:pPr>
        <w:pStyle w:val="Heading2"/>
        <w:spacing w:after="160" w:before="360" w:line="280"/>
        <w:jc w:val="left"/>
      </w:pPr>
      <w:r>
        <w:rPr>
          <w:rFonts w:ascii="Calibri" w:cs="Calibri" w:eastAsia="Calibri" w:hAnsi="Calibri"/>
          <w:b/>
          <w:bCs/>
          <w:i w:val="false"/>
          <w:iCs w:val="false"/>
          <w:color w:val="2E7D32"/>
          <w:sz w:val="28"/>
          <w:szCs w:val="28"/>
        </w:rPr>
        <w:t xml:space="preserve">5.5  Role-Based Default Landing Pages</w:t>
      </w:r>
    </w:p>
    <w:tbl>
      <w:tblPr>
        <w:tblW w:type="dxa" w:w="9360"/>
        <w:tblBorders>
          <w:top w:val="single" w:color="A5D6A7" w:sz="4"/>
          <w:left w:val="single" w:color="A5D6A7" w:sz="4"/>
          <w:bottom w:val="single" w:color="A5D6A7" w:sz="4"/>
          <w:right w:val="single" w:color="A5D6A7" w:sz="4"/>
          <w:insideH w:val="single" w:color="auto" w:sz="4"/>
          <w:insideV w:val="single" w:color="auto" w:sz="4"/>
        </w:tblBorders>
      </w:tblPr>
      <w:tblGrid>
        <w:gridCol w:w="3120"/>
        <w:gridCol w:w="6240"/>
      </w:tblGrid>
      <w:tr>
        <w:trPr>
          <w:tblHeader/>
        </w:trPr>
        <w:tc>
          <w:tcPr>
            <w:tcW w:type="dxa" w:w="3120"/>
            <w:gridSpan w:val="1"/>
            <w:shd w:fill="2E7D32"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Role</w:t>
            </w:r>
          </w:p>
        </w:tc>
        <w:tc>
          <w:tcPr>
            <w:tcW w:type="dxa" w:w="6240"/>
            <w:gridSpan w:val="1"/>
            <w:shd w:fill="2E7D32" w:color="auto"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FFFFFF"/>
                <w:sz w:val="22"/>
                <w:szCs w:val="22"/>
              </w:rPr>
              <w:t xml:space="preserve">Default Landing Page</w:t>
            </w:r>
          </w:p>
        </w:tc>
      </w:tr>
      <w:tr>
        <w:trPr>
          <w:tblHeader w:val="false"/>
        </w:trPr>
        <w:tc>
          <w:tcPr>
            <w:tcW w:type="dxa" w:w="31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Executive / Project Sponsor</w:t>
            </w:r>
          </w:p>
        </w:tc>
        <w:tc>
          <w:tcPr>
            <w:tcW w:type="dxa" w:w="624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PCC-01: Executive Summary Panel (Executive Digital Twin)</w:t>
            </w:r>
          </w:p>
        </w:tc>
      </w:tr>
      <w:tr>
        <w:trPr>
          <w:tblHeader w:val="false"/>
        </w:trPr>
        <w:tc>
          <w:tcPr>
            <w:tcW w:type="dxa" w:w="31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Project Manager</w:t>
            </w:r>
          </w:p>
        </w:tc>
        <w:tc>
          <w:tcPr>
            <w:tcW w:type="dxa" w:w="624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PCC-02: Schedule Intelligence Panel</w:t>
            </w:r>
          </w:p>
        </w:tc>
      </w:tr>
      <w:tr>
        <w:trPr>
          <w:tblHeader w:val="false"/>
        </w:trPr>
        <w:tc>
          <w:tcPr>
            <w:tcW w:type="dxa" w:w="31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Procurement / Supply Chain</w:t>
            </w:r>
          </w:p>
        </w:tc>
        <w:tc>
          <w:tcPr>
            <w:tcW w:type="dxa" w:w="624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PCC-05: Vendor &amp; Supply Chain Panel</w:t>
            </w:r>
          </w:p>
        </w:tc>
      </w:tr>
      <w:tr>
        <w:trPr>
          <w:tblHeader w:val="false"/>
        </w:trPr>
        <w:tc>
          <w:tcPr>
            <w:tcW w:type="dxa" w:w="31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Engineering Lead</w:t>
            </w:r>
          </w:p>
        </w:tc>
        <w:tc>
          <w:tcPr>
            <w:tcW w:type="dxa" w:w="624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PCC-06: Engineering &amp; Readiness Panel</w:t>
            </w:r>
          </w:p>
        </w:tc>
      </w:tr>
      <w:tr>
        <w:trPr>
          <w:tblHeader w:val="false"/>
        </w:trPr>
        <w:tc>
          <w:tcPr>
            <w:tcW w:type="dxa" w:w="31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Quality / HSE</w:t>
            </w:r>
          </w:p>
        </w:tc>
        <w:tc>
          <w:tcPr>
            <w:tcW w:type="dxa" w:w="624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PCC-07: Evidence &amp; Quality Panel</w:t>
            </w:r>
          </w:p>
        </w:tc>
      </w:tr>
      <w:tr>
        <w:trPr>
          <w:tblHeader w:val="false"/>
        </w:trPr>
        <w:tc>
          <w:tcPr>
            <w:tcW w:type="dxa" w:w="31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Site Engineer</w:t>
            </w:r>
          </w:p>
        </w:tc>
        <w:tc>
          <w:tcPr>
            <w:tcW w:type="dxa" w:w="624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EVC-01: Evidence Upload</w:t>
            </w:r>
          </w:p>
        </w:tc>
      </w:tr>
      <w:tr>
        <w:trPr>
          <w:tblHeader w:val="false"/>
        </w:trPr>
        <w:tc>
          <w:tcPr>
            <w:tcW w:type="dxa" w:w="312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Commissioning Lead</w:t>
            </w:r>
          </w:p>
        </w:tc>
        <w:tc>
          <w:tcPr>
            <w:tcW w:type="dxa" w:w="6240"/>
            <w:gridSpan w:val="1"/>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RDY-04: Quality &amp; Commissioning Readiness</w:t>
            </w:r>
          </w:p>
        </w:tc>
      </w:tr>
      <w:tr>
        <w:trPr>
          <w:tblHeader w:val="false"/>
        </w:trPr>
        <w:tc>
          <w:tcPr>
            <w:tcW w:type="dxa" w:w="312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Tenant Administrator</w:t>
            </w:r>
          </w:p>
        </w:tc>
        <w:tc>
          <w:tcPr>
            <w:tcW w:type="dxa" w:w="6240"/>
            <w:gridSpan w:val="1"/>
            <w:shd w:fill="F1F8E9" w:color="auto" w:val="clear"/>
            <w:tcMar>
              <w:top w:type="dxa" w:w="60"/>
              <w:left w:type="dxa" w:w="100"/>
              <w:bottom w:type="dxa" w:w="60"/>
              <w:right w:type="dxa" w:w="100"/>
            </w:tcMar>
          </w:tcPr>
          <w:p>
            <w:pPr>
              <w:spacing w:after="60" w:before="60"/>
              <w:jc w:val="left"/>
            </w:pPr>
            <w:r>
              <w:rPr>
                <w:rFonts w:ascii="Calibri" w:cs="Calibri" w:eastAsia="Calibri" w:hAnsi="Calibri"/>
                <w:b w:val="false"/>
                <w:bCs w:val="false"/>
                <w:i w:val="false"/>
                <w:iCs w:val="false"/>
                <w:color w:val="37474F"/>
                <w:sz w:val="20"/>
                <w:szCs w:val="20"/>
              </w:rPr>
              <w:t xml:space="preserve">Green PM Studio (builder selection screen)</w:t>
            </w:r>
          </w:p>
        </w:tc>
      </w:tr>
    </w:tbl>
    <w:p>
      <w:pPr>
        <w:spacing w:after="200" w:before="0" w:line="280"/>
        <w:jc w:val="left"/>
      </w:pPr>
      <w:r>
        <w:rPr>
          <w:rFonts w:ascii="Calibri" w:cs="Calibri" w:eastAsia="Calibri" w:hAnsi="Calibri"/>
          <w:b w:val="false"/>
          <w:bCs w:val="false"/>
          <w:i w:val="false"/>
          <w:iCs w:val="false"/>
          <w:color w:val="37474F"/>
          <w:sz w:val="22"/>
          <w:szCs w:val="22"/>
        </w:rPr>
        <w:t xml:space="preserve"/>
      </w:r>
    </w:p>
    <w:p>
      <w:pPr>
        <w:pStyle w:val="Heading2"/>
        <w:spacing w:after="160" w:before="360" w:line="280"/>
        <w:jc w:val="left"/>
      </w:pPr>
      <w:r>
        <w:rPr>
          <w:rFonts w:ascii="Calibri" w:cs="Calibri" w:eastAsia="Calibri" w:hAnsi="Calibri"/>
          <w:b/>
          <w:bCs/>
          <w:i w:val="false"/>
          <w:iCs w:val="false"/>
          <w:color w:val="2E7D32"/>
          <w:sz w:val="28"/>
          <w:szCs w:val="28"/>
        </w:rPr>
        <w:t xml:space="preserve">5.6  AI Outputs are Inline — No Separate AI Screen</w:t>
      </w:r>
    </w:p>
    <w:p>
      <w:pPr>
        <w:spacing w:after="120" w:before="0" w:line="280"/>
        <w:jc w:val="left"/>
      </w:pPr>
      <w:r>
        <w:rPr>
          <w:rFonts w:ascii="Calibri" w:cs="Calibri" w:eastAsia="Calibri" w:hAnsi="Calibri"/>
          <w:b w:val="false"/>
          <w:bCs w:val="false"/>
          <w:i w:val="false"/>
          <w:iCs w:val="false"/>
          <w:color w:val="37474F"/>
          <w:sz w:val="22"/>
          <w:szCs w:val="22"/>
        </w:rPr>
        <w:t xml:space="preserve">Green PM's AI capabilities — Explain, Predict, Recommend, Simulate — are inline within every relevant screen. There is no standalone AI screen or AI module. A risk score explanation appears on the Risk Workspace. A schedule prediction appears on the Schedule panel. A simulation result appears in the Simulation Workspace.</w:t>
      </w:r>
    </w:p>
    <w:p>
      <w:pPr>
        <w:spacing w:after="200" w:before="0" w:line="280"/>
        <w:jc w:val="left"/>
      </w:pPr>
      <w:r>
        <w:rPr>
          <w:rFonts w:ascii="Calibri" w:cs="Calibri" w:eastAsia="Calibri" w:hAnsi="Calibri"/>
          <w:b w:val="false"/>
          <w:bCs w:val="false"/>
          <w:i w:val="false"/>
          <w:iCs w:val="false"/>
          <w:color w:val="37474F"/>
          <w:sz w:val="22"/>
          <w:szCs w:val="22"/>
        </w:rPr>
        <w:t xml:space="preserve">Green PM is the single AI identity in the user interface. Engine names are never exposed. Users interact with 'Ask Green PM', 'Green PM recommends', 'Green PM predicts' — not 'the Recommendation Engine says' or 'AI says'.</w:t>
      </w:r>
    </w:p>
    <w:p>
      <w:pPr>
        <w:pStyle w:val="Heading2"/>
        <w:spacing w:after="160" w:before="360" w:line="280"/>
        <w:jc w:val="left"/>
      </w:pPr>
      <w:r>
        <w:rPr>
          <w:rFonts w:ascii="Calibri" w:cs="Calibri" w:eastAsia="Calibri" w:hAnsi="Calibri"/>
          <w:b/>
          <w:bCs/>
          <w:i w:val="false"/>
          <w:iCs w:val="false"/>
          <w:color w:val="2E7D32"/>
          <w:sz w:val="28"/>
          <w:szCs w:val="28"/>
        </w:rPr>
        <w:t xml:space="preserve">5.7  Every AI Output Carries its Evidence Chain</w:t>
      </w:r>
    </w:p>
    <w:p>
      <w:pPr>
        <w:spacing w:after="200" w:before="0" w:line="280"/>
        <w:jc w:val="left"/>
      </w:pPr>
      <w:r>
        <w:rPr>
          <w:rFonts w:ascii="Calibri" w:cs="Calibri" w:eastAsia="Calibri" w:hAnsi="Calibri"/>
          <w:b w:val="false"/>
          <w:bCs w:val="false"/>
          <w:i w:val="false"/>
          <w:iCs w:val="false"/>
          <w:color w:val="37474F"/>
          <w:sz w:val="22"/>
          <w:szCs w:val="22"/>
        </w:rPr>
        <w:t xml:space="preserve">Every AI output in Green PM is accompanied by its evidence chain: the source events, evidence records, and PIG relationships that produced the output. This is not optional and is not toggled behind an 'explain' button. Users can always see why Green PM said what it said.</w:t>
      </w:r>
    </w:p>
    <w:p>
      <w:pPr>
        <w:pBdr>
          <w:bottom w:val="single" w:color="A5D6A7" w:sz="6"/>
        </w:pBdr>
        <w:spacing w:after="120" w:before="120" w:line="280"/>
        <w:jc w:val="left"/>
      </w:pPr>
    </w:p>
    <w:p>
      <w:pPr>
        <w:spacing w:after="80" w:before="0" w:line="280"/>
        <w:jc w:val="left"/>
      </w:pPr>
      <w:r>
        <w:rPr>
          <w:rFonts w:ascii="Calibri" w:cs="Calibri" w:eastAsia="Calibri" w:hAnsi="Calibri"/>
          <w:b w:val="false"/>
          <w:bCs w:val="false"/>
          <w:i w:val="false"/>
          <w:iCs w:val="false"/>
          <w:color w:val="37474F"/>
          <w:sz w:val="22"/>
          <w:szCs w:val="22"/>
        </w:rPr>
        <w:t xml:space="preserve"/>
      </w:r>
    </w:p>
    <w:p>
      <w:pPr>
        <w:spacing w:after="120" w:before="0" w:line="280"/>
        <w:jc w:val="center"/>
      </w:pPr>
      <w:r>
        <w:rPr>
          <w:rFonts w:ascii="Calibri" w:cs="Calibri" w:eastAsia="Calibri" w:hAnsi="Calibri"/>
          <w:b w:val="false"/>
          <w:bCs w:val="false"/>
          <w:i/>
          <w:iCs/>
          <w:color w:val="546E7A"/>
          <w:sz w:val="18"/>
          <w:szCs w:val="18"/>
        </w:rPr>
        <w:t xml:space="preserve">Green PM v5 Information Architecture  ·  Confidential  ·  v5.0  ·  August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74F"/>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PM v5 Information Architecture</dc:title>
  <dc:creator>Green PM</dc:creator>
  <dc:description>Complete screen inventory, Studio builders, and IA principles for Green PM v5</dc:description>
  <cp:lastModifiedBy>Un-named</cp:lastModifiedBy>
  <cp:revision>1</cp:revision>
  <dcterms:created xsi:type="dcterms:W3CDTF">2026-08-03T10:58:31.771Z</dcterms:created>
  <dcterms:modified xsi:type="dcterms:W3CDTF">2026-08-03T10:58:31.772Z</dcterms:modified>
</cp:coreProperties>
</file>

<file path=docProps/custom.xml><?xml version="1.0" encoding="utf-8"?>
<Properties xmlns="http://schemas.openxmlformats.org/officeDocument/2006/custom-properties" xmlns:vt="http://schemas.openxmlformats.org/officeDocument/2006/docPropsVTypes"/>
</file>