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40" w:before="40"/>
        <w:jc w:val="center"/>
      </w:pPr>
      <w:r>
        <w:rPr>
          <w:rFonts w:ascii="Calibri" w:cs="Calibri" w:eastAsia="Calibri" w:hAnsi="Calibri"/>
          <w:b/>
          <w:bCs/>
          <w:color w:val="0F4D28"/>
          <w:sz w:val="88"/>
          <w:szCs w:val="88"/>
        </w:rPr>
        <w:t xml:space="preserve">GREEN PM</w:t>
      </w:r>
    </w:p>
    <w:p>
      <w:pPr>
        <w:spacing w:after="40" w:before="40"/>
        <w:jc w:val="center"/>
      </w:pPr>
      <w:r>
        <w:rPr>
          <w:rFonts w:ascii="Calibri" w:cs="Calibri" w:eastAsia="Calibri" w:hAnsi="Calibri"/>
          <w:b w:val="false"/>
          <w:bCs w:val="false"/>
          <w:color w:val="374151"/>
          <w:sz w:val="30"/>
          <w:szCs w:val="30"/>
        </w:rPr>
        <w:t xml:space="preserve">Engineering Project Intelligence Platform</w:t>
      </w:r>
    </w:p>
    <w:p>
      <w:pPr>
        <w:spacing w:after="0" w:before="120"/>
      </w:pPr>
    </w:p>
    <w:p>
      <w:pPr>
        <w:spacing w:after="40" w:before="40"/>
        <w:jc w:val="center"/>
      </w:pPr>
      <w:r>
        <w:rPr>
          <w:rFonts w:ascii="Calibri" w:cs="Calibri" w:eastAsia="Calibri" w:hAnsi="Calibri"/>
          <w:b/>
          <w:bCs/>
          <w:color w:val="1A6B3A"/>
          <w:sz w:val="52"/>
          <w:szCs w:val="52"/>
        </w:rPr>
        <w:t xml:space="preserve">Navigation Model</w:t>
      </w:r>
    </w:p>
    <w:p>
      <w:pPr>
        <w:spacing w:after="0" w:before="60"/>
      </w:pPr>
    </w:p>
    <w:p>
      <w:pPr>
        <w:spacing w:after="40" w:before="40"/>
        <w:jc w:val="center"/>
      </w:pPr>
      <w:r>
        <w:rPr>
          <w:rFonts w:ascii="Calibri" w:cs="Calibri" w:eastAsia="Calibri" w:hAnsi="Calibri"/>
          <w:b w:val="false"/>
          <w:bCs w:val="false"/>
          <w:color w:val="6B7280"/>
          <w:sz w:val="24"/>
          <w:szCs w:val="24"/>
        </w:rPr>
        <w:t xml:space="preserve">How users move through an entity-centric, event-driven product</w:t>
      </w:r>
    </w:p>
    <w:p>
      <w:pPr>
        <w:spacing w:after="0" w:before="160"/>
      </w:pPr>
    </w:p>
    <w:p>
      <w:pPr>
        <w:spacing w:after="40" w:before="40"/>
        <w:jc w:val="center"/>
      </w:pPr>
      <w:r>
        <w:rPr>
          <w:rFonts w:ascii="Calibri" w:cs="Calibri" w:eastAsia="Calibri" w:hAnsi="Calibri"/>
          <w:b w:val="false"/>
          <w:bCs w:val="false"/>
          <w:color w:val="6B7280"/>
          <w:sz w:val="24"/>
          <w:szCs w:val="24"/>
        </w:rPr>
        <w:t xml:space="preserve">Version 5.0  ·  August 2026</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20" w:before="80"/>
              <w:jc w:val="center"/>
            </w:pPr>
            <w:r>
              <w:rPr>
                <w:rFonts w:ascii="Calibri" w:cs="Calibri" w:eastAsia="Calibri" w:hAnsi="Calibri"/>
                <w:b/>
                <w:bCs/>
                <w:color w:val="0F4D28"/>
                <w:sz w:val="24"/>
                <w:szCs w:val="24"/>
              </w:rPr>
              <w:t xml:space="preserve">Navigation has changed fundamentally in v5</w:t>
            </w:r>
          </w:p>
          <w:p>
            <w:pPr>
              <w:spacing w:after="60" w:before="20"/>
              <w:jc w:val="center"/>
            </w:pPr>
            <w:r>
              <w:rPr>
                <w:rFonts w:ascii="Calibri" w:cs="Calibri" w:eastAsia="Calibri" w:hAnsi="Calibri"/>
                <w:color w:val="374151"/>
                <w:sz w:val="21"/>
                <w:szCs w:val="21"/>
              </w:rPr>
              <w:t xml:space="preserve">In v4, users navigated to modules. In v5, users open entities. The primary navigation destination is an Entity Workspace — a 360-degree view of a project entity powered by PIG traversal. The ⌘K command palette replaces deep module navigation for power users. Role-based landing pages replace one-size-fits-all dashboards. This document defines the complete v5 navigation model.</w:t>
            </w:r>
          </w:p>
        </w:tc>
      </w:tr>
    </w:tbl>
    <w:p>
      <w:pPr>
        <w:spacing w:after="0" w:before="120"/>
      </w:pPr>
    </w:p>
    <w:p>
      <w:pPr>
        <w:spacing w:after="40" w:before="40"/>
        <w:jc w:val="center"/>
      </w:pPr>
      <w:r>
        <w:rPr>
          <w:rFonts w:ascii="Calibri" w:cs="Calibri" w:eastAsia="Calibri" w:hAnsi="Calibri"/>
          <w:b w:val="false"/>
          <w:bCs w:val="false"/>
          <w:color w:val="6B7280"/>
          <w:sz w:val="20"/>
          <w:szCs w:val="20"/>
        </w:rPr>
        <w:t xml:space="preserve">Intended Audience: Product Team, UX Designers, Engineering, QA</w:t>
      </w:r>
    </w:p>
    <w:p>
      <w:pPr>
        <w:pStyle w:val="Heading1"/>
        <w:pageBreakBefore/>
        <w:spacing w:after="160" w:before="480"/>
      </w:pPr>
      <w:r>
        <w:rPr>
          <w:rFonts w:ascii="Calibri" w:cs="Calibri" w:eastAsia="Calibri" w:hAnsi="Calibri"/>
          <w:b/>
          <w:bCs/>
          <w:color w:val="0F4D28"/>
          <w:sz w:val="40"/>
          <w:szCs w:val="40"/>
        </w:rPr>
        <w:t xml:space="preserve">1.  Navigation Philosophy</w:t>
      </w:r>
    </w:p>
    <w:p>
      <w:pPr>
        <w:spacing w:after="100" w:before="60"/>
      </w:pPr>
      <w:r>
        <w:rPr>
          <w:rFonts w:ascii="Calibri" w:cs="Calibri" w:eastAsia="Calibri" w:hAnsi="Calibri"/>
          <w:color w:val="111827"/>
          <w:sz w:val="22"/>
          <w:szCs w:val="22"/>
        </w:rPr>
        <w:t xml:space="preserve">Navigation in Green PM v5 is organised around one central insight: users think in entities, not in modules. A PM investigating a delay does not think "I need to go to the Scheduling module, then the Drawing module, then the Vendor module." They think "I need to understand everything about Activity A-089." Entity Workspaces make that possible in a single navigation step.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E40AF" w:sz="20"/>
              <w:bottom w:val="none"/>
              <w:right w:val="none"/>
            </w:tcBorders>
            <w:shd w:fill="EFF6FF" w:val="clear"/>
            <w:tcMar>
              <w:top w:type="dxa" w:w="160"/>
              <w:left w:type="dxa" w:w="240"/>
              <w:bottom w:type="dxa" w:w="160"/>
              <w:right w:type="dxa" w:w="240"/>
            </w:tcMar>
          </w:tcPr>
          <w:p>
            <w:pPr>
              <w:spacing w:after="20" w:before="60"/>
            </w:pPr>
            <w:r>
              <w:rPr>
                <w:rFonts w:ascii="Calibri" w:cs="Calibri" w:eastAsia="Calibri" w:hAnsi="Calibri"/>
                <w:b/>
                <w:bCs/>
                <w:color w:val="0F4D28"/>
                <w:sz w:val="22"/>
                <w:szCs w:val="22"/>
              </w:rPr>
              <w:t xml:space="preserve">v4 vs v5: The Navigation Shift</w:t>
            </w:r>
          </w:p>
          <w:p>
            <w:pPr>
              <w:spacing w:after="60" w:before="20"/>
            </w:pPr>
            <w:r>
              <w:rPr>
                <w:rFonts w:ascii="Calibri" w:cs="Calibri" w:eastAsia="Calibri" w:hAnsi="Calibri"/>
                <w:color w:val="374151"/>
                <w:sz w:val="21"/>
                <w:szCs w:val="21"/>
              </w:rPr>
              <w:t xml:space="preserve">v4: Users navigated to the Drawings module to see drawings, the Schedule module to see activities, the Vendor module to see vendors. Finding all information about one entity required multiple navigation trips. v5: Users open an entity (e.g., Activity A-089) and see schedule position, drawing requirements, vendor dependencies, evidence trail, risks, changes, and coordination items — all in one workspace, powered by PIG traversal. Navigation trips collapse from 6 to 1.</w:t>
            </w:r>
          </w:p>
        </w:tc>
      </w:tr>
    </w:tbl>
    <w:p>
      <w:pPr>
        <w:spacing w:after="0" w:before="80"/>
      </w:pPr>
    </w:p>
    <w:p>
      <w:pPr>
        <w:pStyle w:val="Heading2"/>
        <w:spacing w:after="120" w:before="320"/>
      </w:pPr>
      <w:r>
        <w:rPr>
          <w:rFonts w:ascii="Calibri" w:cs="Calibri" w:eastAsia="Calibri" w:hAnsi="Calibri"/>
          <w:b/>
          <w:bCs/>
          <w:color w:val="1A6B3A"/>
          <w:sz w:val="26"/>
          <w:szCs w:val="26"/>
        </w:rPr>
        <w:t xml:space="preserve">1.1  Five Navigation Principles for v5</w:t>
      </w:r>
    </w:p>
    <w:p>
      <w:pPr>
        <w:spacing w:after="0" w:before="60"/>
      </w:pPr>
    </w:p>
    <w:p>
      <w:pPr>
        <w:spacing w:after="80" w:before="100"/>
      </w:pPr>
      <w:r>
        <w:rPr>
          <w:rFonts w:ascii="Calibri" w:cs="Calibri" w:eastAsia="Calibri" w:hAnsi="Calibri"/>
          <w:b/>
          <w:bCs/>
          <w:color w:val="1A6B3A"/>
          <w:sz w:val="21"/>
          <w:szCs w:val="21"/>
        </w:rPr>
        <w:t xml:space="preserve">1. </w:t>
      </w:r>
      <w:r>
        <w:rPr>
          <w:rFonts w:ascii="Calibri" w:cs="Calibri" w:eastAsia="Calibri" w:hAnsi="Calibri"/>
          <w:b/>
          <w:bCs/>
          <w:color w:val="0F4D28"/>
          <w:sz w:val="21"/>
          <w:szCs w:val="21"/>
        </w:rPr>
        <w:t xml:space="preserve">Entities are the destination — </w:t>
      </w:r>
      <w:r>
        <w:rPr>
          <w:rFonts w:ascii="Calibri" w:cs="Calibri" w:eastAsia="Calibri" w:hAnsi="Calibri"/>
          <w:color w:val="111827"/>
          <w:sz w:val="21"/>
          <w:szCs w:val="21"/>
        </w:rPr>
        <w:t xml:space="preserve">Navigation does not end at a module or a list — it ends at an entity workspace. Every entity has a stable, deep-linkable URL. The workspace is always the terminal navigation destination.</w:t>
      </w:r>
    </w:p>
    <w:p>
      <w:pPr>
        <w:spacing w:after="80" w:before="100"/>
      </w:pPr>
      <w:r>
        <w:rPr>
          <w:rFonts w:ascii="Calibri" w:cs="Calibri" w:eastAsia="Calibri" w:hAnsi="Calibri"/>
          <w:b/>
          <w:bCs/>
          <w:color w:val="1A6B3A"/>
          <w:sz w:val="21"/>
          <w:szCs w:val="21"/>
        </w:rPr>
        <w:t xml:space="preserve">2. </w:t>
      </w:r>
      <w:r>
        <w:rPr>
          <w:rFonts w:ascii="Calibri" w:cs="Calibri" w:eastAsia="Calibri" w:hAnsi="Calibri"/>
          <w:b/>
          <w:bCs/>
          <w:color w:val="0F4D28"/>
          <w:sz w:val="21"/>
          <w:szCs w:val="21"/>
        </w:rPr>
        <w:t xml:space="preserve">The ⌘K palette replaces module menus for power users — </w:t>
      </w:r>
      <w:r>
        <w:rPr>
          <w:rFonts w:ascii="Calibri" w:cs="Calibri" w:eastAsia="Calibri" w:hAnsi="Calibri"/>
          <w:color w:val="111827"/>
          <w:sz w:val="21"/>
          <w:szCs w:val="21"/>
        </w:rPr>
        <w:t xml:space="preserve">Any entity, any command, any simulation is reachable in under 3 keystrokes from the ⌘K palette. Power users should never need to touch the left sidebar for anything except their initial orientation.</w:t>
      </w:r>
    </w:p>
    <w:p>
      <w:pPr>
        <w:spacing w:after="80" w:before="100"/>
      </w:pPr>
      <w:r>
        <w:rPr>
          <w:rFonts w:ascii="Calibri" w:cs="Calibri" w:eastAsia="Calibri" w:hAnsi="Calibri"/>
          <w:b/>
          <w:bCs/>
          <w:color w:val="1A6B3A"/>
          <w:sz w:val="21"/>
          <w:szCs w:val="21"/>
        </w:rPr>
        <w:t xml:space="preserve">3. </w:t>
      </w:r>
      <w:r>
        <w:rPr>
          <w:rFonts w:ascii="Calibri" w:cs="Calibri" w:eastAsia="Calibri" w:hAnsi="Calibri"/>
          <w:b/>
          <w:bCs/>
          <w:color w:val="0F4D28"/>
          <w:sz w:val="21"/>
          <w:szCs w:val="21"/>
        </w:rPr>
        <w:t xml:space="preserve">Breadcrumbs show entity context, not screen path — </w:t>
      </w:r>
      <w:r>
        <w:rPr>
          <w:rFonts w:ascii="Calibri" w:cs="Calibri" w:eastAsia="Calibri" w:hAnsi="Calibri"/>
          <w:color w:val="111827"/>
          <w:sz w:val="21"/>
          <w:szCs w:val="21"/>
        </w:rPr>
        <w:t xml:space="preserve">A breadcrumb in v5 shows: Project &gt; Activity &gt; Drawing &gt; (current context). It reflects where you are in the entity graph, not which module you navigated through. Clicking any breadcrumb crumb opens that entity's workspace.</w:t>
      </w:r>
    </w:p>
    <w:p>
      <w:pPr>
        <w:spacing w:after="80" w:before="100"/>
      </w:pPr>
      <w:r>
        <w:rPr>
          <w:rFonts w:ascii="Calibri" w:cs="Calibri" w:eastAsia="Calibri" w:hAnsi="Calibri"/>
          <w:b/>
          <w:bCs/>
          <w:color w:val="1A6B3A"/>
          <w:sz w:val="21"/>
          <w:szCs w:val="21"/>
        </w:rPr>
        <w:t xml:space="preserve">4. </w:t>
      </w:r>
      <w:r>
        <w:rPr>
          <w:rFonts w:ascii="Calibri" w:cs="Calibri" w:eastAsia="Calibri" w:hAnsi="Calibri"/>
          <w:b/>
          <w:bCs/>
          <w:color w:val="0F4D28"/>
          <w:sz w:val="21"/>
          <w:szCs w:val="21"/>
        </w:rPr>
        <w:t xml:space="preserve">Role determines default landing, not fixed home screens — </w:t>
      </w:r>
      <w:r>
        <w:rPr>
          <w:rFonts w:ascii="Calibri" w:cs="Calibri" w:eastAsia="Calibri" w:hAnsi="Calibri"/>
          <w:color w:val="111827"/>
          <w:sz w:val="21"/>
          <w:szCs w:val="21"/>
        </w:rPr>
        <w:t xml:space="preserve">A PM lands on the Activity list. An executive lands on the Project Command Centre. A site engineer lands on My Work. A vendor contact lands on their Vendor Workspace. Navigation default is a function of role, not a single fixed homepage.</w:t>
      </w:r>
    </w:p>
    <w:p>
      <w:pPr>
        <w:spacing w:after="80" w:before="100"/>
      </w:pPr>
      <w:r>
        <w:rPr>
          <w:rFonts w:ascii="Calibri" w:cs="Calibri" w:eastAsia="Calibri" w:hAnsi="Calibri"/>
          <w:b/>
          <w:bCs/>
          <w:color w:val="1A6B3A"/>
          <w:sz w:val="21"/>
          <w:szCs w:val="21"/>
        </w:rPr>
        <w:t xml:space="preserve">5. </w:t>
      </w:r>
      <w:r>
        <w:rPr>
          <w:rFonts w:ascii="Calibri" w:cs="Calibri" w:eastAsia="Calibri" w:hAnsi="Calibri"/>
          <w:b/>
          <w:bCs/>
          <w:color w:val="0F4D28"/>
          <w:sz w:val="21"/>
          <w:szCs w:val="21"/>
        </w:rPr>
        <w:t xml:space="preserve">Mobile navigation is a separate design problem — </w:t>
      </w:r>
      <w:r>
        <w:rPr>
          <w:rFonts w:ascii="Calibri" w:cs="Calibri" w:eastAsia="Calibri" w:hAnsi="Calibri"/>
          <w:color w:val="111827"/>
          <w:sz w:val="21"/>
          <w:szCs w:val="21"/>
        </w:rPr>
        <w:t xml:space="preserve">Bottom tab bars, swipe navigation, and single-thumb reach targets are not "the mobile version" of the desktop sidebar. They are purpose-built for field use: glove-friendly, one-handed, and evidence-capture-first.</w:t>
      </w:r>
    </w:p>
    <w:p>
      <w:pPr>
        <w:spacing w:after="0" w:before="80"/>
      </w:pPr>
    </w:p>
    <w:p>
      <w:pPr>
        <w:pStyle w:val="Heading1"/>
        <w:pageBreakBefore/>
        <w:spacing w:after="160" w:before="480"/>
      </w:pPr>
      <w:r>
        <w:rPr>
          <w:rFonts w:ascii="Calibri" w:cs="Calibri" w:eastAsia="Calibri" w:hAnsi="Calibri"/>
          <w:b/>
          <w:bCs/>
          <w:color w:val="0F4D28"/>
          <w:sz w:val="40"/>
          <w:szCs w:val="40"/>
        </w:rPr>
        <w:t xml:space="preserve">2.  Primary Navigation — Left Sidebar</w:t>
      </w:r>
    </w:p>
    <w:p>
      <w:pPr>
        <w:spacing w:after="100" w:before="60"/>
      </w:pPr>
      <w:r>
        <w:rPr>
          <w:rFonts w:ascii="Calibri" w:cs="Calibri" w:eastAsia="Calibri" w:hAnsi="Calibri"/>
          <w:color w:val="111827"/>
          <w:sz w:val="22"/>
          <w:szCs w:val="22"/>
        </w:rPr>
        <w:t xml:space="preserve">The left sidebar is the primary navigation structure for desktop users. It collapses to icon-only on narrow viewports and is hidden entirely on mobile (replaced by a bottom tab bar). Each sidebar item leads to a register or command centre — the entry point for that category of entities. From the register, users click an entity to open its workspace.</w:t>
      </w:r>
    </w:p>
    <w:p>
      <w:pPr>
        <w:spacing w:after="0" w:before="80"/>
      </w:pPr>
    </w:p>
    <w:p>
      <w:pPr>
        <w:pStyle w:val="Heading2"/>
        <w:spacing w:after="120" w:before="320"/>
      </w:pPr>
      <w:r>
        <w:rPr>
          <w:rFonts w:ascii="Calibri" w:cs="Calibri" w:eastAsia="Calibri" w:hAnsi="Calibri"/>
          <w:b/>
          <w:bCs/>
          <w:color w:val="1A6B3A"/>
          <w:sz w:val="26"/>
          <w:szCs w:val="26"/>
        </w:rPr>
        <w:t xml:space="preserve">2.1  Sidebar Structure</w:t>
      </w:r>
    </w:p>
    <w:p>
      <w:pPr>
        <w:spacing w:after="100" w:before="60"/>
      </w:pPr>
      <w:r>
        <w:rPr>
          <w:rFonts w:ascii="Calibri" w:cs="Calibri" w:eastAsia="Calibri" w:hAnsi="Calibri"/>
          <w:color w:val="111827"/>
          <w:sz w:val="22"/>
          <w:szCs w:val="22"/>
        </w:rPr>
        <w:t xml:space="preserve">The sidebar has two zones: the primary navigation items (always visible) and a secondary zone for admin-only items. The order reflects the most common navigation sequence for a project management context.</w:t>
      </w:r>
    </w:p>
    <w:p>
      <w:pPr>
        <w:spacing w:after="0" w:before="60"/>
      </w:pP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Project Command Centre: </w:t>
      </w:r>
      <w:r>
        <w:rPr>
          <w:rFonts w:ascii="Calibri" w:cs="Calibri" w:eastAsia="Calibri" w:hAnsi="Calibri"/>
          <w:color w:val="111827"/>
          <w:sz w:val="20"/>
          <w:szCs w:val="20"/>
        </w:rPr>
        <w:t xml:space="preserve">Home for executives. Executive Digital Twin: Reality, Forecast, Required Decisions. Monday morning briefing format. Entry point for the top-level project view.</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My Work: </w:t>
      </w:r>
      <w:r>
        <w:rPr>
          <w:rFonts w:ascii="Calibri" w:cs="Calibri" w:eastAsia="Calibri" w:hAnsi="Calibri"/>
          <w:color w:val="111827"/>
          <w:sz w:val="20"/>
          <w:szCs w:val="20"/>
        </w:rPr>
        <w:t xml:space="preserve">Personalised queue for every user. Coordination items assigned to me, evidence submissions pending, decisions requiring my input, alerts requiring acknowledgment.</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Activities: </w:t>
      </w:r>
      <w:r>
        <w:rPr>
          <w:rFonts w:ascii="Calibri" w:cs="Calibri" w:eastAsia="Calibri" w:hAnsi="Calibri"/>
          <w:color w:val="111827"/>
          <w:sz w:val="20"/>
          <w:szCs w:val="20"/>
        </w:rPr>
        <w:t xml:space="preserve">WBS tree with Evidence Score visible on each activity node. Clicking an activity opens its Activity Workspace. Filter by discipline, status, WBS level, evidence status.</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Changes: </w:t>
      </w:r>
      <w:r>
        <w:rPr>
          <w:rFonts w:ascii="Calibri" w:cs="Calibri" w:eastAsia="Calibri" w:hAnsi="Calibri"/>
          <w:color w:val="111827"/>
          <w:sz w:val="20"/>
          <w:szCs w:val="20"/>
        </w:rPr>
        <w:t xml:space="preserve">Change register. All change requests, variations, and contract changes. Clicking a change opens its Change Workspace. Filter by status, impact level, type.</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Drawings: </w:t>
      </w:r>
      <w:r>
        <w:rPr>
          <w:rFonts w:ascii="Calibri" w:cs="Calibri" w:eastAsia="Calibri" w:hAnsi="Calibri"/>
          <w:color w:val="111827"/>
          <w:sz w:val="20"/>
          <w:szCs w:val="20"/>
        </w:rPr>
        <w:t xml:space="preserve">Drawing register. All drawings with current revision, status, and distribution state. Clicking a drawing opens its Drawing Workspace. Filter by discipline, status, revision.</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Equipment: </w:t>
      </w:r>
      <w:r>
        <w:rPr>
          <w:rFonts w:ascii="Calibri" w:cs="Calibri" w:eastAsia="Calibri" w:hAnsi="Calibri"/>
          <w:color w:val="111827"/>
          <w:sz w:val="20"/>
          <w:szCs w:val="20"/>
        </w:rPr>
        <w:t xml:space="preserve">Equipment register. All tagged equipment with readiness status. Clicking an item opens its Equipment Workspace. Filter by system, status, vendor.</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Vendors: </w:t>
      </w:r>
      <w:r>
        <w:rPr>
          <w:rFonts w:ascii="Calibri" w:cs="Calibri" w:eastAsia="Calibri" w:hAnsi="Calibri"/>
          <w:color w:val="111827"/>
          <w:sz w:val="20"/>
          <w:szCs w:val="20"/>
        </w:rPr>
        <w:t xml:space="preserve">Vendor register with performance scores visible in list view. Clicking a vendor opens its Vendor Workspace. Filter by performance band, package, scope.</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Risks: </w:t>
      </w:r>
      <w:r>
        <w:rPr>
          <w:rFonts w:ascii="Calibri" w:cs="Calibri" w:eastAsia="Calibri" w:hAnsi="Calibri"/>
          <w:color w:val="111827"/>
          <w:sz w:val="20"/>
          <w:szCs w:val="20"/>
        </w:rPr>
        <w:t xml:space="preserve">Risk register with heat map summary at top. Clicking a risk opens its Risk Workspace. Filter by severity, type, status, owner.</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Reports: </w:t>
      </w:r>
      <w:r>
        <w:rPr>
          <w:rFonts w:ascii="Calibri" w:cs="Calibri" w:eastAsia="Calibri" w:hAnsi="Calibri"/>
          <w:color w:val="111827"/>
          <w:sz w:val="20"/>
          <w:szCs w:val="20"/>
        </w:rPr>
        <w:t xml:space="preserve">Report builder + archive. Weekly, monthly, milestone, and executive summary report templates. Configured in Green PM Studio.</w:t>
      </w:r>
    </w:p>
    <w:p>
      <w:pPr>
        <w:spacing w:after="60" w:before="60"/>
        <w:ind w:left="480" w:hanging="360"/>
      </w:pPr>
      <w:r>
        <w:rPr>
          <w:rFonts w:ascii="Calibri" w:cs="Calibri" w:eastAsia="Calibri" w:hAnsi="Calibri"/>
          <w:color w:val="1A6B3A"/>
          <w:sz w:val="21"/>
          <w:szCs w:val="21"/>
        </w:rPr>
        <w:t xml:space="preserve">⚙  </w:t>
      </w:r>
      <w:r>
        <w:rPr>
          <w:rFonts w:ascii="Calibri" w:cs="Calibri" w:eastAsia="Calibri" w:hAnsi="Calibri"/>
          <w:b/>
          <w:bCs/>
          <w:color w:val="0F4D28"/>
          <w:sz w:val="21"/>
          <w:szCs w:val="21"/>
        </w:rPr>
        <w:t xml:space="preserve">Green PM Studio: </w:t>
      </w:r>
      <w:r>
        <w:rPr>
          <w:rFonts w:ascii="Calibri" w:cs="Calibri" w:eastAsia="Calibri" w:hAnsi="Calibri"/>
          <w:color w:val="111827"/>
          <w:sz w:val="20"/>
          <w:szCs w:val="20"/>
        </w:rPr>
        <w:t xml:space="preserve">Admin only. Configuration builders for all 15 Studio dimensions. Not visible to non-admin users.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45309" w:sz="20"/>
              <w:bottom w:val="none"/>
              <w:right w:val="none"/>
            </w:tcBorders>
            <w:shd w:fill="FFFBEB" w:val="clear"/>
            <w:tcMar>
              <w:top w:type="dxa" w:w="160"/>
              <w:left w:type="dxa" w:w="240"/>
              <w:bottom w:type="dxa" w:w="160"/>
              <w:right w:type="dxa" w:w="240"/>
            </w:tcMar>
          </w:tcPr>
          <w:p>
            <w:pPr>
              <w:spacing w:after="60" w:before="60"/>
            </w:pPr>
            <w:r>
              <w:rPr>
                <w:rFonts w:ascii="Calibri" w:cs="Calibri" w:eastAsia="Calibri" w:hAnsi="Calibri"/>
                <w:color w:val="374151"/>
                <w:sz w:val="20"/>
                <w:szCs w:val="20"/>
              </w:rPr>
              <w:t xml:space="preserve">The sidebar order is fixed and cannot be reconfigured by individual users. Tenant administrators can show/hide items via Studio, but cannot reorder them. This enforces navigation consistency across all users on a tenant.</w:t>
            </w:r>
          </w:p>
        </w:tc>
      </w:tr>
    </w:tbl>
    <w:p>
      <w:pPr>
        <w:spacing w:after="0" w:before="80"/>
      </w:pPr>
    </w:p>
    <w:p>
      <w:pPr>
        <w:pStyle w:val="Heading2"/>
        <w:spacing w:after="120" w:before="320"/>
      </w:pPr>
      <w:r>
        <w:rPr>
          <w:rFonts w:ascii="Calibri" w:cs="Calibri" w:eastAsia="Calibri" w:hAnsi="Calibri"/>
          <w:b/>
          <w:bCs/>
          <w:color w:val="1A6B3A"/>
          <w:sz w:val="26"/>
          <w:szCs w:val="26"/>
        </w:rPr>
        <w:t xml:space="preserve">2.2  Sidebar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Sidebar State</w:t>
            </w:r>
          </w:p>
        </w:tc>
        <w:tc>
          <w:tcPr>
            <w:tcW w:type="dxa" w:w="65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Description</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Expanded (desktop)</w:t>
            </w:r>
          </w:p>
        </w:tc>
        <w:tc>
          <w:tcPr>
            <w:tcW w:type="dxa" w:w="65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Icon + label visible. Default state on screens wider than 1024px. Width: 240px. Collapses to icon-only on user click.</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Icon-only (desktop)</w:t>
            </w:r>
          </w:p>
        </w:tc>
        <w:tc>
          <w:tcPr>
            <w:tcW w:type="dxa" w:w="65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Icon only. 64px wide. Label appears as tooltip on hover. Default on screens 768–1024px.</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Hidden (mobile)</w:t>
            </w:r>
          </w:p>
        </w:tc>
        <w:tc>
          <w:tcPr>
            <w:tcW w:type="dxa" w:w="65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Not visible. Replaced by bottom tab bar on all screen widths below 768px.</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Admin extended</w:t>
            </w:r>
          </w:p>
        </w:tc>
        <w:tc>
          <w:tcPr>
            <w:tcW w:type="dxa" w:w="65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 PM Studio item visible at the bottom. Only shown to users with admin role. Studio item is always last.</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Role-filtered</w:t>
            </w:r>
          </w:p>
        </w:tc>
        <w:tc>
          <w:tcPr>
            <w:tcW w:type="dxa" w:w="65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Portal users see only their Vendor Workspace + My Work. No access to registers or command centres for other entities.</w:t>
            </w:r>
          </w:p>
        </w:tc>
      </w:tr>
    </w:tbl>
    <w:p>
      <w:pPr>
        <w:spacing w:after="0" w:before="80"/>
      </w:pPr>
    </w:p>
    <w:p>
      <w:pPr>
        <w:pStyle w:val="Heading1"/>
        <w:pageBreakBefore/>
        <w:spacing w:after="160" w:before="480"/>
      </w:pPr>
      <w:r>
        <w:rPr>
          <w:rFonts w:ascii="Calibri" w:cs="Calibri" w:eastAsia="Calibri" w:hAnsi="Calibri"/>
          <w:b/>
          <w:bCs/>
          <w:color w:val="0F4D28"/>
          <w:sz w:val="40"/>
          <w:szCs w:val="40"/>
        </w:rPr>
        <w:t xml:space="preserve">3.  Secondary Navigation — Within Entity Workspaces</w:t>
      </w:r>
    </w:p>
    <w:p>
      <w:pPr>
        <w:spacing w:after="100" w:before="60"/>
      </w:pPr>
      <w:r>
        <w:rPr>
          <w:rFonts w:ascii="Calibri" w:cs="Calibri" w:eastAsia="Calibri" w:hAnsi="Calibri"/>
          <w:color w:val="111827"/>
          <w:sz w:val="22"/>
          <w:szCs w:val="22"/>
        </w:rPr>
        <w:t xml:space="preserve">When a user opens an entity workspace, secondary navigation is automatically generated from the PIG. The tabs and panels shown in a workspace are derived from which entity types are connected to the focal entity in the graph — not from a hardcoded template. An activity with no associated risks shows no Risks panel. An activity with 3 linked changes shows a Changes panel with count badge.</w:t>
      </w:r>
    </w:p>
    <w:p>
      <w:pPr>
        <w:spacing w:after="0" w:before="80"/>
      </w:pPr>
    </w:p>
    <w:p>
      <w:pPr>
        <w:pStyle w:val="Heading2"/>
        <w:spacing w:after="120" w:before="320"/>
      </w:pPr>
      <w:r>
        <w:rPr>
          <w:rFonts w:ascii="Calibri" w:cs="Calibri" w:eastAsia="Calibri" w:hAnsi="Calibri"/>
          <w:b/>
          <w:bCs/>
          <w:color w:val="1A6B3A"/>
          <w:sz w:val="26"/>
          <w:szCs w:val="26"/>
        </w:rPr>
        <w:t xml:space="preserve">3.1  Standard Workspace Panel Layout</w:t>
      </w:r>
    </w:p>
    <w:p>
      <w:pPr>
        <w:spacing w:after="100" w:before="60"/>
      </w:pPr>
      <w:r>
        <w:rPr>
          <w:rFonts w:ascii="Calibri" w:cs="Calibri" w:eastAsia="Calibri" w:hAnsi="Calibri"/>
          <w:color w:val="111827"/>
          <w:sz w:val="22"/>
          <w:szCs w:val="22"/>
        </w:rPr>
        <w:t xml:space="preserve">All entity workspaces share a standard panel structure: a persistent header (entity identity, key status, evidence score), followed by contextual panels derived from PIG relationships. The panel order is fixed within each workspace type. Users cannot reorder panels.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20" w:before="60"/>
            </w:pPr>
            <w:r>
              <w:rPr>
                <w:rFonts w:ascii="Calibri" w:cs="Calibri" w:eastAsia="Calibri" w:hAnsi="Calibri"/>
                <w:b/>
                <w:bCs/>
                <w:color w:val="0F4D28"/>
                <w:sz w:val="22"/>
                <w:szCs w:val="22"/>
              </w:rPr>
              <w:t xml:space="preserve">Workspace Panel Hierarchy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Header (always visible): Entity identity, type badge, Evidence Score, Readiness status, last updated timestamp, ⌘K shortcut.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Primary panel (auto-selected): The most contextually relevant panel for the entity type. For Activity: Schedule position. For Drawing: Current revision. For Equipment: Readiness status.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Contextual panels (PIG-generated): Shown only if the entity has connections of that type. Labels and counts auto-generated. E.g., "Changes (3)" appears only if 3 change nodes are connected to this entity in the PIG.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Engine outputs (always present): Green PM explains / predicts / recommends. Never labeled with engine names. Always shows evidence_refs[].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Coordination items: All open coordination items related to this entity. Always visible.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History / audit trail: All state changes, evidence additions, and engine outputs for this entity. Immutable. Always accessible.</w:t>
            </w:r>
          </w:p>
        </w:tc>
      </w:tr>
    </w:tbl>
    <w:p>
      <w:pPr>
        <w:spacing w:after="0" w:before="80"/>
      </w:pPr>
    </w:p>
    <w:p>
      <w:pPr>
        <w:pStyle w:val="Heading2"/>
        <w:spacing w:after="120" w:before="320"/>
      </w:pPr>
      <w:r>
        <w:rPr>
          <w:rFonts w:ascii="Calibri" w:cs="Calibri" w:eastAsia="Calibri" w:hAnsi="Calibri"/>
          <w:b/>
          <w:bCs/>
          <w:color w:val="1A6B3A"/>
          <w:sz w:val="26"/>
          <w:szCs w:val="26"/>
        </w:rPr>
        <w:t xml:space="preserve">3.2  Connected Entity Navigation</w:t>
      </w:r>
    </w:p>
    <w:p>
      <w:pPr>
        <w:spacing w:after="100" w:before="60"/>
      </w:pPr>
      <w:r>
        <w:rPr>
          <w:rFonts w:ascii="Calibri" w:cs="Calibri" w:eastAsia="Calibri" w:hAnsi="Calibri"/>
          <w:color w:val="111827"/>
          <w:sz w:val="22"/>
          <w:szCs w:val="22"/>
        </w:rPr>
        <w:t xml:space="preserve">Every panel that shows connected entities (e.g., the "Drawings" panel in an Activity Workspace) shows a compact list of linked entities with their key status indicators. Clicking any linked entity opens that entity's workspace in the same tab. The breadcrumb grows to reflect the navigation path: Project &gt; Activity A-089 &gt; Drawing DWG-M-047.</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45309" w:sz="20"/>
              <w:bottom w:val="none"/>
              <w:right w:val="none"/>
            </w:tcBorders>
            <w:shd w:fill="FFFBEB" w:val="clear"/>
            <w:tcMar>
              <w:top w:type="dxa" w:w="160"/>
              <w:left w:type="dxa" w:w="240"/>
              <w:bottom w:type="dxa" w:w="160"/>
              <w:right w:type="dxa" w:w="240"/>
            </w:tcMar>
          </w:tcPr>
          <w:p>
            <w:pPr>
              <w:spacing w:after="60" w:before="60"/>
            </w:pPr>
            <w:r>
              <w:rPr>
                <w:rFonts w:ascii="Calibri" w:cs="Calibri" w:eastAsia="Calibri" w:hAnsi="Calibri"/>
                <w:color w:val="374151"/>
                <w:sz w:val="20"/>
                <w:szCs w:val="20"/>
              </w:rPr>
              <w:t xml:space="preserve">Back navigation always returns to the previous entity workspace, not to the register. A user who opens Activity &gt; Drawing &gt; Equipment navigates back to Drawing on browser back, then to Activity. This preserves entity context throughout the navigation session.</w:t>
            </w:r>
          </w:p>
        </w:tc>
      </w:tr>
    </w:tbl>
    <w:p>
      <w:pPr>
        <w:spacing w:after="0" w:before="80"/>
      </w:pPr>
    </w:p>
    <w:p>
      <w:pPr>
        <w:pStyle w:val="Heading2"/>
        <w:spacing w:after="120" w:before="320"/>
      </w:pPr>
      <w:r>
        <w:rPr>
          <w:rFonts w:ascii="Calibri" w:cs="Calibri" w:eastAsia="Calibri" w:hAnsi="Calibri"/>
          <w:b/>
          <w:bCs/>
          <w:color w:val="1A6B3A"/>
          <w:sz w:val="26"/>
          <w:szCs w:val="26"/>
        </w:rPr>
        <w:t xml:space="preserve">3.3  Evidence Trail Panel</w:t>
      </w:r>
    </w:p>
    <w:p>
      <w:pPr>
        <w:spacing w:after="100" w:before="60"/>
      </w:pPr>
      <w:r>
        <w:rPr>
          <w:rFonts w:ascii="Calibri" w:cs="Calibri" w:eastAsia="Calibri" w:hAnsi="Calibri"/>
          <w:color w:val="111827"/>
          <w:sz w:val="22"/>
          <w:szCs w:val="22"/>
        </w:rPr>
        <w:t xml:space="preserve">The Evidence Trail panel is present in every entity workspace and shows the complete evidence history for that entity. Evidence items are shown in reverse chronological order with type icon, submitter, timestamp, and Evidence Score contribution. Each evidence item is clickable to its full detail view.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Evidence Type</w:t>
            </w:r>
          </w:p>
        </w:tc>
        <w:tc>
          <w:tcPr>
            <w:tcW w:type="dxa" w:w="71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Workspace display</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Photo evidence</w:t>
            </w:r>
          </w:p>
        </w:tc>
        <w:tc>
          <w:tcPr>
            <w:tcW w:type="dxa" w:w="7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Thumbnail, GPS map pin, timestamp, submitter, activity tag. Click to full screen.</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Inspection record</w:t>
            </w:r>
          </w:p>
        </w:tc>
        <w:tc>
          <w:tcPr>
            <w:tcW w:type="dxa" w:w="7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Record type, inspector name, pass/fail, date, linked drawing. Click to full document.</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Survey report</w:t>
            </w:r>
          </w:p>
        </w:tc>
        <w:tc>
          <w:tcPr>
            <w:tcW w:type="dxa" w:w="7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 date, surveyor, methodology note, quantity certified. Click to full report.</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Voice note</w:t>
            </w:r>
          </w:p>
        </w:tc>
        <w:tc>
          <w:tcPr>
            <w:tcW w:type="dxa" w:w="7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Duration, transcript preview, submitter. Click to play + read full transcript.</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 mark-up</w:t>
            </w:r>
          </w:p>
        </w:tc>
        <w:tc>
          <w:tcPr>
            <w:tcW w:type="dxa" w:w="7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 number, revision, mark-up type, submitter. Click to annotated drawing.</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System event</w:t>
            </w:r>
          </w:p>
        </w:tc>
        <w:tc>
          <w:tcPr>
            <w:tcW w:type="dxa" w:w="7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Auto-generated evidence from system integrations (e.g., ERP delivery confirmation). Non-editable.</w:t>
            </w:r>
          </w:p>
        </w:tc>
      </w:tr>
    </w:tbl>
    <w:p>
      <w:pPr>
        <w:spacing w:after="0" w:before="80"/>
      </w:pPr>
    </w:p>
    <w:p>
      <w:pPr>
        <w:pStyle w:val="Heading1"/>
        <w:pageBreakBefore/>
        <w:spacing w:after="160" w:before="480"/>
      </w:pPr>
      <w:r>
        <w:rPr>
          <w:rFonts w:ascii="Calibri" w:cs="Calibri" w:eastAsia="Calibri" w:hAnsi="Calibri"/>
          <w:b/>
          <w:bCs/>
          <w:color w:val="0F4D28"/>
          <w:sz w:val="40"/>
          <w:szCs w:val="40"/>
        </w:rPr>
        <w:t xml:space="preserve">4.  ⌘K Command Palette</w:t>
      </w:r>
    </w:p>
    <w:p>
      <w:pPr>
        <w:spacing w:after="100" w:before="60"/>
      </w:pPr>
      <w:r>
        <w:rPr>
          <w:rFonts w:ascii="Calibri" w:cs="Calibri" w:eastAsia="Calibri" w:hAnsi="Calibri"/>
          <w:color w:val="111827"/>
          <w:sz w:val="22"/>
          <w:szCs w:val="22"/>
        </w:rPr>
        <w:t xml:space="preserve">The ⌘K command palette is the primary navigation tool for power users. It provides universal search and jump-to-entity from any screen. On Mac: ⌘K. On Windows/Linux: Ctrl+K. On mobile: tap the search icon in the top bar (the gesture shortcut is not available on mobile). The palette opens as a full-width overlay on mobile and a 640px centered modal on desktop.</w:t>
      </w:r>
    </w:p>
    <w:p>
      <w:pPr>
        <w:spacing w:after="0" w:before="80"/>
      </w:pPr>
    </w:p>
    <w:p>
      <w:pPr>
        <w:pStyle w:val="Heading2"/>
        <w:spacing w:after="120" w:before="320"/>
      </w:pPr>
      <w:r>
        <w:rPr>
          <w:rFonts w:ascii="Calibri" w:cs="Calibri" w:eastAsia="Calibri" w:hAnsi="Calibri"/>
          <w:b/>
          <w:bCs/>
          <w:color w:val="1A6B3A"/>
          <w:sz w:val="26"/>
          <w:szCs w:val="26"/>
        </w:rPr>
        <w:t xml:space="preserve">4.1  Palette Behaviour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Trigger: ⌘K from any screen, including within a workspace. The palette always opens with focus on the search input.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Search: Starts returning results after the first keystroke. Results are ranked by: recency of user interaction, entity type relevance to current context, and evidence score (as a proxy for entity importance). Target: &lt;100ms first result.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Entity jump: Searching for an activity number, drawing number, equipment tag, or vendor name navigates directly to that entity workspace. No intermediate register screen.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Command mode: Commands starting with / activate command-specific actions. E.g., /sim opens the simulation configurator. /ask opens the AI Copilot.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Keyboard navigation: Arrow keys navigate results. Enter confirms. Esc closes the palette. Tab moves between result categories (Entities, Commands, Recent).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Recent items: The last 10 entities visited are shown when the palette is opened with an empty query. Personalised per user.</w:t>
      </w:r>
    </w:p>
    <w:p>
      <w:pPr>
        <w:spacing w:after="0" w:before="80"/>
      </w:pPr>
    </w:p>
    <w:p>
      <w:pPr>
        <w:pStyle w:val="Heading2"/>
        <w:spacing w:after="120" w:before="320"/>
      </w:pPr>
      <w:r>
        <w:rPr>
          <w:rFonts w:ascii="Calibri" w:cs="Calibri" w:eastAsia="Calibri" w:hAnsi="Calibri"/>
          <w:b/>
          <w:bCs/>
          <w:color w:val="1A6B3A"/>
          <w:sz w:val="26"/>
          <w:szCs w:val="26"/>
        </w:rPr>
        <w:t xml:space="preserve">4.2  Palette Input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20" w:before="60"/>
            </w:pPr>
            <w:r>
              <w:rPr>
                <w:rFonts w:ascii="Calibri" w:cs="Calibri" w:eastAsia="Calibri" w:hAnsi="Calibri"/>
                <w:b/>
                <w:bCs/>
                <w:color w:val="0F4D28"/>
                <w:sz w:val="22"/>
                <w:szCs w:val="22"/>
              </w:rPr>
              <w:t xml:space="preserve">What the ⌘K palette can do</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Jump to entity — any Activity, Drawing, Equipment, Vendor, Risk, Change, Decision, Shipment, or Package by name, number, or tag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Run simulation — "What if..." opens the Simulation Engine configurator pre-populated with the current project context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Ask Green PM — opens the AI Copilot with the current entity as context (if in a workspace)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Create — Change Request, Decision, Risk, Action Item, Evidence Item, Coordination Item</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Quick report — Week summary, Month summary, Gate readiness report, Vendor performance snapshot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Navigate — open any register directly (e.g., "drawings" opens drawing register)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Search — full-text search across all project content including evidence notes, decision records, and coordination items</w:t>
            </w:r>
          </w:p>
        </w:tc>
      </w:tr>
    </w:tbl>
    <w:p>
      <w:pPr>
        <w:spacing w:after="0" w:before="80"/>
      </w:pPr>
    </w:p>
    <w:p>
      <w:pPr>
        <w:pStyle w:val="Heading1"/>
        <w:pageBreakBefore/>
        <w:spacing w:after="160" w:before="480"/>
      </w:pPr>
      <w:r>
        <w:rPr>
          <w:rFonts w:ascii="Calibri" w:cs="Calibri" w:eastAsia="Calibri" w:hAnsi="Calibri"/>
          <w:b/>
          <w:bCs/>
          <w:color w:val="0F4D28"/>
          <w:sz w:val="40"/>
          <w:szCs w:val="40"/>
        </w:rPr>
        <w:t xml:space="preserve">5.  Role-Based Landing Pages</w:t>
      </w:r>
    </w:p>
    <w:p>
      <w:pPr>
        <w:spacing w:after="100" w:before="60"/>
      </w:pPr>
      <w:r>
        <w:rPr>
          <w:rFonts w:ascii="Calibri" w:cs="Calibri" w:eastAsia="Calibri" w:hAnsi="Calibri"/>
          <w:color w:val="111827"/>
          <w:sz w:val="22"/>
          <w:szCs w:val="22"/>
        </w:rPr>
        <w:t xml:space="preserve">There is no single "home" in Green PM v5. Every user role has a configured landing page that reflects what they need to see first when they open the platform. Landing pages cannot be changed by individual users (they are role-driven) but tenant administrators can configure which role maps to which landing in Green PM Studio.</w:t>
      </w:r>
    </w:p>
    <w:p>
      <w:pPr>
        <w:spacing w:after="0" w:before="80"/>
      </w:pPr>
    </w:p>
    <w:p>
      <w:pPr>
        <w:pStyle w:val="Heading2"/>
        <w:spacing w:after="120" w:before="320"/>
      </w:pPr>
      <w:r>
        <w:rPr>
          <w:rFonts w:ascii="Calibri" w:cs="Calibri" w:eastAsia="Calibri" w:hAnsi="Calibri"/>
          <w:b/>
          <w:bCs/>
          <w:color w:val="1A6B3A"/>
          <w:sz w:val="26"/>
          <w:szCs w:val="26"/>
        </w:rPr>
        <w:t xml:space="preserve">5.1  PM / Engineering Role</w:t>
      </w:r>
    </w:p>
    <w:p>
      <w:pPr>
        <w:spacing w:after="100" w:before="60"/>
      </w:pPr>
      <w:r>
        <w:rPr>
          <w:rFonts w:ascii="Calibri" w:cs="Calibri" w:eastAsia="Calibri" w:hAnsi="Calibri"/>
          <w:color w:val="111827"/>
          <w:sz w:val="22"/>
          <w:szCs w:val="22"/>
        </w:rPr>
        <w:t xml:space="preserve">The default landing for Project Managers and Engineers is the Activity list — the WBS tree with Evidence Scores visible on each node. This reflects the reality that PMs spend most of their time monitoring schedule status and evidence quality for active work.</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Evidence Score visible on each activity node without clicking through.</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Float remaining shown for all critical path activities (highlighted in amber when float &lt; 5 days).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Coordination items count badge shown next to activities with open items.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Quick filter bar: My activities | Critical path | Low evidence | With coordination items | This week starting.</w:t>
      </w:r>
    </w:p>
    <w:p>
      <w:pPr>
        <w:spacing w:after="0" w:before="60"/>
      </w:pPr>
    </w:p>
    <w:p>
      <w:pPr>
        <w:pStyle w:val="Heading2"/>
        <w:spacing w:after="120" w:before="320"/>
      </w:pPr>
      <w:r>
        <w:rPr>
          <w:rFonts w:ascii="Calibri" w:cs="Calibri" w:eastAsia="Calibri" w:hAnsi="Calibri"/>
          <w:b/>
          <w:bCs/>
          <w:color w:val="1A6B3A"/>
          <w:sz w:val="26"/>
          <w:szCs w:val="26"/>
        </w:rPr>
        <w:t xml:space="preserve">5.2  Executive Role</w:t>
      </w:r>
    </w:p>
    <w:p>
      <w:pPr>
        <w:spacing w:after="100" w:before="60"/>
      </w:pPr>
      <w:r>
        <w:rPr>
          <w:rFonts w:ascii="Calibri" w:cs="Calibri" w:eastAsia="Calibri" w:hAnsi="Calibri"/>
          <w:color w:val="111827"/>
          <w:sz w:val="22"/>
          <w:szCs w:val="22"/>
        </w:rPr>
        <w:t xml:space="preserve">The default landing for Executives and Project Directors is the Project Command Centre — the Executive Digital Twin. The Command Centre is delivered fresh every Monday morning and updated in real time by the Forecasting Engine.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Panel 1 — Reality: Current state of all six readiness gates, open critical items, active risks.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Panel 2 — Forecast: Schedule projection (P10/P50/P90), cost forecast, completion risk rating.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Panel 3 — Required Decisions: Decision items that require executive action this week, ranked by urgency and impact.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No charts without narrative context. Every KPI shows trend direction. No vanity metrics.</w:t>
      </w:r>
    </w:p>
    <w:p>
      <w:pPr>
        <w:spacing w:after="0" w:before="60"/>
      </w:pPr>
    </w:p>
    <w:p>
      <w:pPr>
        <w:pStyle w:val="Heading2"/>
        <w:spacing w:after="120" w:before="320"/>
      </w:pPr>
      <w:r>
        <w:rPr>
          <w:rFonts w:ascii="Calibri" w:cs="Calibri" w:eastAsia="Calibri" w:hAnsi="Calibri"/>
          <w:b/>
          <w:bCs/>
          <w:color w:val="1A6B3A"/>
          <w:sz w:val="26"/>
          <w:szCs w:val="26"/>
        </w:rPr>
        <w:t xml:space="preserve">5.3  Site Engineer Role</w:t>
      </w:r>
    </w:p>
    <w:p>
      <w:pPr>
        <w:spacing w:after="100" w:before="60"/>
      </w:pPr>
      <w:r>
        <w:rPr>
          <w:rFonts w:ascii="Calibri" w:cs="Calibri" w:eastAsia="Calibri" w:hAnsi="Calibri"/>
          <w:color w:val="111827"/>
          <w:sz w:val="22"/>
          <w:szCs w:val="22"/>
        </w:rPr>
        <w:t xml:space="preserve">The default landing for Site Engineers is My Work — the personalised coordination queue. Site engineers do not need a high-level overview; they need to know exactly what they must do today.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Coordination items assigned to me, ordered by due date.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Evidence submissions pending (activities with low evidence scores that I am responsible for).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Quick access to Evidence Upload (⌘E shortcut or prominent button in My Work header).</w:t>
      </w:r>
    </w:p>
    <w:p>
      <w:pPr>
        <w:spacing w:after="0" w:before="60"/>
      </w:pPr>
    </w:p>
    <w:p>
      <w:pPr>
        <w:pStyle w:val="Heading2"/>
        <w:spacing w:after="120" w:before="320"/>
      </w:pPr>
      <w:r>
        <w:rPr>
          <w:rFonts w:ascii="Calibri" w:cs="Calibri" w:eastAsia="Calibri" w:hAnsi="Calibri"/>
          <w:b/>
          <w:bCs/>
          <w:color w:val="1A6B3A"/>
          <w:sz w:val="26"/>
          <w:szCs w:val="26"/>
        </w:rPr>
        <w:t xml:space="preserve">5.4  Vendor Portal Role</w:t>
      </w:r>
    </w:p>
    <w:p>
      <w:pPr>
        <w:spacing w:after="100" w:before="60"/>
      </w:pPr>
      <w:r>
        <w:rPr>
          <w:rFonts w:ascii="Calibri" w:cs="Calibri" w:eastAsia="Calibri" w:hAnsi="Calibri"/>
          <w:color w:val="111827"/>
          <w:sz w:val="22"/>
          <w:szCs w:val="22"/>
        </w:rPr>
        <w:t xml:space="preserve">Vendor portal users land directly in their Vendor Workspace. They see their own performance scores, deliverable list, dispatch schedule, and any pending actions (NCR responses, document submissions, coordination items).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Vendor users cannot see any other vendor's workspace or any project-level data outside their deliverable scope.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Vendor workspace shows: Deliverables, Dispatch Tracker, NCRs, Correspondence, Payment Status, Performance Scores.</w:t>
      </w:r>
    </w:p>
    <w:p>
      <w:pPr>
        <w:spacing w:after="0" w:before="60"/>
      </w:pPr>
    </w:p>
    <w:p>
      <w:pPr>
        <w:pStyle w:val="Heading2"/>
        <w:spacing w:after="120" w:before="320"/>
      </w:pPr>
      <w:r>
        <w:rPr>
          <w:rFonts w:ascii="Calibri" w:cs="Calibri" w:eastAsia="Calibri" w:hAnsi="Calibri"/>
          <w:b/>
          <w:bCs/>
          <w:color w:val="1A6B3A"/>
          <w:sz w:val="26"/>
          <w:szCs w:val="26"/>
        </w:rPr>
        <w:t xml:space="preserve">5.5  Document Controller Role</w:t>
      </w:r>
    </w:p>
    <w:p>
      <w:pPr>
        <w:spacing w:after="100" w:before="60"/>
      </w:pPr>
      <w:r>
        <w:rPr>
          <w:rFonts w:ascii="Calibri" w:cs="Calibri" w:eastAsia="Calibri" w:hAnsi="Calibri"/>
          <w:color w:val="111827"/>
          <w:sz w:val="22"/>
          <w:szCs w:val="22"/>
        </w:rPr>
        <w:t xml:space="preserve">Document Controllers land on the Drawing register — the most frequently used tool for their role. They see all drawings with pending review items highlighted and an overdue-review count badge at the top.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Pending reviews queue shown at the top of the register (reviews overdue SLA highlighted in red).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Bulk action: Select multiple drawings and update revision/status in one action.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Consistency alerts visible in the register list view (contradicted drawings show an orange badge).</w:t>
      </w:r>
    </w:p>
    <w:p>
      <w:pPr>
        <w:spacing w:after="0" w:before="80"/>
      </w:pPr>
    </w:p>
    <w:p>
      <w:pPr>
        <w:pStyle w:val="Heading1"/>
        <w:pageBreakBefore/>
        <w:spacing w:after="160" w:before="480"/>
      </w:pPr>
      <w:r>
        <w:rPr>
          <w:rFonts w:ascii="Calibri" w:cs="Calibri" w:eastAsia="Calibri" w:hAnsi="Calibri"/>
          <w:b/>
          <w:bCs/>
          <w:color w:val="0F4D28"/>
          <w:sz w:val="40"/>
          <w:szCs w:val="40"/>
        </w:rPr>
        <w:t xml:space="preserve">6.  Mobile Navigation</w:t>
      </w:r>
    </w:p>
    <w:p>
      <w:pPr>
        <w:spacing w:after="100" w:before="60"/>
      </w:pPr>
      <w:r>
        <w:rPr>
          <w:rFonts w:ascii="Calibri" w:cs="Calibri" w:eastAsia="Calibri" w:hAnsi="Calibri"/>
          <w:color w:val="111827"/>
          <w:sz w:val="22"/>
          <w:szCs w:val="22"/>
        </w:rPr>
        <w:t xml:space="preserve">Mobile navigation in Green PM v5 is a purpose-built navigation model, not a responsive adaptation of the desktop sidebar. It is designed for site engineers, safety officers, and supervisors working in field conditions: partial gloves, bright sunlight, one hand in use, intermittent connectivity.</w:t>
      </w:r>
    </w:p>
    <w:p>
      <w:pPr>
        <w:spacing w:after="0" w:before="80"/>
      </w:pPr>
    </w:p>
    <w:p>
      <w:pPr>
        <w:pStyle w:val="Heading2"/>
        <w:spacing w:after="120" w:before="320"/>
      </w:pPr>
      <w:r>
        <w:rPr>
          <w:rFonts w:ascii="Calibri" w:cs="Calibri" w:eastAsia="Calibri" w:hAnsi="Calibri"/>
          <w:b/>
          <w:bCs/>
          <w:color w:val="1A6B3A"/>
          <w:sz w:val="26"/>
          <w:szCs w:val="26"/>
        </w:rPr>
        <w:t xml:space="preserve">6.1  Bottom Tab Bar (Mobile Primary Navigation)</w:t>
      </w:r>
    </w:p>
    <w:p>
      <w:pPr>
        <w:spacing w:after="100" w:before="60"/>
      </w:pPr>
      <w:r>
        <w:rPr>
          <w:rFonts w:ascii="Calibri" w:cs="Calibri" w:eastAsia="Calibri" w:hAnsi="Calibri"/>
          <w:color w:val="111827"/>
          <w:sz w:val="22"/>
          <w:szCs w:val="22"/>
        </w:rPr>
        <w:t xml:space="preserve">The bottom tab bar is the primary navigation structure on all screens narrower than 768px. It contains five tabs, designed for single-thumb reach from the bottom of any phone screen. The order places Evidence Upload second (the most frequent field action) and Ask Green PM fourth (accessible but not the primary action).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80"/>
        <w:gridCol w:w="3080"/>
      </w:tblGrid>
      <w:tr>
        <w:trPr>
          <w:tblHeader/>
        </w:trPr>
        <w:tc>
          <w:tcPr>
            <w:tcW w:type="dxa" w:w="1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Tab</w:t>
            </w:r>
          </w:p>
        </w:tc>
        <w:tc>
          <w:tcPr>
            <w:tcW w:type="dxa" w:w="448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What it opens</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Home</w:t>
            </w:r>
          </w:p>
        </w:tc>
        <w:tc>
          <w:tcPr>
            <w:tcW w:type="dxa" w:w="448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Opens My Work — the personalised task queue. The first tab, always accessible. Badge shows count of open coordination items.</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Upload</w:t>
            </w:r>
          </w:p>
        </w:tc>
        <w:tc>
          <w:tcPr>
            <w:tcW w:type="dxa" w:w="448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One tap to the evidence capture camera. No navigation to a project or activity first — the activity selection happens after capture. Badge shows pending sync count.</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Alerts</w:t>
            </w:r>
          </w:p>
        </w:tc>
        <w:tc>
          <w:tcPr>
            <w:tcW w:type="dxa" w:w="448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 active alerts for this user: coordination items, alignment gaps, risk triggers. Badge shows unread count.</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Ask Green PM</w:t>
            </w:r>
          </w:p>
        </w:tc>
        <w:tc>
          <w:tcPr>
            <w:tcW w:type="dxa" w:w="448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Opens the AI Copilot in a bottom sheet. Pre-populated with context from the most recently visited entity.</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Notifications</w:t>
            </w:r>
          </w:p>
        </w:tc>
        <w:tc>
          <w:tcPr>
            <w:tcW w:type="dxa" w:w="448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System notifications: sync completions, assignment notifications, escalation alerts. Badge shows unread count.</w:t>
            </w:r>
          </w:p>
        </w:tc>
      </w:tr>
    </w:tbl>
    <w:p>
      <w:pPr>
        <w:spacing w:after="0" w:before="80"/>
      </w:pPr>
    </w:p>
    <w:p>
      <w:pPr>
        <w:pStyle w:val="Heading2"/>
        <w:spacing w:after="120" w:before="320"/>
      </w:pPr>
      <w:r>
        <w:rPr>
          <w:rFonts w:ascii="Calibri" w:cs="Calibri" w:eastAsia="Calibri" w:hAnsi="Calibri"/>
          <w:b/>
          <w:bCs/>
          <w:color w:val="1A6B3A"/>
          <w:sz w:val="26"/>
          <w:szCs w:val="26"/>
        </w:rPr>
        <w:t xml:space="preserve">6.2  Mobile Entity Navigation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Swipe right on any entity card in My Work or a list view to open that entity's workspace (not to delete it — destructive actions are never accessible via swipe).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Within an entity workspace, tab navigation is replaced by a horizontal scroll panel selector. Panels are scrollable left-right; content within each panel is scrollable up-down.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entity workspace header is sticky and always visible (entity name, type badge, Evidence Score). Scrolling collapses the header to a compact version showing only the name and evidence score pill.</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Back navigation: single tap on the back chevron or left-edge swipe (&gt; 4pt from edge to avoid OS gesture conflict).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⌘K equivalent on mobile: tap the Search magnifier icon in the compact header. Opens a full-screen search overlay with the same functionality as the desktop palette.</w:t>
      </w:r>
    </w:p>
    <w:p>
      <w:pPr>
        <w:spacing w:after="0" w:before="80"/>
      </w:pPr>
    </w:p>
    <w:p>
      <w:pPr>
        <w:pStyle w:val="Heading2"/>
        <w:spacing w:after="120" w:before="320"/>
      </w:pPr>
      <w:r>
        <w:rPr>
          <w:rFonts w:ascii="Calibri" w:cs="Calibri" w:eastAsia="Calibri" w:hAnsi="Calibri"/>
          <w:b/>
          <w:bCs/>
          <w:color w:val="1A6B3A"/>
          <w:sz w:val="26"/>
          <w:szCs w:val="26"/>
        </w:rPr>
        <w:t xml:space="preserve">6.3  Evidence Capture Flow (1 Tap Away)</w:t>
      </w:r>
    </w:p>
    <w:p>
      <w:pPr>
        <w:spacing w:after="100" w:before="60"/>
      </w:pPr>
      <w:r>
        <w:rPr>
          <w:rFonts w:ascii="Calibri" w:cs="Calibri" w:eastAsia="Calibri" w:hAnsi="Calibri"/>
          <w:color w:val="111827"/>
          <w:sz w:val="22"/>
          <w:szCs w:val="22"/>
        </w:rPr>
        <w:t xml:space="preserve">Evidence capture is the most frequent field action and must be the fastest path in the mobile interface. The design target is: camera open within 1 tap from any screen.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Tap the Evidence Upload tab. Camera opens immediately.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Capture photo (or record voice note, or select file).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Select activity from a short list (pre-filtered to activities assigned to this user and starting within 7 days).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Add optional note (voice-to-text available).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Submit. Evidence is captured and queued for sync.</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Total time from tab tap to submitted evidence: target under 30 seconds.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45309" w:sz="20"/>
              <w:bottom w:val="none"/>
              <w:right w:val="none"/>
            </w:tcBorders>
            <w:shd w:fill="FFFBEB" w:val="clear"/>
            <w:tcMar>
              <w:top w:type="dxa" w:w="160"/>
              <w:left w:type="dxa" w:w="240"/>
              <w:bottom w:type="dxa" w:w="160"/>
              <w:right w:type="dxa" w:w="240"/>
            </w:tcMar>
          </w:tcPr>
          <w:p>
            <w:pPr>
              <w:spacing w:after="60" w:before="60"/>
            </w:pPr>
            <w:r>
              <w:rPr>
                <w:rFonts w:ascii="Calibri" w:cs="Calibri" w:eastAsia="Calibri" w:hAnsi="Calibri"/>
                <w:color w:val="374151"/>
                <w:sz w:val="20"/>
                <w:szCs w:val="20"/>
              </w:rPr>
              <w:t xml:space="preserve">Evidence capture works offline. Items captured without connectivity are stored locally with a SHA-256 hash of the original capture. On connectivity restoration, items sync automatically and the hash is verified against the server-side copy.</w:t>
            </w:r>
          </w:p>
        </w:tc>
      </w:tr>
    </w:tbl>
    <w:p>
      <w:pPr>
        <w:spacing w:after="0" w:before="80"/>
      </w:pPr>
    </w:p>
    <w:p>
      <w:pPr>
        <w:pStyle w:val="Heading2"/>
        <w:spacing w:after="120" w:before="320"/>
      </w:pPr>
      <w:r>
        <w:rPr>
          <w:rFonts w:ascii="Calibri" w:cs="Calibri" w:eastAsia="Calibri" w:hAnsi="Calibri"/>
          <w:b/>
          <w:bCs/>
          <w:color w:val="1A6B3A"/>
          <w:sz w:val="26"/>
          <w:szCs w:val="26"/>
        </w:rPr>
        <w:t xml:space="preserve">6.4  Mobile Navigation Anti-Patterns (What We Avoid)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Never use pinch-zoom as the accessibility solution for dense desktop content. Purpose-build the mobile layout instead.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Never require folder tree navigation for file selection. Pre-filtered lists only.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Never put destructive actions (delete, reject) on swipe gestures. Swipe right = open entity. Destructive actions require tap + confirm dialog.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Never show more than 5 items in a bottom tab bar. Overflow items go in a "More" sheet, not a hamburger menu.</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Never auto-play video or audio in the evidence trail. Tap to play, always.</w:t>
      </w:r>
    </w:p>
    <w:p>
      <w:pPr>
        <w:spacing w:after="0" w:before="80"/>
      </w:pPr>
    </w:p>
    <w:p>
      <w:pPr>
        <w:pStyle w:val="Heading1"/>
        <w:pageBreakBefore/>
        <w:spacing w:after="160" w:before="480"/>
      </w:pPr>
      <w:r>
        <w:rPr>
          <w:rFonts w:ascii="Calibri" w:cs="Calibri" w:eastAsia="Calibri" w:hAnsi="Calibri"/>
          <w:b/>
          <w:bCs/>
          <w:color w:val="0F4D28"/>
          <w:sz w:val="40"/>
          <w:szCs w:val="40"/>
        </w:rPr>
        <w:t xml:space="preserve">7.  Navigation Reference Tables</w:t>
      </w:r>
    </w:p>
    <w:p>
      <w:pPr>
        <w:spacing w:after="100" w:before="60"/>
      </w:pPr>
      <w:r>
        <w:rPr>
          <w:rFonts w:ascii="Calibri" w:cs="Calibri" w:eastAsia="Calibri" w:hAnsi="Calibri"/>
          <w:color w:val="111827"/>
          <w:sz w:val="22"/>
          <w:szCs w:val="22"/>
        </w:rPr>
        <w:t xml:space="preserve">The following four tables summarise the navigation model for quick reference during design reviews and sprint planning.</w:t>
      </w:r>
    </w:p>
    <w:p>
      <w:pPr>
        <w:spacing w:after="0" w:before="80"/>
      </w:pPr>
    </w:p>
    <w:p>
      <w:pPr>
        <w:pStyle w:val="Heading2"/>
        <w:spacing w:after="120" w:before="320"/>
      </w:pPr>
      <w:r>
        <w:rPr>
          <w:rFonts w:ascii="Calibri" w:cs="Calibri" w:eastAsia="Calibri" w:hAnsi="Calibri"/>
          <w:b/>
          <w:bCs/>
          <w:color w:val="1A6B3A"/>
          <w:sz w:val="26"/>
          <w:szCs w:val="26"/>
        </w:rPr>
        <w:t xml:space="preserve">7.1  Navigation Pattern by User Role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rPr>
          <w:tblHeader/>
        </w:trPr>
        <w:tc>
          <w:tcPr>
            <w:tcW w:type="dxa" w:w="15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Role</w:t>
            </w:r>
          </w:p>
        </w:tc>
        <w:tc>
          <w:tcPr>
            <w:tcW w:type="dxa" w:w="2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Landing Page</w:t>
            </w:r>
          </w:p>
        </w:tc>
        <w:tc>
          <w:tcPr>
            <w:tcW w:type="dxa" w:w="2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Primary Use</w:t>
            </w:r>
          </w:p>
        </w:tc>
        <w:tc>
          <w:tcPr>
            <w:tcW w:type="dxa" w:w="28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Top 3 Actions</w:t>
            </w:r>
          </w:p>
        </w:tc>
      </w:tr>
      <w:tr>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PM / Project Engineer</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list (WBS tree)</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Schedule monitoring, evidence review, change management</w:t>
            </w:r>
          </w:p>
        </w:tc>
        <w:tc>
          <w:tcPr>
            <w:tcW w:type="dxa" w:w="2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Update activity evidence score  ·  Open Change Workspace  ·  Run simulation</w:t>
            </w:r>
          </w:p>
        </w:tc>
      </w:tr>
      <w:tr>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Project Director</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Project Command Centre</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Executive overview, decision making, portfolio health</w:t>
            </w:r>
          </w:p>
        </w:tc>
        <w:tc>
          <w:tcPr>
            <w:tcW w:type="dxa" w:w="2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Review Required Decisions  ·  Open readiness gate  ·  Confirm coordination item</w:t>
            </w:r>
          </w:p>
        </w:tc>
      </w:tr>
      <w:tr>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Site Engineer</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My Work (task queue)</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capture, coordination item execution, alert response</w:t>
            </w:r>
          </w:p>
        </w:tc>
        <w:tc>
          <w:tcPr>
            <w:tcW w:type="dxa" w:w="2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Submit evidence (camera)  ·  Confirm coordination item  ·  Open activity workspace</w:t>
            </w:r>
          </w:p>
        </w:tc>
      </w:tr>
      <w:tr>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Safety Officer</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My Work (safety view)</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Safety evidence, NCR management, inspection records</w:t>
            </w:r>
          </w:p>
        </w:tc>
        <w:tc>
          <w:tcPr>
            <w:tcW w:type="dxa" w:w="2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Capture safety evidence  ·  Raise NCR  ·  View inspection schedule</w:t>
            </w:r>
          </w:p>
        </w:tc>
      </w:tr>
      <w:tr>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Document Controller</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 register</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 review, revision management, consistency checking</w:t>
            </w:r>
          </w:p>
        </w:tc>
        <w:tc>
          <w:tcPr>
            <w:tcW w:type="dxa" w:w="2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Process drawing revision  ·  Check consistency alerts  ·  Update distribution list</w:t>
            </w:r>
          </w:p>
        </w:tc>
      </w:tr>
      <w:tr>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Commercial Manager</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register</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performance, change tracking, payment certification</w:t>
            </w:r>
          </w:p>
        </w:tc>
        <w:tc>
          <w:tcPr>
            <w:tcW w:type="dxa" w:w="2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Review vendor scores  ·  Certify payment  ·  Open change workspace</w:t>
            </w:r>
          </w:p>
        </w:tc>
      </w:tr>
      <w:tr>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Planner / Scheduler</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list (Gantt)</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Schedule planning, baseline management, critical path analysis</w:t>
            </w:r>
          </w:p>
        </w:tc>
        <w:tc>
          <w:tcPr>
            <w:tcW w:type="dxa" w:w="2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Update activity dates  ·  Run simulation  ·  View float analysis</w:t>
            </w:r>
          </w:p>
        </w:tc>
      </w:tr>
      <w:tr>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Portal User</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Workspace</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Deliverable submission, dispatch tracking, NCR response</w:t>
            </w:r>
          </w:p>
        </w:tc>
        <w:tc>
          <w:tcPr>
            <w:tcW w:type="dxa" w:w="2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Submit deliverable  ·  Update dispatch status  ·  Respond to NCR</w:t>
            </w:r>
          </w:p>
        </w:tc>
      </w:tr>
      <w:tr>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Commissioning Manager</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list (Comm.)</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Commissioning activities, readiness gates, punch lists</w:t>
            </w:r>
          </w:p>
        </w:tc>
        <w:tc>
          <w:tcPr>
            <w:tcW w:type="dxa" w:w="2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Update commissioning status  ·  Clear punch list item  ·  Check COD readiness</w:t>
            </w:r>
          </w:p>
        </w:tc>
      </w:tr>
      <w:tr>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Admin / Studio User</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 PM Studio</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Platform configuration, user management, integration setup</w:t>
            </w:r>
          </w:p>
        </w:tc>
        <w:tc>
          <w:tcPr>
            <w:tcW w:type="dxa" w:w="2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Configure gate model  ·  Manage users  ·  Update integration settings</w:t>
            </w:r>
          </w:p>
        </w:tc>
      </w:tr>
    </w:tbl>
    <w:p>
      <w:pPr>
        <w:spacing w:after="0" w:before="80"/>
      </w:pPr>
    </w:p>
    <w:p>
      <w:pPr>
        <w:pStyle w:val="Heading2"/>
        <w:spacing w:after="120" w:before="320"/>
      </w:pPr>
      <w:r>
        <w:rPr>
          <w:rFonts w:ascii="Calibri" w:cs="Calibri" w:eastAsia="Calibri" w:hAnsi="Calibri"/>
          <w:b/>
          <w:bCs/>
          <w:color w:val="1A6B3A"/>
          <w:sz w:val="26"/>
          <w:szCs w:val="26"/>
        </w:rPr>
        <w:t xml:space="preserve">7.2  ⌘K Command Palette Reference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rPr>
          <w:tblHeader/>
        </w:trPr>
        <w:tc>
          <w:tcPr>
            <w:tcW w:type="dxa" w:w="3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Command</w:t>
            </w:r>
          </w:p>
        </w:tc>
        <w:tc>
          <w:tcPr>
            <w:tcW w:type="dxa" w:w="13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Shortcut / Trigger</w:t>
            </w:r>
          </w:p>
        </w:tc>
        <w:tc>
          <w:tcPr>
            <w:tcW w:type="dxa" w:w="5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What it opens</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 Activity Workspace</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⌘K, type activity name or ID</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Workspace for the matched activity</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 Drawing Workspace</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⌘K, type drawing number</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 Workspace for the matched drawing</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 Equipment Workspace</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⌘K, type tag number</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 Workspace for the matched equipment</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 Vendor Workspace</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⌘K, type vendor name</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Workspace for the matched vendor</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 Risk Workspace</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⌘K, type risk ID or keyword</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 Workspace for the matched risk</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 Change Workspace</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⌘K, type change number</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 Workspace for the matched change</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 Decision Workspace</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⌘K, type decision keyword</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Workspace for the matched decision</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Run simulation (What if...)</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/sim</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Simulation Engine configurator, pre-loaded with current project context</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Ask Green PM (AI Copilot)</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/ask or ⌘⇧A</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AI Copilot bottom sheet, with current entity as context if in a workspace</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Create Change Request</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New Change Request form, pre-populated from current entity context if available</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Create Decision</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/decide</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New Decision record form</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Create Risk</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New Risk record form with Monte Carlo configurator</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Create Action Item</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/action</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New Action Item form, assignable to any user on the project</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Create Coordination Item</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New Coordination Item form</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Quick report: Week summary</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 week</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Generates and opens weekly status report in the report builder</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Quick report: Gate readiness</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 gate</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Generates readiness gate report for the current gate</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Quick report: Vendor performance</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 vendor</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Generates vendor performance snapshot for all active vendors</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 Drawing register</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/drawings</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 register with default filters</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 Risk register</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/risks</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 register with heat map summary</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 Vendor register</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/vendors</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register with performance score view</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 My Work</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/mywork or ⌘⇧M</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My Work queue for the current user</w:t>
            </w:r>
          </w:p>
        </w:tc>
      </w:tr>
      <w:tr>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 Project Command Centre</w:t>
            </w:r>
          </w:p>
        </w:tc>
        <w:tc>
          <w:tcPr>
            <w:tcW w:type="dxa" w:w="136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/pcc or ⌘⇧H</w:t>
            </w:r>
          </w:p>
        </w:tc>
        <w:tc>
          <w:tcPr>
            <w:tcW w:type="dxa" w:w="500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Project Command Centre (Executive Digital Twin)</w:t>
            </w:r>
          </w:p>
        </w:tc>
      </w:tr>
      <w:tr>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 Green PM Studio</w:t>
            </w:r>
          </w:p>
        </w:tc>
        <w:tc>
          <w:tcPr>
            <w:tcW w:type="dxa" w:w="136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/studio</w:t>
            </w:r>
          </w:p>
        </w:tc>
        <w:tc>
          <w:tcPr>
            <w:tcW w:type="dxa" w:w="500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 PM Studio (admin users only)</w:t>
            </w:r>
          </w:p>
        </w:tc>
      </w:tr>
    </w:tbl>
    <w:p>
      <w:pPr>
        <w:spacing w:after="0" w:before="80"/>
      </w:pPr>
    </w:p>
    <w:p>
      <w:pPr>
        <w:pStyle w:val="Heading2"/>
        <w:spacing w:after="120" w:before="320"/>
      </w:pPr>
      <w:r>
        <w:rPr>
          <w:rFonts w:ascii="Calibri" w:cs="Calibri" w:eastAsia="Calibri" w:hAnsi="Calibri"/>
          <w:b/>
          <w:bCs/>
          <w:color w:val="1A6B3A"/>
          <w:sz w:val="26"/>
          <w:szCs w:val="26"/>
        </w:rPr>
        <w:t xml:space="preserve">7.3  Entity Workspace Panels by Type</w:t>
      </w:r>
    </w:p>
    <w:p>
      <w:pPr>
        <w:spacing w:after="100" w:before="60"/>
      </w:pPr>
      <w:r>
        <w:rPr>
          <w:rFonts w:ascii="Calibri" w:cs="Calibri" w:eastAsia="Calibri" w:hAnsi="Calibri"/>
          <w:color w:val="111827"/>
          <w:sz w:val="22"/>
          <w:szCs w:val="22"/>
        </w:rPr>
        <w:t xml:space="preserve">The following table shows the five primary panels for each of the 10 entity workspace types. All workspaces additionally include a Coordination Items panel and an Audit Trail panel (not shown here for space).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rPr>
          <w:tblHeader/>
        </w:trPr>
        <w:tc>
          <w:tcPr>
            <w:tcW w:type="dxa" w:w="1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Workspace Type</w:t>
            </w:r>
          </w:p>
        </w:tc>
        <w:tc>
          <w:tcPr>
            <w:tcW w:type="dxa" w:w="1512"/>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Panel 1</w:t>
            </w:r>
          </w:p>
        </w:tc>
        <w:tc>
          <w:tcPr>
            <w:tcW w:type="dxa" w:w="1512"/>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Panel 2</w:t>
            </w:r>
          </w:p>
        </w:tc>
        <w:tc>
          <w:tcPr>
            <w:tcW w:type="dxa" w:w="1512"/>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Panel 3</w:t>
            </w:r>
          </w:p>
        </w:tc>
        <w:tc>
          <w:tcPr>
            <w:tcW w:type="dxa" w:w="1512"/>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Panel 4</w:t>
            </w:r>
          </w:p>
        </w:tc>
        <w:tc>
          <w:tcPr>
            <w:tcW w:type="dxa" w:w="1512"/>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Panel 5</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Schedule position + float</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trail</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Risks &amp; changes</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 requirements</w:t>
            </w:r>
          </w:p>
        </w:tc>
        <w:tc>
          <w:tcPr>
            <w:tcW w:type="dxa" w:w="1512"/>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dependencies + readiness</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Current revision + history</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Impacted activities</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RFI log</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Consistency alerts</w:t>
            </w:r>
          </w:p>
        </w:tc>
        <w:tc>
          <w:tcPr>
            <w:tcW w:type="dxa" w:w="1512"/>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Approval chain + distribution</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Design spec + PO details</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&amp; FAT status</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Shipment tracker</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Installation activity</w:t>
            </w:r>
          </w:p>
        </w:tc>
        <w:tc>
          <w:tcPr>
            <w:tcW w:type="dxa" w:w="1512"/>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Commissioning activities + QA</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Performance scores (6D)</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deliverables</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Contract milestones</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NCRs + correspondence</w:t>
            </w:r>
          </w:p>
        </w:tc>
        <w:tc>
          <w:tcPr>
            <w:tcW w:type="dxa" w:w="1512"/>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Payment status + dispatch schedule</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Originating event</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Impact assessment</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Affected activities</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Approval chain</w:t>
            </w:r>
          </w:p>
        </w:tc>
        <w:tc>
          <w:tcPr>
            <w:tcW w:type="dxa" w:w="1512"/>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Cost + schedule delta</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 record + options</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basis</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Approval chain</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Implementation tracking</w:t>
            </w:r>
          </w:p>
        </w:tc>
        <w:tc>
          <w:tcPr>
            <w:tcW w:type="dxa" w:w="1512"/>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Institutional memory links</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 description + matrix</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Mitigation plan</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Trigger indicators</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Linked activities + changes</w:t>
            </w:r>
          </w:p>
        </w:tc>
        <w:tc>
          <w:tcPr>
            <w:tcW w:type="dxa" w:w="1512"/>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Historical similar risks (Memory Engine)</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Shipment</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Material description + PO</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 dispatch date</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Current location + ETA</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Inspection status</w:t>
            </w:r>
          </w:p>
        </w:tc>
        <w:tc>
          <w:tcPr>
            <w:tcW w:type="dxa" w:w="1512"/>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Receiving confirmation + storage</w:t>
            </w:r>
          </w:p>
        </w:tc>
      </w:tr>
      <w:tr>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Package</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 items in package</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Procurement status</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 requirements</w:t>
            </w:r>
          </w:p>
        </w:tc>
        <w:tc>
          <w:tcPr>
            <w:tcW w:type="dxa" w:w="1512"/>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MTO status</w:t>
            </w:r>
          </w:p>
        </w:tc>
        <w:tc>
          <w:tcPr>
            <w:tcW w:type="dxa" w:w="1512"/>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assignment</w:t>
            </w:r>
          </w:p>
        </w:tc>
      </w:tr>
      <w:tr>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WBS Element</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activities in element</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Progress + cost rollup</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score rollup</w:t>
            </w:r>
          </w:p>
        </w:tc>
        <w:tc>
          <w:tcPr>
            <w:tcW w:type="dxa" w:w="1512"/>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 exposure</w:t>
            </w:r>
          </w:p>
        </w:tc>
        <w:tc>
          <w:tcPr>
            <w:tcW w:type="dxa" w:w="1512"/>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 status across gates</w:t>
            </w:r>
          </w:p>
        </w:tc>
      </w:tr>
    </w:tbl>
    <w:p>
      <w:pPr>
        <w:spacing w:after="0" w:before="80"/>
      </w:pPr>
    </w:p>
    <w:p>
      <w:pPr>
        <w:pStyle w:val="Heading2"/>
        <w:spacing w:after="120" w:before="320"/>
      </w:pPr>
      <w:r>
        <w:rPr>
          <w:rFonts w:ascii="Calibri" w:cs="Calibri" w:eastAsia="Calibri" w:hAnsi="Calibri"/>
          <w:b/>
          <w:bCs/>
          <w:color w:val="1A6B3A"/>
          <w:sz w:val="26"/>
          <w:szCs w:val="26"/>
        </w:rPr>
        <w:t xml:space="preserve">7.4  Navigation Depth Analysis — v4 vs v5</w:t>
      </w:r>
    </w:p>
    <w:p>
      <w:pPr>
        <w:spacing w:after="100" w:before="60"/>
      </w:pPr>
      <w:r>
        <w:rPr>
          <w:rFonts w:ascii="Calibri" w:cs="Calibri" w:eastAsia="Calibri" w:hAnsi="Calibri"/>
          <w:color w:val="111827"/>
          <w:sz w:val="22"/>
          <w:szCs w:val="22"/>
        </w:rPr>
        <w:t xml:space="preserve">The following table compares the number of taps/clicks required to reach key destinations in v4 (module-based) vs v5 (entity workspace-based). Improvements are calculated from the application home screen.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1520"/>
        <w:gridCol w:w="3520"/>
      </w:tblGrid>
      <w:tr>
        <w:trPr>
          <w:tblHeader/>
        </w:trPr>
        <w:tc>
          <w:tcPr>
            <w:tcW w:type="dxa" w:w="2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Navigation Destination</w:t>
            </w:r>
          </w:p>
        </w:tc>
        <w:tc>
          <w:tcPr>
            <w:tcW w:type="dxa" w:w="152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v5 Taps</w:t>
            </w:r>
          </w:p>
        </w:tc>
        <w:tc>
          <w:tcPr>
            <w:tcW w:type="dxa" w:w="152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v4 Taps</w:t>
            </w:r>
          </w:p>
        </w:tc>
        <w:tc>
          <w:tcPr>
            <w:tcW w:type="dxa" w:w="352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Improvement</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evidence trail</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4</w:t>
            </w:r>
          </w:p>
        </w:tc>
        <w:tc>
          <w:tcPr>
            <w:tcW w:type="dxa" w:w="35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75% reduction. v4: Home &gt; Schedule module &gt; Activity list &gt; Activity detail &gt; Evidence tab. v5: ⌘K, type activity name, open workspace.</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 commissioning status</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5</w:t>
            </w:r>
          </w:p>
        </w:tc>
        <w:tc>
          <w:tcPr>
            <w:tcW w:type="dxa" w:w="35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80% reduction. v4: Home &gt; Equipment module &gt; Equipment list &gt; Equipment detail &gt; Commissioning tab &gt; Status. v5: ⌘K, tag number.</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performance score breakdown</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4</w:t>
            </w:r>
          </w:p>
        </w:tc>
        <w:tc>
          <w:tcPr>
            <w:tcW w:type="dxa" w:w="35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75% reduction. v4: Home &gt; Vendors module &gt; Vendor list &gt; Vendor detail &gt; Performance tab. v5: ⌘K, vendor name.</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 consistency alert detail</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w:t>
            </w:r>
          </w:p>
        </w:tc>
        <w:tc>
          <w:tcPr>
            <w:tcW w:type="dxa" w:w="35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67% reduction. v4: Home &gt; Drawings &gt; Drawing list &gt; Drawing detail &gt; Alerts tab &gt; Alert detail. v5: ⌘K drawing, Consistency panel, click alert.</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 request impact on schedule</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5</w:t>
            </w:r>
          </w:p>
        </w:tc>
        <w:tc>
          <w:tcPr>
            <w:tcW w:type="dxa" w:w="35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60% reduction. v4: Home &gt; Changes &gt; Change list &gt; Change detail &gt; Impact tab &gt; Schedule. v5: Open Change Workspace (1 click), Impact panel.</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 Monte Carlo result</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5</w:t>
            </w:r>
          </w:p>
        </w:tc>
        <w:tc>
          <w:tcPr>
            <w:tcW w:type="dxa" w:w="35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60% reduction. v4: Home &gt; Risks &gt; Risk list &gt; Risk detail &gt; Quantification tab &gt; Monte Carlo. v5: Open Risk Workspace, Risk Quantification panel.</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Submit field evidence (mobile)</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4</w:t>
            </w:r>
          </w:p>
        </w:tc>
        <w:tc>
          <w:tcPr>
            <w:tcW w:type="dxa" w:w="35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75% reduction. v4: Home &gt; Evidence module &gt; Submit &gt; Select project &gt; Select activity &gt; Camera. v5: Bottom tab Evidence Upload &gt; Camera.</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Create simulation (What if)</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4</w:t>
            </w:r>
          </w:p>
        </w:tc>
        <w:tc>
          <w:tcPr>
            <w:tcW w:type="dxa" w:w="35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75% reduction. v4: Home &gt; Planning &gt; Scenarios &gt; New scenario &gt; Configure &gt; Run. v5: ⌘K /sim.</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View readiness gate blockers</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2</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5</w:t>
            </w:r>
          </w:p>
        </w:tc>
        <w:tc>
          <w:tcPr>
            <w:tcW w:type="dxa" w:w="35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60% reduction. v4: Home &gt; Gate management &gt; Gate list &gt; Gate detail &gt; Blockers tab. v5: Project Command Centre &gt; Readiness panel &gt; Gate.</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Confirm coordination item</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w:t>
            </w:r>
          </w:p>
        </w:tc>
        <w:tc>
          <w:tcPr>
            <w:tcW w:type="dxa" w:w="35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67% reduction. v4: Notifications &gt; Item &gt; Detail &gt; Confirm. v5: My Work (landing) &gt; Item &gt; Confirm.</w:t>
            </w:r>
          </w:p>
        </w:tc>
      </w:tr>
      <w:tr>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Ask Green PM about current entity</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4</w:t>
            </w:r>
          </w:p>
        </w:tc>
        <w:tc>
          <w:tcPr>
            <w:tcW w:type="dxa" w:w="352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75% reduction. v4: Home &gt; GreenflIQ &gt; Enter context &gt; Ask. v5: ⌘K /ask (context auto-populated from current workspace).</w:t>
            </w:r>
          </w:p>
        </w:tc>
      </w:tr>
      <w:tr>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Open weekly status report</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152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w:t>
            </w:r>
          </w:p>
        </w:tc>
        <w:tc>
          <w:tcPr>
            <w:tcW w:type="dxa" w:w="352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67% reduction. v4: Reports &gt; Report list &gt; Weekly status &gt; Open. v5: ⌘K /report week.</w:t>
            </w:r>
          </w:p>
        </w:tc>
      </w:tr>
    </w:tbl>
    <w:p>
      <w:pPr>
        <w:spacing w:after="0" w:before="80"/>
      </w:pPr>
    </w:p>
    <w:p>
      <w:pPr>
        <w:pStyle w:val="Heading1"/>
        <w:pageBreakBefore/>
        <w:spacing w:after="160" w:before="480"/>
      </w:pPr>
      <w:r>
        <w:rPr>
          <w:rFonts w:ascii="Calibri" w:cs="Calibri" w:eastAsia="Calibri" w:hAnsi="Calibri"/>
          <w:b/>
          <w:bCs/>
          <w:color w:val="0F4D28"/>
          <w:sz w:val="40"/>
          <w:szCs w:val="40"/>
        </w:rPr>
        <w:t xml:space="preserve">8.  Navigation Anti-Patterns</w:t>
      </w:r>
    </w:p>
    <w:p>
      <w:pPr>
        <w:spacing w:after="100" w:before="60"/>
      </w:pPr>
      <w:r>
        <w:rPr>
          <w:rFonts w:ascii="Calibri" w:cs="Calibri" w:eastAsia="Calibri" w:hAnsi="Calibri"/>
          <w:color w:val="111827"/>
          <w:sz w:val="22"/>
          <w:szCs w:val="22"/>
        </w:rPr>
        <w:t xml:space="preserve">The following anti-patterns are explicitly prohibited in Green PM v5 navigation design. Each has appeared in earlier versions or in competitive analysis, and each has been identified as a navigation failure that reduces platform adoption.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Anti-Pattern</w:t>
            </w:r>
          </w:p>
        </w:tc>
        <w:tc>
          <w:tcPr>
            <w:tcW w:type="dxa" w:w="57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Why it is prohibited in v5</w:t>
            </w:r>
          </w:p>
        </w:tc>
      </w:tr>
      <w:tr>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Module-centric navigation for entity lookups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Never require a user to navigate to the Drawings module to look up a drawing if they already know the drawing number. The ⌘K palette and deep links remove this requirement. Module registers exist for exploration, not for lookups.</w:t>
            </w:r>
          </w:p>
        </w:tc>
      </w:tr>
      <w:tr>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Breaking entity context on back-navigation</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Pressing browser Back while in an Entity Workspace should return to the previous entity workspace, not to a module register. Navigation history must reflect entity traversal, not URL path structure.</w:t>
            </w:r>
          </w:p>
        </w:tc>
      </w:tr>
      <w:tr>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Nesting entity workspaces more than 3 levels deep in breadcrumb</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 breadcrumb deeper than Project &gt; Entity A &gt; Entity B &gt; Entity C (3 entity levels) indicates a navigation design problem. The PIG shows relationships in-panel; it does not require navigating deep chains of entity workspaces.</w:t>
            </w:r>
          </w:p>
        </w:tc>
      </w:tr>
      <w:tr>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Using swipe to trigger destructive actions</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Swipe left/right on mobile is reserved for opening entity detail. Destructive actions (delete, reject, void) require an explicit tap + confirmation dialog. This prevents accidental destructive actions in field conditions.</w:t>
            </w:r>
          </w:p>
        </w:tc>
      </w:tr>
      <w:tr>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Showing the full entity workspace as a modal or drawer</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Entity workspaces are full-page navigations. They are never shown as modals, drawers, or side panels. A modal cannot contain the full depth of content an entity workspace requires.</w:t>
            </w:r>
          </w:p>
        </w:tc>
      </w:tr>
      <w:tr>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Login-required navigation for vendor portal deep links</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 vendor who receives a link to a specific deliverable in their workspace should land on that deliverable after authentication, not on the portal home screen. Deep links must be honoured after login.</w:t>
            </w:r>
          </w:p>
        </w:tc>
      </w:tr>
      <w:tr>
        <w:tc>
          <w:tcPr>
            <w:tcW w:type="dxa" w:w="3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Navigation states that are not URL-addressable</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Every navigation state (including which workspace panel is active) must be URL-addressable so it can be linked, bookmarked, and shared. Tabs, panels, and filter states must be reflected in the URL.</w:t>
            </w:r>
          </w:p>
        </w:tc>
      </w:tr>
      <w:tr>
        <w:tc>
          <w:tcPr>
            <w:tcW w:type="dxa" w:w="3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Hiding the ⌘K palette behind a specific route</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The ⌘K palette is available on every screen, including within entity workspaces. It is never hidden by the current route, current panel, or current modal state.</w:t>
            </w:r>
          </w:p>
        </w:tc>
      </w:tr>
    </w:tbl>
    <w:p>
      <w:pPr>
        <w:spacing w:after="0" w:before="80"/>
      </w:pPr>
    </w:p>
    <w:p>
      <w:pPr>
        <w:pStyle w:val="Heading1"/>
        <w:pageBreakBefore/>
        <w:spacing w:after="160" w:before="480"/>
      </w:pPr>
      <w:r>
        <w:rPr>
          <w:rFonts w:ascii="Calibri" w:cs="Calibri" w:eastAsia="Calibri" w:hAnsi="Calibri"/>
          <w:b/>
          <w:bCs/>
          <w:color w:val="0F4D28"/>
          <w:sz w:val="40"/>
          <w:szCs w:val="40"/>
        </w:rPr>
        <w:t xml:space="preserve">9.  URL Structure and Deep Linking</w:t>
      </w:r>
    </w:p>
    <w:p>
      <w:pPr>
        <w:spacing w:after="100" w:before="60"/>
      </w:pPr>
      <w:r>
        <w:rPr>
          <w:rFonts w:ascii="Calibri" w:cs="Calibri" w:eastAsia="Calibri" w:hAnsi="Calibri"/>
          <w:color w:val="111827"/>
          <w:sz w:val="22"/>
          <w:szCs w:val="22"/>
        </w:rPr>
        <w:t xml:space="preserve">Every navigation destination in Green PM v5 has a stable, shareable URL. URLs follow a consistent entity-first pattern. Search parameters carry panel state (which panel is active) and filter state. All URLs are tenant-scoped.</w:t>
      </w:r>
    </w:p>
    <w:p>
      <w:pPr>
        <w:spacing w:after="0" w:before="80"/>
      </w:pPr>
    </w:p>
    <w:p>
      <w:pPr>
        <w:pStyle w:val="Heading2"/>
        <w:spacing w:after="120" w:before="320"/>
      </w:pPr>
      <w:r>
        <w:rPr>
          <w:rFonts w:ascii="Calibri" w:cs="Calibri" w:eastAsia="Calibri" w:hAnsi="Calibri"/>
          <w:b/>
          <w:bCs/>
          <w:color w:val="1A6B3A"/>
          <w:sz w:val="26"/>
          <w:szCs w:val="26"/>
        </w:rPr>
        <w:t xml:space="preserve">9.1  URL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F766E" w:sz="20"/>
              <w:bottom w:val="none"/>
              <w:right w:val="none"/>
            </w:tcBorders>
            <w:shd w:fill="E6FAF8" w:val="clear"/>
            <w:tcMar>
              <w:top w:type="dxa" w:w="160"/>
              <w:left w:type="dxa" w:w="240"/>
              <w:bottom w:type="dxa" w:w="160"/>
              <w:right w:type="dxa" w:w="240"/>
            </w:tcMar>
          </w:tcPr>
          <w:p>
            <w:pPr>
              <w:spacing w:after="20" w:before="60"/>
            </w:pPr>
            <w:r>
              <w:rPr>
                <w:rFonts w:ascii="Calibri" w:cs="Calibri" w:eastAsia="Calibri" w:hAnsi="Calibri"/>
                <w:b/>
                <w:bCs/>
                <w:color w:val="0F766E"/>
                <w:sz w:val="21"/>
                <w:szCs w:val="21"/>
              </w:rPr>
              <w:t xml:space="preserve">URL Pattern Examples</w:t>
            </w:r>
          </w:p>
          <w:p>
            <w:pPr>
              <w:spacing w:after="10" w:before="20"/>
            </w:pPr>
            <w:r>
              <w:rPr>
                <w:rFonts w:ascii="Calibri" w:cs="Calibri" w:eastAsia="Calibri" w:hAnsi="Calibri"/>
                <w:color w:val="111827"/>
                <w:sz w:val="20"/>
                <w:szCs w:val="20"/>
              </w:rPr>
              <w:t xml:space="preserve">Register:   /projects/{project_id}/activities</w:t>
            </w:r>
          </w:p>
          <w:p>
            <w:pPr>
              <w:spacing w:after="10" w:before="10"/>
            </w:pPr>
            <w:r>
              <w:rPr>
                <w:rFonts w:ascii="Calibri" w:cs="Calibri" w:eastAsia="Calibri" w:hAnsi="Calibri"/>
                <w:color w:val="111827"/>
                <w:sz w:val="20"/>
                <w:szCs w:val="20"/>
              </w:rPr>
              <w:t xml:space="preserve">Workspace:  /projects/{project_id}/activities/{activity_id}</w:t>
            </w:r>
          </w:p>
          <w:p>
            <w:pPr>
              <w:spacing w:after="10" w:before="10"/>
            </w:pPr>
            <w:r>
              <w:rPr>
                <w:rFonts w:ascii="Calibri" w:cs="Calibri" w:eastAsia="Calibri" w:hAnsi="Calibri"/>
                <w:color w:val="111827"/>
                <w:sz w:val="20"/>
                <w:szCs w:val="20"/>
              </w:rPr>
              <w:t xml:space="preserve">With panel: /projects/{project_id}/activities/{activity_id}?panel=evidence</w:t>
            </w:r>
          </w:p>
          <w:p>
            <w:pPr>
              <w:spacing w:after="10" w:before="10"/>
            </w:pPr>
            <w:r>
              <w:rPr>
                <w:rFonts w:ascii="Calibri" w:cs="Calibri" w:eastAsia="Calibri" w:hAnsi="Calibri"/>
                <w:color w:val="111827"/>
                <w:sz w:val="20"/>
                <w:szCs w:val="20"/>
              </w:rPr>
              <w:t xml:space="preserve">Drawing:    /projects/{project_id}/drawings/{drawing_id}</w:t>
            </w:r>
          </w:p>
          <w:p>
            <w:pPr>
              <w:spacing w:after="10" w:before="10"/>
            </w:pPr>
            <w:r>
              <w:rPr>
                <w:rFonts w:ascii="Calibri" w:cs="Calibri" w:eastAsia="Calibri" w:hAnsi="Calibri"/>
                <w:color w:val="111827"/>
                <w:sz w:val="20"/>
                <w:szCs w:val="20"/>
              </w:rPr>
              <w:t xml:space="preserve">Equipment:  /projects/{project_id}/equipment/{equipment_id}</w:t>
            </w:r>
          </w:p>
          <w:p>
            <w:pPr>
              <w:spacing w:after="10" w:before="10"/>
            </w:pPr>
            <w:r>
              <w:rPr>
                <w:rFonts w:ascii="Calibri" w:cs="Calibri" w:eastAsia="Calibri" w:hAnsi="Calibri"/>
                <w:color w:val="111827"/>
                <w:sz w:val="20"/>
                <w:szCs w:val="20"/>
              </w:rPr>
              <w:t xml:space="preserve">Vendor:     /projects/{project_id}/vendors/{vendor_id}</w:t>
            </w:r>
          </w:p>
          <w:p>
            <w:pPr>
              <w:spacing w:after="10" w:before="10"/>
            </w:pPr>
            <w:r>
              <w:rPr>
                <w:rFonts w:ascii="Calibri" w:cs="Calibri" w:eastAsia="Calibri" w:hAnsi="Calibri"/>
                <w:color w:val="111827"/>
                <w:sz w:val="20"/>
                <w:szCs w:val="20"/>
              </w:rPr>
              <w:t xml:space="preserve">Simulation: /projects/{project_id}/simulations/{scenario_id}</w:t>
            </w:r>
          </w:p>
          <w:p>
            <w:pPr>
              <w:spacing w:after="60" w:before="10"/>
            </w:pPr>
            <w:r>
              <w:rPr>
                <w:rFonts w:ascii="Calibri" w:cs="Calibri" w:eastAsia="Calibri" w:hAnsi="Calibri"/>
                <w:color w:val="111827"/>
                <w:sz w:val="20"/>
                <w:szCs w:val="20"/>
              </w:rPr>
              <w:t xml:space="preserve">Command Centre: /projects/{project_id}/command-centre</w:t>
            </w:r>
          </w:p>
        </w:tc>
      </w:tr>
    </w:tbl>
    <w:p>
      <w:pPr>
        <w:spacing w:after="0" w:before="80"/>
      </w:pPr>
    </w:p>
    <w:p>
      <w:pPr>
        <w:pStyle w:val="Heading2"/>
        <w:spacing w:after="120" w:before="320"/>
      </w:pPr>
      <w:r>
        <w:rPr>
          <w:rFonts w:ascii="Calibri" w:cs="Calibri" w:eastAsia="Calibri" w:hAnsi="Calibri"/>
          <w:b/>
          <w:bCs/>
          <w:color w:val="1A6B3A"/>
          <w:sz w:val="26"/>
          <w:szCs w:val="26"/>
        </w:rPr>
        <w:t xml:space="preserve">9.2  Deep Link Rules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entity workspace URLs are valid deep links. A URL shared in a message, email, or AI Copilot response opens directly to the referenced entity after authentication.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Cross-tenant URLs return 404 (P18: Wrong-tenant = 404). The response never reveals that the resource exists.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URLs with ?panel= parameter open the workspace with the specified panel pre-selected.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URL state is maintained during within-workspace navigation. The browser Back/Forward buttons navigate between entity workspaces, not between panels within a workspace.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Vendor portal users accessing a URL outside their scope (a different vendor's workspace, or any project-level register) receive a 404, not a 403.</w:t>
      </w:r>
    </w:p>
    <w:p>
      <w:pPr>
        <w:spacing w:after="0" w:before="80"/>
      </w:pPr>
    </w:p>
    <w:p>
      <w:pPr>
        <w:spacing w:after="0" w:before="160"/>
      </w:pPr>
    </w:p>
    <w:p>
      <w:pPr>
        <w:pBdr>
          <w:bottom w:val="single" w:color="E5E7EB" w:sz="4"/>
        </w:pBdr>
        <w:spacing w:after="200" w:before="200"/>
      </w:pPr>
    </w:p>
    <w:p>
      <w:pPr>
        <w:spacing w:after="0" w:before="240"/>
        <w:jc w:val="center"/>
      </w:pPr>
      <w:r>
        <w:rPr>
          <w:rFonts w:ascii="Calibri" w:cs="Calibri" w:eastAsia="Calibri" w:hAnsi="Calibri"/>
          <w:color w:val="6B7280"/>
          <w:sz w:val="18"/>
          <w:szCs w:val="18"/>
        </w:rPr>
        <w:t xml:space="preserve">Green PM  ·  Navigation Model  ·  Version 5.0  ·  August 2026</w:t>
      </w:r>
    </w:p>
    <w:p>
      <w:pPr>
        <w:spacing w:after="0" w:before="40"/>
        <w:jc w:val="center"/>
      </w:pPr>
      <w:r>
        <w:rPr>
          <w:rFonts w:ascii="Calibri" w:cs="Calibri" w:eastAsia="Calibri" w:hAnsi="Calibri"/>
          <w:color w:val="9CA3AF"/>
          <w:sz w:val="16"/>
          <w:szCs w:val="16"/>
        </w:rPr>
        <w:t xml:space="preserve">The shift from module-centric to entity-centric navigation is the defining UX decision of v5. Every navigation design must be tested against this model.</w:t>
      </w:r>
    </w:p>
    <w:p>
      <w:pPr>
        <w:spacing w:after="0" w:before="20"/>
        <w:jc w:val="center"/>
      </w:pPr>
      <w:r>
        <w:rPr>
          <w:rFonts w:ascii="Calibri" w:cs="Calibri" w:eastAsia="Calibri" w:hAnsi="Calibri"/>
          <w:color w:val="9CA3AF"/>
          <w:sz w:val="16"/>
          <w:szCs w:val="16"/>
        </w:rPr>
        <w:t xml:space="preserve">Hard rule: every navigation destination must have a stable, deep-linkable URL. No modals, no drawers, no panels as full destinations.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v5.0 — Navigation Model</dc:title>
  <dc:creator>Green PM Product Team</dc:creator>
  <cp:lastModifiedBy>Un-named</cp:lastModifiedBy>
  <cp:revision>1</cp:revision>
  <dcterms:created xsi:type="dcterms:W3CDTF">2026-08-03T11:11:10.048Z</dcterms:created>
  <dcterms:modified xsi:type="dcterms:W3CDTF">2026-08-03T11:11:10.050Z</dcterms:modified>
</cp:coreProperties>
</file>

<file path=docProps/custom.xml><?xml version="1.0" encoding="utf-8"?>
<Properties xmlns="http://schemas.openxmlformats.org/officeDocument/2006/custom-properties" xmlns:vt="http://schemas.openxmlformats.org/officeDocument/2006/docPropsVTypes"/>
</file>