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40" w:before="40"/>
        <w:jc w:val="center"/>
      </w:pPr>
      <w:r>
        <w:rPr>
          <w:rFonts w:ascii="Calibri" w:cs="Calibri" w:eastAsia="Calibri" w:hAnsi="Calibri"/>
          <w:b/>
          <w:bCs/>
          <w:color w:val="0F4D28"/>
          <w:sz w:val="88"/>
          <w:szCs w:val="88"/>
        </w:rPr>
        <w:t xml:space="preserve">GREEN PM</w:t>
      </w:r>
    </w:p>
    <w:p>
      <w:pPr>
        <w:spacing w:after="40" w:before="40"/>
        <w:jc w:val="center"/>
      </w:pPr>
      <w:r>
        <w:rPr>
          <w:rFonts w:ascii="Calibri" w:cs="Calibri" w:eastAsia="Calibri" w:hAnsi="Calibri"/>
          <w:b w:val="false"/>
          <w:bCs w:val="false"/>
          <w:color w:val="374151"/>
          <w:sz w:val="30"/>
          <w:szCs w:val="30"/>
        </w:rPr>
        <w:t xml:space="preserve">Engineering Project Intelligence Platform</w:t>
      </w:r>
    </w:p>
    <w:p>
      <w:pPr>
        <w:spacing w:after="0" w:before="120"/>
      </w:pPr>
    </w:p>
    <w:p>
      <w:pPr>
        <w:spacing w:after="40" w:before="40"/>
        <w:jc w:val="center"/>
      </w:pPr>
      <w:r>
        <w:rPr>
          <w:rFonts w:ascii="Calibri" w:cs="Calibri" w:eastAsia="Calibri" w:hAnsi="Calibri"/>
          <w:b/>
          <w:bCs/>
          <w:color w:val="1A6B3A"/>
          <w:sz w:val="52"/>
          <w:szCs w:val="52"/>
        </w:rPr>
        <w:t xml:space="preserve">Product Principles</w:t>
      </w:r>
    </w:p>
    <w:p>
      <w:pPr>
        <w:spacing w:after="0" w:before="60"/>
      </w:pPr>
    </w:p>
    <w:p>
      <w:pPr>
        <w:spacing w:after="40" w:before="40"/>
        <w:jc w:val="center"/>
      </w:pPr>
      <w:r>
        <w:rPr>
          <w:rFonts w:ascii="Calibri" w:cs="Calibri" w:eastAsia="Calibri" w:hAnsi="Calibri"/>
          <w:b w:val="false"/>
          <w:bCs w:val="false"/>
          <w:color w:val="6B7280"/>
          <w:sz w:val="24"/>
          <w:szCs w:val="24"/>
        </w:rPr>
        <w:t xml:space="preserve">25 principles governing every design decision in Green PM v5</w:t>
      </w:r>
    </w:p>
    <w:p>
      <w:pPr>
        <w:spacing w:after="0" w:before="160"/>
      </w:pPr>
    </w:p>
    <w:p>
      <w:pPr>
        <w:spacing w:after="40" w:before="40"/>
        <w:jc w:val="center"/>
      </w:pPr>
      <w:r>
        <w:rPr>
          <w:rFonts w:ascii="Calibri" w:cs="Calibri" w:eastAsia="Calibri" w:hAnsi="Calibri"/>
          <w:b w:val="false"/>
          <w:bCs w:val="false"/>
          <w:color w:val="6B7280"/>
          <w:sz w:val="24"/>
          <w:szCs w:val="24"/>
        </w:rPr>
        <w:t xml:space="preserve">Version 5.0  ·  August 2026</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80"/>
              <w:jc w:val="center"/>
            </w:pPr>
            <w:r>
              <w:rPr>
                <w:rFonts w:ascii="Calibri" w:cs="Calibri" w:eastAsia="Calibri" w:hAnsi="Calibri"/>
                <w:b/>
                <w:bCs/>
                <w:color w:val="0F4D28"/>
                <w:sz w:val="24"/>
                <w:szCs w:val="24"/>
              </w:rPr>
              <w:t xml:space="preserve">How to Use This Document</w:t>
            </w:r>
          </w:p>
          <w:p>
            <w:pPr>
              <w:spacing w:after="60" w:before="20"/>
              <w:jc w:val="center"/>
            </w:pPr>
            <w:r>
              <w:rPr>
                <w:rFonts w:ascii="Calibri" w:cs="Calibri" w:eastAsia="Calibri" w:hAnsi="Calibri"/>
                <w:color w:val="374151"/>
                <w:sz w:val="21"/>
                <w:szCs w:val="21"/>
              </w:rPr>
              <w:t xml:space="preserve">Every feature, workflow, and architectural decision in Green PM v5 is evaluated against these 25 principles. P01–P20 carry forward and update principles from earlier versions. P21–P25 are new, introduced with the Project Intelligence Graph, Simulation Engine, Coordination Engine, Readiness Engine, and Green PM Studio. When two principles conflict, the principle whose layer is higher in the hierarchy wins. Layer 1 principles cannot be overridden under any circumstances.</w:t>
            </w:r>
          </w:p>
        </w:tc>
      </w:tr>
    </w:tbl>
    <w:p>
      <w:pPr>
        <w:spacing w:after="0" w:before="120"/>
      </w:pPr>
    </w:p>
    <w:p>
      <w:pPr>
        <w:spacing w:after="40" w:before="40"/>
        <w:jc w:val="center"/>
      </w:pPr>
      <w:r>
        <w:rPr>
          <w:rFonts w:ascii="Calibri" w:cs="Calibri" w:eastAsia="Calibri" w:hAnsi="Calibri"/>
          <w:b w:val="false"/>
          <w:bCs w:val="false"/>
          <w:color w:val="6B7280"/>
          <w:sz w:val="20"/>
          <w:szCs w:val="20"/>
        </w:rPr>
        <w:t xml:space="preserve">Intended Audience: Product Team, Engineering, Design, QA, and all contributors to the Green PM platform</w:t>
      </w:r>
    </w:p>
    <w:p>
      <w:pPr>
        <w:pStyle w:val="Heading1"/>
        <w:pageBreakBefore/>
        <w:spacing w:after="160" w:before="480"/>
      </w:pPr>
      <w:r>
        <w:rPr>
          <w:rFonts w:ascii="Calibri" w:cs="Calibri" w:eastAsia="Calibri" w:hAnsi="Calibri"/>
          <w:b/>
          <w:bCs/>
          <w:color w:val="0F4D28"/>
          <w:sz w:val="40"/>
          <w:szCs w:val="40"/>
        </w:rPr>
        <w:t xml:space="preserve">1.  Foundation — What Changed in v5</w:t>
      </w:r>
    </w:p>
    <w:p>
      <w:pPr>
        <w:spacing w:after="100" w:before="60"/>
      </w:pPr>
      <w:r>
        <w:rPr>
          <w:rFonts w:ascii="Calibri" w:cs="Calibri" w:eastAsia="Calibri" w:hAnsi="Calibri"/>
          <w:color w:val="111827"/>
          <w:sz w:val="22"/>
          <w:szCs w:val="22"/>
        </w:rPr>
        <w:t xml:space="preserve">Green PM v5 introduces four structural shifts that required a comprehensive update of the product principles. The Project Intelligence Graph (PIG) became the architectural brain of the platform, making all engine relationship models obsolete. The engine count grew from 15 to 17, adding the Readiness Engine, Simulation Engine, Coordination Engine, and Organizational Memory Engine. Entity Workspaces expanded from 5 to 10 types, making every major project entity its own navigable context. Green PM Studio became the universal configuration layer covering 100% of client customisation requirements.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E40AF" w:sz="20"/>
              <w:bottom w:val="none"/>
              <w:right w:val="none"/>
            </w:tcBorders>
            <w:shd w:fill="EFF6FF" w:val="clear"/>
            <w:tcMar>
              <w:top w:type="dxa" w:w="160"/>
              <w:left w:type="dxa" w:w="240"/>
              <w:bottom w:type="dxa" w:w="160"/>
              <w:right w:type="dxa" w:w="240"/>
            </w:tcMar>
          </w:tcPr>
          <w:p>
            <w:pPr>
              <w:spacing w:after="20" w:before="60"/>
            </w:pPr>
            <w:r>
              <w:rPr>
                <w:rFonts w:ascii="Calibri" w:cs="Calibri" w:eastAsia="Calibri" w:hAnsi="Calibri"/>
                <w:b/>
                <w:bCs/>
                <w:color w:val="0F4D28"/>
                <w:sz w:val="22"/>
                <w:szCs w:val="22"/>
              </w:rPr>
              <w:t xml:space="preserve">v4 → v5: What Principles Changed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P01 Events not screens — NEW: formalises that the PIG is event-driven via Pub/Sub; all intelligence starts from a project event.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P02 PIG is the brain — NEW: replaces per-engine relationship models with a single graph authority.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P05 Readiness over progress — NEW: reflects the six readiness gates introduced by the Readiness Engine.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P06 Intelligence must reach closure — NEW: formalises the Coordination Engine’s role in closing insight → action loops.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P07 Institutional memory accumulates — NEW: formalises the Organizational Memory Engine.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P08 Simulation precedes action — NEW: mandates Simulation Engine use before major change decisions.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P09 Alignment is not communication — UPDATED: renamed from Communication &amp; Alignment to Organizational Alignment.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P10 Consistency is not synchronization — UPDATED: reflects the Synchronization &amp; Consistency Engine’s expanded contradiction detection.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P14 Configuration is not code — UPDATED: now backed by 15 Green PM Studio builders covering 100% of client requirements.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P21–P25 — NEW: PIG as source of truth; objective readiness gates; mandatory simulation; coordination owns the last mile; operating system model.</w:t>
            </w:r>
          </w:p>
        </w:tc>
      </w:tr>
    </w:tbl>
    <w:p>
      <w:pPr>
        <w:spacing w:after="0" w:before="80"/>
      </w:pPr>
    </w:p>
    <w:p>
      <w:pPr>
        <w:pStyle w:val="Heading1"/>
        <w:pageBreakBefore/>
        <w:spacing w:after="160" w:before="480"/>
      </w:pPr>
      <w:r>
        <w:rPr>
          <w:rFonts w:ascii="Calibri" w:cs="Calibri" w:eastAsia="Calibri" w:hAnsi="Calibri"/>
          <w:b/>
          <w:bCs/>
          <w:color w:val="0F4D28"/>
          <w:sz w:val="40"/>
          <w:szCs w:val="40"/>
        </w:rPr>
        <w:t xml:space="preserve">2.  The 25 Principles</w:t>
      </w:r>
    </w:p>
    <w:p>
      <w:pPr>
        <w:spacing w:after="100" w:before="60"/>
      </w:pPr>
      <w:r>
        <w:rPr>
          <w:rFonts w:ascii="Calibri" w:cs="Calibri" w:eastAsia="Calibri" w:hAnsi="Calibri"/>
          <w:color w:val="111827"/>
          <w:sz w:val="22"/>
          <w:szCs w:val="22"/>
        </w:rPr>
        <w:t xml:space="preserve">Each principle is defined with a one-sentence statement, rationale for why it matters in EPC project intelligence, a concrete example of how it manifests in the product, and the antipattern it prevents.</w:t>
      </w:r>
    </w:p>
    <w:p>
      <w:pPr>
        <w:spacing w:after="0" w:before="80"/>
      </w:pPr>
    </w:p>
    <w:p>
      <w:pPr>
        <w:spacing w:after="60" w:before="320"/>
      </w:pPr>
      <w:r>
        <w:rPr>
          <w:rFonts w:ascii="Calibri" w:cs="Calibri" w:eastAsia="Calibri" w:hAnsi="Calibri"/>
          <w:b/>
          <w:bCs/>
          <w:color w:val="0F4D28"/>
          <w:sz w:val="30"/>
          <w:szCs w:val="30"/>
        </w:rPr>
        <w:t xml:space="preserve">P01:  </w:t>
      </w:r>
      <w:r>
        <w:rPr>
          <w:rFonts w:ascii="Calibri" w:cs="Calibri" w:eastAsia="Calibri" w:hAnsi="Calibri"/>
          <w:b/>
          <w:bCs/>
          <w:color w:val="0F4D28"/>
          <w:sz w:val="30"/>
          <w:szCs w:val="30"/>
        </w:rPr>
        <w:t xml:space="preserve">Events, not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user interaction, notification, and workflow in Green PM is initiated by a project event — not a screen visit, not a menu click.</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In EPC projects, information flows from things that happen, not from user navigation choices. Drawing approval, equipment dispatch, activity completion, and change submissions are events. A platform organised around events processes reality as it unfolds.</w:t>
      </w:r>
    </w:p>
    <w:p>
      <w:pPr>
        <w:spacing w:after="100" w:before="60"/>
      </w:pPr>
      <w:r>
        <w:rPr>
          <w:rFonts w:ascii="Calibri" w:cs="Calibri" w:eastAsia="Calibri" w:hAnsi="Calibri"/>
          <w:color w:val="111827"/>
          <w:sz w:val="22"/>
          <w:szCs w:val="22"/>
        </w:rPr>
        <w:t xml:space="preserve">When a platform is organised around screens instead, users must actively navigate to check status. Events flip the model: the platform comes to the user when something meaningful changes, not when the user remembers to look.</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a drawing is approved in the vendor portal, the event triggers an automatic update to the Drawing Workspace, a Synchronization &amp; Consistency Engine check, and a coordination item for the document controller — without any user navigating anywhere.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"polling dashboard" antipattern where users must actively check status screens rather than receiving event-driven intelligence when project reality changes.</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P02:  </w:t>
      </w:r>
      <w:r>
        <w:rPr>
          <w:rFonts w:ascii="Calibri" w:cs="Calibri" w:eastAsia="Calibri" w:hAnsi="Calibri"/>
          <w:b/>
          <w:bCs/>
          <w:color w:val="0F4D28"/>
          <w:sz w:val="30"/>
          <w:szCs w:val="30"/>
        </w:rPr>
        <w:t xml:space="preserve">The Project Intelligence Graph is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All relationships between project entities are stored in the Project Intelligence Graph; no engine maintains its own independent relationship model.</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When each of the 17 engines maintains its own view of entity relationships, those views diverge. The Impact Engine might see a different dependency chain than the Risk Engine for the same event. Only a single relationship store — the PIG — can ensure all engines reason from the same project reality.</w:t>
      </w:r>
    </w:p>
    <w:p>
      <w:pPr>
        <w:spacing w:after="100" w:before="60"/>
      </w:pPr>
      <w:r>
        <w:rPr>
          <w:rFonts w:ascii="Calibri" w:cs="Calibri" w:eastAsia="Calibri" w:hAnsi="Calibri"/>
          <w:color w:val="111827"/>
          <w:sz w:val="22"/>
          <w:szCs w:val="22"/>
        </w:rPr>
        <w:t xml:space="preserve">The PIG contains 20+ node types and 30+ typed edge types. Every engine query is a PIG traversal. This means relationship consistency is a property of the architecture, not something each engine team must independently maintain.</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Impact Analysis Engine traverses PIG edges (BLOCKS, DEPENDS_ON, SUPPLIES_TO) to compute cascading impact. The Risk Engine uses the same graph nodes and edges to identify exposure. Both engines read from one authoritative source — no synchronisation between engine relationship models is ever required.</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relationship drift — the fundamental architectural antipattern where each engine's view of project dependencies diverges from every other engine's view, producing contradictory recommendations that cannot be resolved without tracing each engine's assumptions.</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P03:  </w:t>
      </w:r>
      <w:r>
        <w:rPr>
          <w:rFonts w:ascii="Calibri" w:cs="Calibri" w:eastAsia="Calibri" w:hAnsi="Calibri"/>
          <w:b/>
          <w:bCs/>
          <w:color w:val="0F4D28"/>
          <w:sz w:val="30"/>
          <w:szCs w:val="30"/>
        </w:rPr>
        <w:t xml:space="preserve">Every entity is a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Opening any project entity — activity, drawing, equipment, vendor, risk, change — opens a complete workspace showing all connected information without requiring further navigation.</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Project professionals do not think in screens; they think in entities. When a site engineer asks about a pump, they want its spec, vendor, delivery status, installation activity, commissioning readiness, and open risks — not a breadcrumb trail through 6 modules.</w:t>
      </w:r>
    </w:p>
    <w:p>
      <w:pPr>
        <w:spacing w:after="100" w:before="60"/>
      </w:pPr>
      <w:r>
        <w:rPr>
          <w:rFonts w:ascii="Calibri" w:cs="Calibri" w:eastAsia="Calibri" w:hAnsi="Calibri"/>
          <w:color w:val="111827"/>
          <w:sz w:val="22"/>
          <w:szCs w:val="22"/>
        </w:rPr>
        <w:t xml:space="preserve">Entity Workspaces solve this by making the entity the navigation destination. The PIG powers the workspace: every panel in the workspace is a query over the graph edges connected to that entity node.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Clicking Equipment EQ-0042 opens the Equipment Workspace, showing tag number, design spec, linked vendor, FAT status, shipment, installation activity, commissioning activities, QA inspection records, and coordination items — all in one place, all powered by PIG traversal, with no additional navigation required.</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"module taxonomy" antipattern where users must memorise which module holds which attribute of an entity, spending more time navigating than managing the project.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P04:  </w:t>
      </w:r>
      <w:r>
        <w:rPr>
          <w:rFonts w:ascii="Calibri" w:cs="Calibri" w:eastAsia="Calibri" w:hAnsi="Calibri"/>
          <w:b/>
          <w:bCs/>
          <w:color w:val="0F4D28"/>
          <w:sz w:val="30"/>
          <w:szCs w:val="30"/>
        </w:rPr>
        <w:t xml:space="preserve">Engines, not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Green PM is organised into 17 cross-domain capability engines; the word "module" does not appear in any user-facing interface, documentation, or internal design decision.</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Modules create silos. A scheduling module can only see scheduling data; a risk module can only see risk data. Engines have no such limitation — the Impact Analysis Engine reasons across schedule, cost, quality, and safety because it queries the PIG, which contains all entity types.</w:t>
      </w:r>
    </w:p>
    <w:p>
      <w:pPr>
        <w:spacing w:after="100" w:before="60"/>
      </w:pPr>
      <w:r>
        <w:rPr>
          <w:rFonts w:ascii="Calibri" w:cs="Calibri" w:eastAsia="Calibri" w:hAnsi="Calibri"/>
          <w:color w:val="111827"/>
          <w:sz w:val="22"/>
          <w:szCs w:val="22"/>
        </w:rPr>
        <w:t xml:space="preserve">The Discipline Test enforces this: every engine must serve multiple domains and must materially increase the probability of delivering a project on time, within budget, or with required quality. If an engine serves only one domain, it is a feature, not an engine.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a change request is submitted, the Impact Analysis Engine queries the PIG to produce a single output covering schedule impact, cost exposure, vendor implications, drawing dependencies, and readiness gate disruption — all from one engine, not from five separate module dashboards.</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"module silo" antipattern where insights from one domain never reach stakeholders in another domain without manual data sharing or cross-module navigation.</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P05:  </w:t>
      </w:r>
      <w:r>
        <w:rPr>
          <w:rFonts w:ascii="Calibri" w:cs="Calibri" w:eastAsia="Calibri" w:hAnsi="Calibri"/>
          <w:b/>
          <w:bCs/>
          <w:color w:val="0F4D28"/>
          <w:sz w:val="30"/>
          <w:szCs w:val="30"/>
        </w:rPr>
        <w:t xml:space="preserve">Readiness over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Green PM prioritises readiness measurement over progress reporting because executives need to know if the project is ready for the next phase, not just how far it has come.</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 project can be 90% complete and 100% unready to proceed. Commissioning readiness requires specific criteria — inspection records, punch list clearance, system completion certificates — that are independent of overall progress percentage. Progress deceives; readiness informs.</w:t>
      </w:r>
    </w:p>
    <w:p>
      <w:pPr>
        <w:spacing w:after="100" w:before="60"/>
      </w:pPr>
      <w:r>
        <w:rPr>
          <w:rFonts w:ascii="Calibri" w:cs="Calibri" w:eastAsia="Calibri" w:hAnsi="Calibri"/>
          <w:color w:val="111827"/>
          <w:sz w:val="22"/>
          <w:szCs w:val="22"/>
        </w:rPr>
        <w:t xml:space="preserve">The Readiness Engine defines six gates — Engineering, Material, Construction, Quality, Commissioning, and COD Readiness — each with structured criteria, blocking items, completion percentages, and responsible parties. A gate is Ready only when all structured criteria pass system verification.</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Executive Digital Twin shows Readiness Gate status for all six gates, each with blocking items listed, responsible parties named, and verified completion counts — not an overall project percentage. A Monday morning briefing that shows "Construction Readiness: 73%, 4 blockers, responsible: Site Manager" is worth more than any progress percentage.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progress theater — the antipattern where high completion percentages mask unresolved blockers that will prevent actual milestone achievement, discovered only when it is too late to act.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P06:  </w:t>
      </w:r>
      <w:r>
        <w:rPr>
          <w:rFonts w:ascii="Calibri" w:cs="Calibri" w:eastAsia="Calibri" w:hAnsi="Calibri"/>
          <w:b/>
          <w:bCs/>
          <w:color w:val="0F4D28"/>
          <w:sz w:val="30"/>
          <w:szCs w:val="30"/>
        </w:rPr>
        <w:t xml:space="preserve">Intelligence must reach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insight generated by Green PM must be connected to a coordination item that is tracked to acknowledgment, execution, and verified closure.</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Intelligence without action is noise. If Green PM predicts that a vendor delay will push an activity to the critical path and nobody acts on it, the platform has failed regardless of how accurate the prediction was. The Coordination Engine closes the loop.</w:t>
      </w:r>
    </w:p>
    <w:p>
      <w:pPr>
        <w:spacing w:after="100" w:before="60"/>
      </w:pPr>
      <w:r>
        <w:rPr>
          <w:rFonts w:ascii="Calibri" w:cs="Calibri" w:eastAsia="Calibri" w:hAnsi="Calibri"/>
          <w:color w:val="111827"/>
          <w:sz w:val="22"/>
          <w:szCs w:val="22"/>
        </w:rPr>
        <w:t xml:space="preserve">The Coordination Engine pipeline is: Event → Impact Assessment → Action Items → Notification → Acknowledgment → Execution → Verification → Closure. No step can be skipped. Coordination items without closure are escalated after SLA breach.</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the Forecasting Engine identifies a 12-day schedule risk, the Coordination Engine automatically generates a coordination item assigned to the responsible PM with a due date derived from the impact analysis. The item cannot be marked closed until the PM records an action taken and the outcome is verified against the original risk.</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"insight graveyard" antipattern where AI-generated intelligence accumulates in dashboards without triggering verified real-world action, making the platform impressive to demo and useless in practice.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P07:  </w:t>
      </w:r>
      <w:r>
        <w:rPr>
          <w:rFonts w:ascii="Calibri" w:cs="Calibri" w:eastAsia="Calibri" w:hAnsi="Calibri"/>
          <w:b/>
          <w:bCs/>
          <w:color w:val="0F4D28"/>
          <w:sz w:val="30"/>
          <w:szCs w:val="30"/>
        </w:rPr>
        <w:t xml:space="preserve">Institutional memory accumulates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Green PM learns from every project decision, vendor performance outcome, and schedule recovery strategy, and applies that learning to improve future engine outputs for that tenant.</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Every EPC organisation makes the same mistakes their predecessors made — because lessons learned from past projects were never captured in a form that could influence future decisions. The Organizational Memory Engine captures decision outcomes, vendor patterns, and recovery strategies in structured memory records.</w:t>
      </w:r>
    </w:p>
    <w:p>
      <w:pPr>
        <w:spacing w:after="100" w:before="60"/>
      </w:pPr>
      <w:r>
        <w:rPr>
          <w:rFonts w:ascii="Calibri" w:cs="Calibri" w:eastAsia="Calibri" w:hAnsi="Calibri"/>
          <w:color w:val="111827"/>
          <w:sz w:val="22"/>
          <w:szCs w:val="22"/>
        </w:rPr>
        <w:t xml:space="preserve">The Organizational Memory Engine powers three other engines: Decision Engine institutional learning, Simulation Engine historical calibration, and Risk Engine pattern detection. Its value compounds with time — recommendations in month 12 are materially more accurate than in month 1.</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a PM evaluates two mitigation options for a schedule risk, the Decision Engine shows: "In 12 similar situations in your organisation's project history, Option B reduced delay by an average of 14 days. Option A succeeded 4 out of 12 times." This recommendation is not possible without the Organizational Memory Engine.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"amnesia organisation" antipattern where every project starts from zero institutional knowledge regardless of how much was learned — and paid for — on previous projects.</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P08:  </w:t>
      </w:r>
      <w:r>
        <w:rPr>
          <w:rFonts w:ascii="Calibri" w:cs="Calibri" w:eastAsia="Calibri" w:hAnsi="Calibri"/>
          <w:b/>
          <w:bCs/>
          <w:color w:val="0F4D28"/>
          <w:sz w:val="30"/>
          <w:szCs w:val="30"/>
        </w:rPr>
        <w:t xml:space="preserve">Simulation precedes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Before any major change decision is confirmed, Green PM runs a simulation showing the projected impact on schedule, cost, critical path, and vendor dependencies.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Confirming a major change without modelling its impact is a decision made without evidence. A simulation takes seconds and can reveal critical path shifts, resource conflicts, and vendor delivery conflicts that a human planner would take hours to uncover manually.</w:t>
      </w:r>
    </w:p>
    <w:p>
      <w:pPr>
        <w:spacing w:after="100" w:before="60"/>
      </w:pPr>
      <w:r>
        <w:rPr>
          <w:rFonts w:ascii="Calibri" w:cs="Calibri" w:eastAsia="Calibri" w:hAnsi="Calibri"/>
          <w:color w:val="111827"/>
          <w:sz w:val="22"/>
          <w:szCs w:val="22"/>
        </w:rPr>
        <w:t xml:space="preserve">The Simulation Engine enables "what-if" scenario modelling over the PIG. Users specify a perturbation, the engine runs a forward projection, and outputs revised schedule impact, budget impact, critical path changes, and recommended mitigations. Five core scenarios are pre-configured: vendor delay, monsoon start date shift, additional crew, scope change, and resource reallocation.</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change request flagged as Major triggers the Simulation Engine automatically when the PM clicks Approve. The simulation result is shown before the approval confirmation dialog appears: "+18 days to COD, $2.4M cost exposure, 3 additional activities join the critical path, Vendor VMD-007 delivery window conflicts with installation start." The PM sees the full impact before confirming.</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"blind commitment" antipattern where change requests are approved based on intuition rather than quantified projection, leading to cascading surprises discovered only after the change is approved and the damage is irreversible.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P09:  </w:t>
      </w:r>
      <w:r>
        <w:rPr>
          <w:rFonts w:ascii="Calibri" w:cs="Calibri" w:eastAsia="Calibri" w:hAnsi="Calibri"/>
          <w:b/>
          <w:bCs/>
          <w:color w:val="0F4D28"/>
          <w:sz w:val="30"/>
          <w:szCs w:val="30"/>
        </w:rPr>
        <w:t xml:space="preserve">Alignment is not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Ensuring stakeholders have received information is not the same as ensuring they have acknowledged it, and acknowledgment is not the same as having taken action.</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The most dangerous gap in project management is between "we sent the notification" and "the right person understood and acted on it." This gap causes late NCR responses, missed drawing revision updates, and unexecuted safety protocols — all because the platform could prove distribution but not action.</w:t>
      </w:r>
    </w:p>
    <w:p>
      <w:pPr>
        <w:spacing w:after="100" w:before="60"/>
      </w:pPr>
      <w:r>
        <w:rPr>
          <w:rFonts w:ascii="Calibri" w:cs="Calibri" w:eastAsia="Calibri" w:hAnsi="Calibri"/>
          <w:color w:val="111827"/>
          <w:sz w:val="22"/>
          <w:szCs w:val="22"/>
        </w:rPr>
        <w:t xml:space="preserve">The Organizational Alignment Engine tracks three distinct states for every critical communication: receipt confirmation, acknowledgment, and action taken. An alignment gap alert is raised when any state is missing after the configured SLA window.</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a drawing revision is issued, the Alignment Engine tracks: Did the site engineer receive it? (delivery confirmed.) Did they acknowledge it? (explicit acknowledgment logged.) Did they update the activity drawing reference? (system-verified.) If any state is missing after SLA, an alignment gap alert is raised with the specific missing state identified.</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"notification washing" antipattern where platforms generate extensive communication records proving information was sent, but cannot demonstrate it was received, understood, and acted upon — leaving the organisation exposed when disputes arise.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P10:  </w:t>
      </w:r>
      <w:r>
        <w:rPr>
          <w:rFonts w:ascii="Calibri" w:cs="Calibri" w:eastAsia="Calibri" w:hAnsi="Calibri"/>
          <w:b/>
          <w:bCs/>
          <w:color w:val="0F4D28"/>
          <w:sz w:val="30"/>
          <w:szCs w:val="30"/>
        </w:rPr>
        <w:t xml:space="preserve">Consistency is not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Distributing updated information to all parties is not the same as ensuring that updated information is contradiction-free across all related entities.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 drawing can be revised, the schedule updated, and the vendor notified — all three separately synchronised — but the three records still contradict each other if the drawing revision changes a specification not reflected in the schedule or the vendor scope. Synchronisation proves freshness; consistency proves coherence.</w:t>
      </w:r>
    </w:p>
    <w:p>
      <w:pPr>
        <w:spacing w:after="100" w:before="60"/>
      </w:pPr>
      <w:r>
        <w:rPr>
          <w:rFonts w:ascii="Calibri" w:cs="Calibri" w:eastAsia="Calibri" w:hAnsi="Calibri"/>
          <w:color w:val="111827"/>
          <w:sz w:val="22"/>
          <w:szCs w:val="22"/>
        </w:rPr>
        <w:t xml:space="preserve">The Synchronization &amp; Consistency Engine detects contradiction, not just staleness. It compares edge weights and attribute states across related PIG nodes and generates resolution recommendations when contradictions are found.</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Drawing DWG-E-047 is issued at Revision D with a changed specification for Equipment EQ-0012, the Synchronization Engine detects that the vendor scope document for that equipment still references Revision B specifications — and raises a consistency alert — even though all parties received the Revision D notification and the delivery is technically "synchronised".</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"sync theater" antipattern where platforms claim all parties are synchronised based on notification delivery alone, masking active contradictions between related documents that will cause rework, disputes, and delay.</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P11:  </w:t>
      </w:r>
      <w:r>
        <w:rPr>
          <w:rFonts w:ascii="Calibri" w:cs="Calibri" w:eastAsia="Calibri" w:hAnsi="Calibri"/>
          <w:b/>
          <w:bCs/>
          <w:color w:val="0F4D28"/>
          <w:sz w:val="30"/>
          <w:szCs w:val="30"/>
        </w:rPr>
        <w:t xml:space="preserve">AI must be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AI-powered capability in Green PM is presented through plain project management verbs — Explain, Predict, Recommend, Search, Compare, Summarize, Simulate — never through AI labels, engine names, or model references.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When a project director sees an "AI Score" or an "Engine Output", they are being asked to trust an abstraction they do not understand. When they see "Green PM explains why this activity is at risk", they are being asked to evaluate a comprehensible explanation. Trust is built on comprehensibility, not AI brand identity.</w:t>
      </w:r>
    </w:p>
    <w:p>
      <w:pPr>
        <w:spacing w:after="100" w:before="60"/>
      </w:pPr>
      <w:r>
        <w:rPr>
          <w:rFonts w:ascii="Calibri" w:cs="Calibri" w:eastAsia="Calibri" w:hAnsi="Calibri"/>
          <w:color w:val="111827"/>
          <w:sz w:val="22"/>
          <w:szCs w:val="22"/>
        </w:rPr>
        <w:t xml:space="preserve">The single AI identity in the UI is "Green PM" — not any engine name, not any model version, not any vendor attribution. The AI Copilot is branded as "Ask Green PM." Verbs replace nouns: the system shows actions, not capabilities.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command palette offers "Ask Green PM," not "Query AI Copilot." An impact analysis result says "Green PM explains the impact of this change," not "Impact Engine output." A simulation result says "Green PM predicts the outcome if this change is approved." No AI label or engine name appears anywhere in the user-facing interface.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"AI label anxiety" antipattern where users distrust platform outputs not because the outputs are wrong but because the "AI" label triggers skepticism in high-stakes decision contexts where professional accountability is at stake.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P12:  </w:t>
      </w:r>
      <w:r>
        <w:rPr>
          <w:rFonts w:ascii="Calibri" w:cs="Calibri" w:eastAsia="Calibri" w:hAnsi="Calibri"/>
          <w:b/>
          <w:bCs/>
          <w:color w:val="0F4D28"/>
          <w:sz w:val="30"/>
          <w:szCs w:val="30"/>
        </w:rPr>
        <w:t xml:space="preserve">Evidence precedes every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score, recommendation, narrative, and alert produced by any Green PM engine is accompanied by an evidence_refs[] array linking to the source data that produced it.</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 claim without evidence is an opinion. In EPC projects where contract disputes, payment certifications, and safety incidents are subject to audit and legal review, every platform output must be traceable to its source. Evidence arrays are not a feature — they are the epistemological foundation of the platform.</w:t>
      </w:r>
    </w:p>
    <w:p>
      <w:pPr>
        <w:spacing w:after="100" w:before="60"/>
      </w:pPr>
      <w:r>
        <w:rPr>
          <w:rFonts w:ascii="Calibri" w:cs="Calibri" w:eastAsia="Calibri" w:hAnsi="Calibri"/>
          <w:color w:val="111827"/>
          <w:sz w:val="22"/>
          <w:szCs w:val="22"/>
        </w:rPr>
        <w:t xml:space="preserve">The evidence_refs[] requirement is enforced at the engine output level, not at the UI level. Every engine that produces a claim — score, narrative, recommendation, or alert — must populate evidence_refs[] with the specific evidence items, PIG nodes, or calculation records that produced it.</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Evidence Score for Activity A-089 displays: evidence_refs: [EV-1047 (site photo, 2 days ago), EV-1089 (inspection record, 1 day ago), EV-1102 (surveyor report, 4 days ago)]. Every item is clickable to the original evidence record. No score appears without this array.</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"black box score" antipattern where platforms produce numbers that cannot be questioned, audited, or reproduced by the users who must act on them — destroying the professional credibility of both the platform and the project team that relies on it.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P13:  </w:t>
      </w:r>
      <w:r>
        <w:rPr>
          <w:rFonts w:ascii="Calibri" w:cs="Calibri" w:eastAsia="Calibri" w:hAnsi="Calibri"/>
          <w:b/>
          <w:bCs/>
          <w:color w:val="0F4D28"/>
          <w:sz w:val="30"/>
          <w:szCs w:val="30"/>
        </w:rPr>
        <w:t xml:space="preserve">Deterministic where possible, AI where reasoning genuinely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Green PM uses deterministic calculation wherever the result can be specified exactly, and AI only where genuine reasoning — pattern recognition, language generation, uncertainty handling — adds value that formulas cannot.</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AI is not always better. The Evidence Score formula is deterministic — it produces the same result every time from the same inputs, which makes it auditable, reproducible, and trustworthy under legal scrutiny. Replacing it with a neural network would sacrifice all three properties.</w:t>
      </w:r>
    </w:p>
    <w:p>
      <w:pPr>
        <w:spacing w:after="100" w:before="60"/>
      </w:pPr>
      <w:r>
        <w:rPr>
          <w:rFonts w:ascii="Calibri" w:cs="Calibri" w:eastAsia="Calibri" w:hAnsi="Calibri"/>
          <w:color w:val="111827"/>
          <w:sz w:val="22"/>
          <w:szCs w:val="22"/>
        </w:rPr>
        <w:t xml:space="preserve">AI is used where determinism is impossible: narrative generation from structured data, anomaly detection in evidence patterns, semantic similarity matching in the Organizational Memory Engine, and Confidence Score reasoning for risk assessments. These tasks require probabilistic reasoning that no formula can replicate.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 Score = (source_count/10 × 0.25) + (recency_decay × 0.25) + (corroboration_ratio × 0.25) + (capture_diversity × 0.15) + (reliability_weight_avg × 0.10). This formula is published. Any user can reproduce any Evidence Score from the raw evidence records. No AI is involved in this calculation. AI is used for the risk narrative that interprets what the score means in the context of the activity's critical path position.</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"AI everything" antipattern where deterministic calculations are replaced with AI models for novelty, making outputs less auditable, less reproducible, and less trustworthy than their deterministic equivalents — without adding any corresponding benefit.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P14:  </w:t>
      </w:r>
      <w:r>
        <w:rPr>
          <w:rFonts w:ascii="Calibri" w:cs="Calibri" w:eastAsia="Calibri" w:hAnsi="Calibri"/>
          <w:b/>
          <w:bCs/>
          <w:color w:val="0F4D28"/>
          <w:sz w:val="30"/>
          <w:szCs w:val="30"/>
        </w:rPr>
        <w:t xml:space="preserve">Configuration is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client-specific customisation in Green PM is achieved through Green PM Studio; no client requirement ever produces a code change, branch, or fork.</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Client-specific code is the primary cause of enterprise SaaS product failure. It creates maintenance debt that scales with client count, prevents consistent feature rollout, and eventually makes the platform impossible to update without breaking existing deployments.</w:t>
      </w:r>
    </w:p>
    <w:p>
      <w:pPr>
        <w:spacing w:after="100" w:before="60"/>
      </w:pPr>
      <w:r>
        <w:rPr>
          <w:rFonts w:ascii="Calibri" w:cs="Calibri" w:eastAsia="Calibri" w:hAnsi="Calibri"/>
          <w:color w:val="111827"/>
          <w:sz w:val="22"/>
          <w:szCs w:val="22"/>
        </w:rPr>
        <w:t xml:space="preserve">Green PM Studio provides 15 builders that cover 100% of client customisation requirements: tenant settings, gate models, readiness criteria, workflow definitions, document schemas, dashboard layouts, integration connectors, report templates, evidence category definitions, role and permission matrices, notification rules, SLA configurations, vendor scorecard weights, simulation scenario defaults, and mobile form configurations.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client who needs a custom 9-stage readiness gate model configures it in the Readiness Gate Builder. A client who needs a custom drawing numbering scheme configures it in the Document Schema Builder. A client who needs a custom vendor scorecard weighting configures it in the Scorecard Weight Builder. No engineer writes code for any of these requirements.</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"fork economy" antipattern where engineering capacity is consumed by client-specific customisations rather than platform features that benefit all clients, creating a scaling ceiling that makes new client onboarding economically unsustainable.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P15:  </w:t>
      </w:r>
      <w:r>
        <w:rPr>
          <w:rFonts w:ascii="Calibri" w:cs="Calibri" w:eastAsia="Calibri" w:hAnsi="Calibri"/>
          <w:b/>
          <w:bCs/>
          <w:color w:val="0F4D28"/>
          <w:sz w:val="30"/>
          <w:szCs w:val="30"/>
        </w:rPr>
        <w:t xml:space="preserve">Coexistence before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Green PM enters every client organisation as an intelligence layer on top of existing tools; replacement of those tools is earned through demonstrated value, not mandated as a deployment condition.</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Demanding that a client abandon their existing P6, Primavera, or Procore deployment before Green PM goes live is a deployment condition that will fail. A 5,000-person EPC organisation cannot switch scheduling tools in a month. Green PM's value must be visible before the organisational change it enables.</w:t>
      </w:r>
    </w:p>
    <w:p>
      <w:pPr>
        <w:spacing w:after="100" w:before="60"/>
      </w:pPr>
      <w:r>
        <w:rPr>
          <w:rFonts w:ascii="Calibri" w:cs="Calibri" w:eastAsia="Calibri" w:hAnsi="Calibri"/>
          <w:color w:val="111827"/>
          <w:sz w:val="22"/>
          <w:szCs w:val="22"/>
        </w:rPr>
        <w:t xml:space="preserve">The Three-Stage Adoption Model: Stage 1 — Green PM as intelligence layer (connects to existing tools via XER import, API, or document ingestion; adds evidence scoring, impact analysis, and readiness gates on top of existing data). Stage 2 — Green PM as coordination layer (adds coordination engine, decision workflows, and vendor portal while existing tools remain). Stage 3 — Green PM as operating system (client initiates replacement conversation after 6+ months of demonstrated value).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In Stage 1, Green PM imports the client's P6 XER file, applies Evidence Scores to all activities, and delivers a Project Command Centre to the executive team — without requiring any change to the existing scheduling workflow. The PM team continues using P6 for planning; Green PM adds intelligence on top. The replacement conversation is initiated by the client in Stage 3, not by Green PM at deployment.</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"big bang replacement" antipattern where platform vendors require wholesale tool replacement before value can be demonstrated, failing because organisational risk aversion blocks the deployment before the platform ever has a chance to prove its worth.</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P16:  </w:t>
      </w:r>
      <w:r>
        <w:rPr>
          <w:rFonts w:ascii="Calibri" w:cs="Calibri" w:eastAsia="Calibri" w:hAnsi="Calibri"/>
          <w:b/>
          <w:bCs/>
          <w:color w:val="0F4D28"/>
          <w:sz w:val="30"/>
          <w:szCs w:val="30"/>
        </w:rPr>
        <w:t xml:space="preserve">Every score is explainable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score produced by Green PM — Evidence Score, Readiness Score, Vendor Score, Confidence Score — is computed by a published, reproducible formula that any user can verify independently.</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 score that cannot be explained is a score that cannot be trusted, and a score that cannot be trusted will not be acted on. The Evidence Score formula is not just a calculation — it is the platform's commitment to transparency. Publishing the formula is a trust signal, not a competitive risk.</w:t>
      </w:r>
    </w:p>
    <w:p>
      <w:pPr>
        <w:spacing w:after="100" w:before="60"/>
      </w:pPr>
      <w:r>
        <w:rPr>
          <w:rFonts w:ascii="Calibri" w:cs="Calibri" w:eastAsia="Calibri" w:hAnsi="Calibri"/>
          <w:color w:val="111827"/>
          <w:sz w:val="22"/>
          <w:szCs w:val="22"/>
        </w:rPr>
        <w:t xml:space="preserve">Explainability operates at two levels: the formula level (published in the Knowledge Base with worked examples) and the instance level (every individual score is accompanied by its component values so the user can reproduce the calculation from the displayed inputs).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Every Vendor Score breakdown shows the six-dimension calculation: Quality Score (0.82) × weight (0.25) + Delivery Score (0.74) × weight (0.25) + Responsiveness Score (0.91) × weight (0.15) + Documentation Score (0.68) × weight (0.20) + Commercial Score (0.77) × weight (0.10) + Relationship Score (0.85) × weight (0.05) = 0.784. Every number links to the underlying evidence records.</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"magic number" antipattern where platforms produce scores whose calculation is proprietary or opaque, forcing users to either accept scores uncritically or reject them entirely — neither of which produces the informed, evidence-backed project decisions that Green PM exists to enable.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P17:  </w:t>
      </w:r>
      <w:r>
        <w:rPr>
          <w:rFonts w:ascii="Calibri" w:cs="Calibri" w:eastAsia="Calibri" w:hAnsi="Calibri"/>
          <w:b/>
          <w:bCs/>
          <w:color w:val="0F4D28"/>
          <w:sz w:val="30"/>
          <w:szCs w:val="30"/>
        </w:rPr>
        <w:t xml:space="preserve">Human confirms before anything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No coordination item, change record, project update, or notification takes effect on any project record without explicit confirmation from an authorised human user.</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Autonomous systems are appropriate for computing, forecasting, and recommending. They are not appropriate for project record management, where every change carries contractual, financial, and safety implications. The distinction between intelligence (automated) and action (human-confirmed) is fundamental to Green PM's design.</w:t>
      </w:r>
    </w:p>
    <w:p>
      <w:pPr>
        <w:spacing w:after="100" w:before="60"/>
      </w:pPr>
      <w:r>
        <w:rPr>
          <w:rFonts w:ascii="Calibri" w:cs="Calibri" w:eastAsia="Calibri" w:hAnsi="Calibri"/>
          <w:color w:val="111827"/>
          <w:sz w:val="22"/>
          <w:szCs w:val="22"/>
        </w:rPr>
        <w:t xml:space="preserve">This principle applies to coordination items (human confirms execution), change approvals (human confirms impact acceptance), payment triggers (human confirms certification), and NCR status changes (human confirms resolution). No engine can self-execute any of these actions.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the Coordination Engine generates an action item, it appears in the assignee's My Work queue with a "Confirm and Execute" button. Until that button is pressed, the item is in Pending state and has no effect on any project record. The engine generates coordination items; humans execute them. The distinction is architectural, not configurable.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"autonomous action" antipattern where AI systems take actions on project records — updating activities, sending formal notifications, approving payments — without human authorisation, creating legal liability and destroying the professional trust that enterprise EPC clients require from their tooling.</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P18:  </w:t>
      </w:r>
      <w:r>
        <w:rPr>
          <w:rFonts w:ascii="Calibri" w:cs="Calibri" w:eastAsia="Calibri" w:hAnsi="Calibri"/>
          <w:b/>
          <w:bCs/>
          <w:color w:val="0F4D28"/>
          <w:sz w:val="30"/>
          <w:szCs w:val="30"/>
        </w:rPr>
        <w:t xml:space="preserve">Wrong-tenant =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Any request that attempts to access project data outside the requesting user's tenant boundary returns a 404, never a 403, and never any indication that the referenced resource exists.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In a multi-tenant SaaS platform serving competing EPC organisations, a 403 response that says "you don't have permission to access Project X" confirms that Project X exists. A 404 response reveals nothing. Tenant isolation is not just an access control requirement — it is a competitive confidentiality requirement.</w:t>
      </w:r>
    </w:p>
    <w:p>
      <w:pPr>
        <w:spacing w:after="100" w:before="60"/>
      </w:pPr>
      <w:r>
        <w:rPr>
          <w:rFonts w:ascii="Calibri" w:cs="Calibri" w:eastAsia="Calibri" w:hAnsi="Calibri"/>
          <w:color w:val="111827"/>
          <w:sz w:val="22"/>
          <w:szCs w:val="22"/>
        </w:rPr>
        <w:t xml:space="preserve">Row-Level Security (RLS) policies in PostgreSQL enforce tenant_id filtering on every query. The application layer never sees data outside the requesting tenant. The 404 response is generated at the application layer after the RLS-filtered query returns no results.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user in Tenant A who constructs a URL pointing to Tenant B's project receives a 404 response. A user in Tenant A who guesses a Tenant B drawing ID in an API call receives a 404. The platform never reveals through error response differentiation that any resource exists in another tenant's namespace.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"information leakage" antipattern where access control errors reveal the existence, structure, or naming of competitor project data through error message differentiation — a security and competitive confidentiality failure that would make the platform unsuitable for deployment in the competitive EPC market.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P19:  </w:t>
      </w:r>
      <w:r>
        <w:rPr>
          <w:rFonts w:ascii="Calibri" w:cs="Calibri" w:eastAsia="Calibri" w:hAnsi="Calibri"/>
          <w:b/>
          <w:bCs/>
          <w:color w:val="0F4D28"/>
          <w:sz w:val="30"/>
          <w:szCs w:val="30"/>
        </w:rPr>
        <w:t xml:space="preserve">The platform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decision made, every outcome recorded, and every pattern identified in Green PM accumulates in the Organizational Memory Engine and improves subsequent engine outputs for that tenant.</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A platform that does not learn from usage is a static tool. Over 12 months, the Organizational Memory Engine builds a corpus of project decisions and outcomes specific to that client's organisation, project types, and risk environment.</w:t>
      </w:r>
    </w:p>
    <w:p>
      <w:pPr>
        <w:spacing w:after="100" w:before="60"/>
      </w:pPr>
      <w:r>
        <w:rPr>
          <w:rFonts w:ascii="Calibri" w:cs="Calibri" w:eastAsia="Calibri" w:hAnsi="Calibri"/>
          <w:color w:val="111827"/>
          <w:sz w:val="22"/>
          <w:szCs w:val="22"/>
        </w:rPr>
        <w:t xml:space="preserve">Memory records store decision outcomes, vendor recovery patterns, schedule recovery strategies, risk patterns and their mitigations, and change types with their historical delay profiles. Memory patterns emerge from frequency analysis across records. Both feed back into the Decision Engine, Simulation Engine, and Risk Engine.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After 6 months of operation, when a PM is evaluating whether to add a crew to recover a delayed activity, the Recommendation Engine shows: "In 8 similar situations on your organisation's previous projects, adding crew recovered an average of 11 days at 6% cost overrun. The current delay is 14 days." This recommendation is not possible in month 1 — it requires accumulated institutional memory.</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"static intelligence" antipattern where AI-powered platforms offer the same quality of output on Day 1 as Day 1,000, failing to create any compounding value from organisational usage and making the platform's long-term value indistinguishable from its onboarding value.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P20:  </w:t>
      </w:r>
      <w:r>
        <w:rPr>
          <w:rFonts w:ascii="Calibri" w:cs="Calibri" w:eastAsia="Calibri" w:hAnsi="Calibri"/>
          <w:b/>
          <w:bCs/>
          <w:color w:val="0F4D28"/>
          <w:sz w:val="30"/>
          <w:szCs w:val="30"/>
        </w:rPr>
        <w:t xml:space="preserve">Speed belongs to the engine, not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All computationally intensive intelligence processing — impact analysis, risk quantification, readiness scoring, simulation — happens in the background, driven by events; users see results, never processing spinners.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Forcing a PM to wait while a Monte Carlo simulation runs is a UX failure. All long-running engine computations are event-driven and background-processed via Pub/Sub. The result is available when the PM opens the workspace, not after they trigger and wait for it.</w:t>
      </w:r>
    </w:p>
    <w:p>
      <w:pPr>
        <w:spacing w:after="100" w:before="60"/>
      </w:pPr>
      <w:r>
        <w:rPr>
          <w:rFonts w:ascii="Calibri" w:cs="Calibri" w:eastAsia="Calibri" w:hAnsi="Calibri"/>
          <w:color w:val="111827"/>
          <w:sz w:val="22"/>
          <w:szCs w:val="22"/>
        </w:rPr>
        <w:t xml:space="preserve">24 Cloud Run services handle the processing. Event → Pub/Sub topic → engine service → result stored in PostgreSQL → workspace query returns pre-computed result. The PM's workspace load time reflects database read latency, not computation time.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When a change event is recorded, the Impact Analysis Engine, Risk Engine, and Forecasting Engine all process the event in the background via their respective Pub/Sub topics. By the time the PM opens the Change Workspace to review, all engine outputs are already present. The PM sees "Impact: +18 days, $2.4M" — not a spinner asking them to wait for computation.</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"compute-on-demand" antipattern where intelligence platforms force users to trigger and wait for computations, creating UX friction that reduces platform usage frequency and trains users to avoid the most powerful features because they are the slowest.</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P21:  </w:t>
      </w:r>
      <w:r>
        <w:rPr>
          <w:rFonts w:ascii="Calibri" w:cs="Calibri" w:eastAsia="Calibri" w:hAnsi="Calibri"/>
          <w:b/>
          <w:bCs/>
          <w:color w:val="0F4D28"/>
          <w:sz w:val="30"/>
          <w:szCs w:val="30"/>
        </w:rPr>
        <w:t xml:space="preserve">The graph is the source of truth for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The Project Intelligence Graph is the single authoritative source for all relationships between project entities; no engine, cache, or UI component may maintain its own independent relationship model.</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Relationship consistency across 17 engines is only possible if all engines read from a single relationship store. Any engine that maintains its own relationship model will diverge from the PIG over time, producing contradictions between engine outputs that cannot be resolved without tracing each engine's relationship assumptions — an architectural problem that scales with engine count.</w:t>
      </w:r>
    </w:p>
    <w:p>
      <w:pPr>
        <w:spacing w:after="100" w:before="60"/>
      </w:pPr>
      <w:r>
        <w:rPr>
          <w:rFonts w:ascii="Calibri" w:cs="Calibri" w:eastAsia="Calibri" w:hAnsi="Calibri"/>
          <w:color w:val="111827"/>
          <w:sz w:val="22"/>
          <w:szCs w:val="22"/>
        </w:rPr>
        <w:t xml:space="preserve">The PIG implementation is PostgreSQL graph tables (graph_nodes, graph_edges, graph_edge_types) augmented by Vertex AI Matching Engine for semantic search. There is no separate graph database. The PIG is updated event-driven via Pub/Sub in real time. Every relationship write is a PIG write.</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Dependency Engine queries: SELECT * FROM graph_edges WHERE source_node_id = $activity_id AND edge_type = 'PRECEDED_BY'. The Impact Engine queries: SELECT * FROM graph_edges WHERE source_node_id = $change_id AND edge_type IN ('BLOCKS', 'IMPACTS', 'SUPPLIES_TO'). Same data, same query interface, same source of truth — 17 engines, zero divergence.</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"relationship drift" antipattern where different platform components maintain different views of which entities are related, producing contradictory recommendations that erode user trust and require expensive engine-by-engine audits to diagnose.</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P22:  </w:t>
      </w:r>
      <w:r>
        <w:rPr>
          <w:rFonts w:ascii="Calibri" w:cs="Calibri" w:eastAsia="Calibri" w:hAnsi="Calibri"/>
          <w:b/>
          <w:bCs/>
          <w:color w:val="0F4D28"/>
          <w:sz w:val="30"/>
          <w:szCs w:val="30"/>
        </w:rPr>
        <w:t xml:space="preserve">Readiness gates are objective, not subjective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readiness gate in Green PM is defined by structured, measurable criteria — document counts, inspection records, approval states — that can be verified by the system, not assessed by professional judgment alone.</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Subjective readiness assessments are the primary source of milestone theater in EPC projects. A PM who declares "Construction Ready" based on professional judgment may be correct, or may be optimistic. Structured criteria make the assessment reproducible, auditable, and argument-proof.</w:t>
      </w:r>
    </w:p>
    <w:p>
      <w:pPr>
        <w:spacing w:after="100" w:before="60"/>
      </w:pPr>
      <w:r>
        <w:rPr>
          <w:rFonts w:ascii="Calibri" w:cs="Calibri" w:eastAsia="Calibri" w:hAnsi="Calibri"/>
          <w:color w:val="111827"/>
          <w:sz w:val="22"/>
          <w:szCs w:val="22"/>
        </w:rPr>
        <w:t xml:space="preserve">Readiness criteria in the Readiness Engine are configured in Green PM Studio (Readiness Criteria Builder). Each criterion is a system-verifiable check: drawing count against IFC register, permit status from a linked document record, material status from supply chain data, predecessor completion from schedule data. Human judgment is required to resolve blockers, not to assess readiness.</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Construction Readiness criteria include: all IFC drawings issued (system-verified against drawing register), all permits received (document-verified against permit record), all materials on site (supply chain verified via dispatch lifecycle), and all predecessor activities complete (schedule-verified). Green PM marks Construction Readiness as Met only when all four criteria return verified status — not when a PM says they feel ready.</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"milestone theater" antipattern where readiness is declared based on optimistic professional judgment rather than verifiable criteria, masking true project state until contractors are mobilised, costs are committed, and it is too late to act on the discovered gaps.</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P23:  </w:t>
      </w:r>
      <w:r>
        <w:rPr>
          <w:rFonts w:ascii="Calibri" w:cs="Calibri" w:eastAsia="Calibri" w:hAnsi="Calibri"/>
          <w:b/>
          <w:bCs/>
          <w:color w:val="0F4D28"/>
          <w:sz w:val="30"/>
          <w:szCs w:val="30"/>
        </w:rPr>
        <w:t xml:space="preserve">Simulation is mandatory before major change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Any change request that affects more than 5 project activities, costs more than a configured threshold, or touches the critical path must be simulated before it can be confirmed.</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Major changes are the primary cause of unplanned schedule overruns and cost blowouts in EPC projects. The Simulation Engine can run a full forward projection of any change scenario in seconds by traversing the PIG. There is no legitimate reason to confirm a major change without first seeing its projected impact.</w:t>
      </w:r>
    </w:p>
    <w:p>
      <w:pPr>
        <w:spacing w:after="100" w:before="60"/>
      </w:pPr>
      <w:r>
        <w:rPr>
          <w:rFonts w:ascii="Calibri" w:cs="Calibri" w:eastAsia="Calibri" w:hAnsi="Calibri"/>
          <w:color w:val="111827"/>
          <w:sz w:val="22"/>
          <w:szCs w:val="22"/>
        </w:rPr>
        <w:t xml:space="preserve">What constitutes a "Major" change is configured in Green PM Studio. The Simulation Engine triggers automatically when the Approve button is clicked on a Major-flagged change request. The simulation result must be acknowledged before the approval confirmation dialog appears. The PM can override but the override is logged with their identity and timestamp.</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change request to delay Drawing DWG-M-089 by 3 weeks is flagged as Major (it affects 7 activities and touches the critical path). When the PM clicks Approve, the Simulation Engine runs and displays: "+18 days to COD date, $2.4M additional cost exposure, 3 additional activities now on critical path, Vendor VMD-007 delivery window conflicts with revised installation start." The PM sees this before the approval confirmation.</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"gut-feel approval" antipattern where change requests are confirmed based on the approver's intuition about impact, leading to cascading discoveries post-approval that could have been avoided by a simulation that takes less time to run than the approval conversation.</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P24:  </w:t>
      </w:r>
      <w:r>
        <w:rPr>
          <w:rFonts w:ascii="Calibri" w:cs="Calibri" w:eastAsia="Calibri" w:hAnsi="Calibri"/>
          <w:b/>
          <w:bCs/>
          <w:color w:val="0F4D28"/>
          <w:sz w:val="30"/>
          <w:szCs w:val="30"/>
        </w:rPr>
        <w:t xml:space="preserve">Coordination owns the last 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Intelligence without coordination is noise; every engine output that requires action is connected to a trackable coordination item with a deadline, an assignee, and a verified closure requirement.</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The last mile from insight to outcome is where most project intelligence platforms fail. They generate excellent analysis and then leave it in a dashboard for someone to notice, act on, and close. The gap between "insight generated" and "action verified" is where project value is lost.</w:t>
      </w:r>
    </w:p>
    <w:p>
      <w:pPr>
        <w:spacing w:after="100" w:before="60"/>
      </w:pPr>
      <w:r>
        <w:rPr>
          <w:rFonts w:ascii="Calibri" w:cs="Calibri" w:eastAsia="Calibri" w:hAnsi="Calibri"/>
          <w:color w:val="111827"/>
          <w:sz w:val="22"/>
          <w:szCs w:val="22"/>
        </w:rPr>
        <w:t xml:space="preserve">The Coordination Engine owns this gap. Every Recommend output from the Recommendation Engine, every alignment gap from the Organizational Alignment Engine, and every risk alert from the Risk Engine that exceeds a threshold automatically generates a coordination item. Items without closure are escalated to the next responsible level after SLA breach.</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Every Recommend output from the Recommendation Engine carries a coordination_item_id. The coordination item has: description of the action required, suggested assignee from the PIG (ASSIGNED_TO edge), due date derived from the impact analysis, and a required verification step (evidence of action taken). The coordination item pipeline — Pending → Acknowledged → Executed → Verified → Closed — cannot be shortcut. Closure requires verification.</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"insight dashboard" antipattern where platforms accumulate increasingly sophisticated analysis that drives increasingly little action, because the connection from insight to tracked action to verified closure was never engineered — making the platform impressive to evaluate and useless in operation.</w:t>
      </w:r>
    </w:p>
    <w:p>
      <w:pPr>
        <w:pBdr>
          <w:bottom w:val="single" w:color="E5E7EB" w:sz="4"/>
        </w:pBdr>
        <w:spacing w:after="200" w:before="200"/>
      </w:pPr>
    </w:p>
    <w:p>
      <w:pPr>
        <w:spacing w:after="60" w:before="320"/>
      </w:pPr>
      <w:r>
        <w:rPr>
          <w:rFonts w:ascii="Calibri" w:cs="Calibri" w:eastAsia="Calibri" w:hAnsi="Calibri"/>
          <w:b/>
          <w:bCs/>
          <w:color w:val="0F4D28"/>
          <w:sz w:val="30"/>
          <w:szCs w:val="30"/>
        </w:rPr>
        <w:t xml:space="preserve">P25:  </w:t>
      </w:r>
      <w:r>
        <w:rPr>
          <w:rFonts w:ascii="Calibri" w:cs="Calibri" w:eastAsia="Calibri" w:hAnsi="Calibri"/>
          <w:b/>
          <w:bCs/>
          <w:color w:val="0F4D28"/>
          <w:sz w:val="30"/>
          <w:szCs w:val="30"/>
        </w:rPr>
        <w:t xml:space="preserve">An operating system is configured, not customised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80" w:before="80"/>
            </w:pPr>
            <w:r>
              <w:rPr>
                <w:rFonts w:ascii="Calibri" w:cs="Calibri" w:eastAsia="Calibri" w:hAnsi="Calibri"/>
                <w:b/>
                <w:bCs/>
                <w:color w:val="0F4D28"/>
                <w:sz w:val="22"/>
                <w:szCs w:val="22"/>
              </w:rPr>
              <w:t xml:space="preserve">Every Green PM deployment is achieved through a tenant record and Green PM Studio configuration; there is no deployment path that involves custom code, custom builds, or platform modifications.</w:t>
            </w:r>
          </w:p>
        </w:tc>
      </w:tr>
    </w:tbl>
    <w:p>
      <w:pPr>
        <w:pStyle w:val="Heading4"/>
        <w:spacing w:after="60" w:before="160"/>
      </w:pPr>
      <w:r>
        <w:rPr>
          <w:rFonts w:ascii="Calibri" w:cs="Calibri" w:eastAsia="Calibri" w:hAnsi="Calibri"/>
          <w:b/>
          <w:bCs/>
          <w:color w:val="6B7280"/>
          <w:sz w:val="20"/>
          <w:szCs w:val="20"/>
        </w:rPr>
        <w:t xml:space="preserve">Why it matters</w:t>
      </w:r>
    </w:p>
    <w:p>
      <w:pPr>
        <w:spacing w:after="100" w:before="60"/>
      </w:pPr>
      <w:r>
        <w:rPr>
          <w:rFonts w:ascii="Calibri" w:cs="Calibri" w:eastAsia="Calibri" w:hAnsi="Calibri"/>
          <w:color w:val="111827"/>
          <w:sz w:val="22"/>
          <w:szCs w:val="22"/>
        </w:rPr>
        <w:t xml:space="preserve">The operating system analogy is deliberate. An operating system does not write custom code for each user's preferences — it provides a configuration layer that is powerful enough to express any legitimate requirement. Green PM Studio's 15 builders are designed to cover every configuration requirement that any EPC client has ever requested.</w:t>
      </w:r>
    </w:p>
    <w:p>
      <w:pPr>
        <w:spacing w:after="100" w:before="60"/>
      </w:pPr>
      <w:r>
        <w:rPr>
          <w:rFonts w:ascii="Calibri" w:cs="Calibri" w:eastAsia="Calibri" w:hAnsi="Calibri"/>
          <w:color w:val="111827"/>
          <w:sz w:val="22"/>
          <w:szCs w:val="22"/>
        </w:rPr>
        <w:t xml:space="preserve">The commercial implication is direct: a deployment that requires no engineering involvement scales without limit. A deployment that requires even one engineer per client hits a scaling ceiling that caps the business. Green PM Studio exists to make the engineering-free deployment path the only path.</w:t>
      </w:r>
    </w:p>
    <w:p>
      <w:pPr>
        <w:pStyle w:val="Heading4"/>
        <w:spacing w:after="60" w:before="160"/>
      </w:pPr>
      <w:r>
        <w:rPr>
          <w:rFonts w:ascii="Calibri" w:cs="Calibri" w:eastAsia="Calibri" w:hAnsi="Calibri"/>
          <w:b/>
          <w:bCs/>
          <w:color w:val="6B7280"/>
          <w:sz w:val="20"/>
          <w:szCs w:val="20"/>
        </w:rPr>
        <w:t xml:space="preserve">How it manifests in the product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new client deployment produces exactly two artifacts: a tenant record in the database (name, industry, subscription tier, admin user, subdomain) and a Studio configuration package (gate model, readiness criteria, document schemas, workflow rules, integration connector credentials, dashboard layout, report templates). No code is committed. No engineer is involved after the Studio configuration is complete. The deployment can be performed by a trained implementation consultant.</w:t>
      </w:r>
    </w:p>
    <w:p>
      <w:pPr>
        <w:pStyle w:val="Heading4"/>
        <w:spacing w:after="60" w:before="160"/>
      </w:pPr>
      <w:r>
        <w:rPr>
          <w:rFonts w:ascii="Calibri" w:cs="Calibri" w:eastAsia="Calibri" w:hAnsi="Calibri"/>
          <w:b/>
          <w:bCs/>
          <w:color w:val="6B7280"/>
          <w:sz w:val="20"/>
          <w:szCs w:val="20"/>
        </w:rPr>
        <w:t xml:space="preserve">Tension it resolves</w:t>
      </w:r>
    </w:p>
    <w:p>
      <w:pPr>
        <w:spacing w:after="100" w:before="60"/>
      </w:pPr>
      <w:r>
        <w:rPr>
          <w:rFonts w:ascii="Calibri" w:cs="Calibri" w:eastAsia="Calibri" w:hAnsi="Calibri"/>
          <w:color w:val="111827"/>
          <w:sz w:val="22"/>
          <w:szCs w:val="22"/>
        </w:rPr>
        <w:t xml:space="preserve">Prevents the "deployment engineering" antipattern where each new client deployment requires engineering involvement to build client-specific features, creating a scaling bottleneck that makes the business model unsustainable as client count grows and engineering capacity becomes the constraint on revenue.</w:t>
      </w:r>
    </w:p>
    <w:p>
      <w:pPr>
        <w:pBdr>
          <w:bottom w:val="single" w:color="E5E7EB" w:sz="4"/>
        </w:pBdr>
        <w:spacing w:after="200" w:before="200"/>
      </w:pPr>
    </w:p>
    <w:p>
      <w:pPr>
        <w:pStyle w:val="Heading1"/>
        <w:pageBreakBefore/>
        <w:spacing w:after="160" w:before="480"/>
      </w:pPr>
      <w:r>
        <w:rPr>
          <w:rFonts w:ascii="Calibri" w:cs="Calibri" w:eastAsia="Calibri" w:hAnsi="Calibri"/>
          <w:b/>
          <w:bCs/>
          <w:color w:val="0F4D28"/>
          <w:sz w:val="40"/>
          <w:szCs w:val="40"/>
        </w:rPr>
        <w:t xml:space="preserve">3.  Quick Reference — 25 Principles at a Glance</w:t>
      </w:r>
    </w:p>
    <w:p>
      <w:pPr>
        <w:spacing w:after="100" w:before="60"/>
      </w:pPr>
      <w:r>
        <w:rPr>
          <w:rFonts w:ascii="Calibri" w:cs="Calibri" w:eastAsia="Calibri" w:hAnsi="Calibri"/>
          <w:color w:val="111827"/>
          <w:sz w:val="22"/>
          <w:szCs w:val="22"/>
        </w:rPr>
        <w:t xml:space="preserve">The following table summarises all 25 principles with their one-sentence statements. Use this as a rapid-check reference during sprint planning and design reviews.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w:t>
            </w:r>
          </w:p>
        </w:tc>
        <w:tc>
          <w:tcPr>
            <w:tcW w:type="dxa" w:w="29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Principle</w:t>
            </w:r>
          </w:p>
        </w:tc>
        <w:tc>
          <w:tcPr>
            <w:tcW w:type="dxa" w:w="57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P01</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Events, not screens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interaction, notification, and workflow in Green PM is initiated by a project event, not a screen visit or menu click.</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P02</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The PIG is the brain</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relationships between project entities are stored in the Project Intelligence Graph; no engine maintains its own independent relationship model.</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P03</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entity is a workspace</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Opening any project entity opens a complete workspace showing all connected information without requiring further navigation.</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P04</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Engines, not modules</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Green PM is organised into 17 cross-domain capability engines; the word "module" does not appear in any interface or decision.</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P05</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Readiness over progress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 PM prioritises readiness measurement over progress reporting; executives need to know if the project is ready for the next phase.</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P06</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Intelligence must reach closure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insight must be connected to a coordination item tracked to acknowledgment, execution, and verified closure.</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P07</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Institutional memory accumulates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 PM learns from every decision and outcome, and applies that learning to improve future engine outputs for that tenant.</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P08</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Simulation precedes action</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Before any major change decision is confirmed, Green PM runs a simulation showing projected impact on schedule, cost, and critical path.</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P09</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Alignment is not communication</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Sending information is not the same as ensuring it was acknowledged; acknowledgment is not the same as action having been taken.</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P10</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Consistency is not synchronisation</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Distributing updated information is not the same as ensuring that information is contradiction-free across all related entities.</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P11</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must be invisible</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AI capability is presented through project management verbs — Explain, Predict, Recommend, Search — never AI labels or engine names.</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P12</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precedes every claim</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engine output is accompanied by an evidence_refs[] array linking to the source data that produced it.</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P13</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Deterministic where possible, AI where reasoning helps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Use deterministic calculation where the result can be specified exactly; use AI only where pattern recognition or language generation adds genuine value.</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P14</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Configuration is not code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client customisation is achieved through Green PM Studio; no client requirement ever produces a code change, branch, or fork.</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P15</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Coexistence before replacement</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Green PM enters as an intelligence layer on top of existing tools; replacement is earned through demonstrated value, not mandated at deployment.</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P16</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score is explainable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score is computed by a published, reproducible formula that any user can verify independently.</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P17</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Human confirms before anything happens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No project record update, coordination item, or notification takes effect without explicit confirmation from an authorised human user.</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P18</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Wrong-tenant = 404</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Any cross-tenant data access attempt returns a 404, never a 403, and never any indication that the referenced resource exists.</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P19</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The platform learns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decision, outcome, and pattern accumulates in the Organizational Memory Engine and improves subsequent engine outputs for that tenant.</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P20</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Speed belongs to the engine, not the user</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intelligence processing happens in the background, driven by events; users see results, never processing spinners.</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P21</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The graph is the source of truth for relationships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The PIG is the single authoritative source for all relationships; no engine, cache, or UI component may maintain its own relationship model.</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P22</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 gates are objective, not subjective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readiness gate is defined by structured, system-verifiable criteria, not assessed by professional judgment alone.</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P23</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is mandatory before major change decisions</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Any change affecting more than 5 activities, exceeding a cost threshold, or touching the critical path must be simulated before confirmation.</w:t>
            </w:r>
          </w:p>
        </w:tc>
      </w:tr>
      <w:tr>
        <w:tc>
          <w:tcPr>
            <w:tcW w:type="dxa" w:w="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P24</w:t>
            </w:r>
          </w:p>
        </w:tc>
        <w:tc>
          <w:tcPr>
            <w:tcW w:type="dxa" w:w="2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 owns the last mile</w:t>
            </w:r>
          </w:p>
        </w:tc>
        <w:tc>
          <w:tcPr>
            <w:tcW w:type="dxa" w:w="5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Every engine output requiring action is connected to a trackable coordination item with deadline, assignee, and verified closure requirement.</w:t>
            </w:r>
          </w:p>
        </w:tc>
      </w:tr>
      <w:tr>
        <w:tc>
          <w:tcPr>
            <w:tcW w:type="dxa" w:w="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P25</w:t>
            </w:r>
          </w:p>
        </w:tc>
        <w:tc>
          <w:tcPr>
            <w:tcW w:type="dxa" w:w="2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An operating system is configured, not customised</w:t>
            </w:r>
          </w:p>
        </w:tc>
        <w:tc>
          <w:tcPr>
            <w:tcW w:type="dxa" w:w="5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Every deployment is achieved through a tenant record and Studio configuration; no deployment path involves custom code or platform modifications.</w:t>
            </w:r>
          </w:p>
        </w:tc>
      </w:tr>
    </w:tbl>
    <w:p>
      <w:pPr>
        <w:spacing w:after="0" w:before="160"/>
      </w:pPr>
    </w:p>
    <w:p>
      <w:pPr>
        <w:pBdr>
          <w:bottom w:val="single" w:color="E5E7EB" w:sz="4"/>
        </w:pBdr>
        <w:spacing w:after="200" w:before="200"/>
      </w:pPr>
    </w:p>
    <w:p>
      <w:pPr>
        <w:spacing w:after="0" w:before="240"/>
        <w:jc w:val="center"/>
      </w:pPr>
      <w:r>
        <w:rPr>
          <w:rFonts w:ascii="Calibri" w:cs="Calibri" w:eastAsia="Calibri" w:hAnsi="Calibri"/>
          <w:color w:val="6B7280"/>
          <w:sz w:val="18"/>
          <w:szCs w:val="18"/>
        </w:rPr>
        <w:t xml:space="preserve">Green PM  ·  Product Principles  ·  Version 5.0  ·  August 2026</w:t>
      </w:r>
    </w:p>
    <w:p>
      <w:pPr>
        <w:spacing w:after="0" w:before="40"/>
        <w:jc w:val="center"/>
      </w:pPr>
      <w:r>
        <w:rPr>
          <w:rFonts w:ascii="Calibri" w:cs="Calibri" w:eastAsia="Calibri" w:hAnsi="Calibri"/>
          <w:color w:val="9CA3AF"/>
          <w:sz w:val="16"/>
          <w:szCs w:val="16"/>
        </w:rPr>
        <w:t xml:space="preserve">P01–P20: carry forward from earlier versions with v5 updates. P21–P25: new in v5.</w:t>
      </w:r>
    </w:p>
    <w:p>
      <w:pPr>
        <w:spacing w:after="0" w:before="20"/>
        <w:jc w:val="center"/>
      </w:pPr>
      <w:r>
        <w:rPr>
          <w:rFonts w:ascii="Calibri" w:cs="Calibri" w:eastAsia="Calibri" w:hAnsi="Calibri"/>
          <w:color w:val="9CA3AF"/>
          <w:sz w:val="16"/>
          <w:szCs w:val="16"/>
        </w:rPr>
        <w:t xml:space="preserve">Hard rule: no feature is finalised without verification against these 25 principles. P01, P12, P17, P18 cannot be overridden under any circumstances.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PM v5.0 — Product Principles</dc:title>
  <dc:creator>Green PM Product Team</dc:creator>
  <cp:lastModifiedBy>Un-named</cp:lastModifiedBy>
  <cp:revision>1</cp:revision>
  <dcterms:created xsi:type="dcterms:W3CDTF">2026-08-03T11:05:10.224Z</dcterms:created>
  <dcterms:modified xsi:type="dcterms:W3CDTF">2026-08-03T11:05:10.226Z</dcterms:modified>
</cp:coreProperties>
</file>

<file path=docProps/custom.xml><?xml version="1.0" encoding="utf-8"?>
<Properties xmlns="http://schemas.openxmlformats.org/officeDocument/2006/custom-properties" xmlns:vt="http://schemas.openxmlformats.org/officeDocument/2006/docPropsVTypes"/>
</file>