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alibri" w:cs="Calibri" w:eastAsia="Calibri" w:hAnsi="Calibri"/>
          <w:b/>
          <w:bCs/>
          <w:color w:val="2E7D32"/>
          <w:sz w:val="44"/>
          <w:szCs w:val="44"/>
        </w:rPr>
        <w:t xml:space="preserve">Green PM  v5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5E20"/>
          <w:sz w:val="56"/>
          <w:szCs w:val="56"/>
        </w:rPr>
        <w:t xml:space="preserve">Project Command Centre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Executive Intelligence Interface — Technical Reference</w:t>
      </w:r>
    </w:p>
    <w:p>
      <w:pPr>
        <w:spacing w:after="72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Version 5.0  |  August 2026</w:t>
      </w:r>
    </w:p>
    <w:p>
      <w:r>
        <w:br w:type="page"/>
      </w:r>
    </w:p>
    <w:p>
      <w:pPr>
        <w:pBdr>
          <w:bottom w:val="single" w:color="1B5E20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1.  Philosophy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"The Project Command Centre is not a dashboard. It is the answer to the questions executives ask at 7am on Monday morning: Is the project on track? Where are the risks? What decisions need my attention? What is the project actually ready for?"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Project Command Centre (PCC) is Green PM's executive interface — an 8-panel intelligence system that continuously translates the full state of the Project Intelligence Graph into answers that EPC executives can act on. Every panel answers a specific question. Every metric has evidence. Every alert is actionable.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PCC is not a reporting tool. Reports are periodic. The PCC is continuous. Firestore subscriptions push updates to every panel the instant underlying data changes. When a drawing is issued IFC, Panel 6 updates. When a risk is escalated, Panel 4 updates. When a decision is submitted for approval, Panel 8 updates — simultaneously, in real time, for every user with the panel open.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1.1  Executive Digital Twin (EDT)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Executive Digital Twin is the centrepiece of the PCC. It is architecturally distinct from the Project Intelligence Graph: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PIG (Project Intelligence Graph): stores reality — all entities, all relationships, all events, continuously updated via event-driven Pub/Sub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EDT (Executive Digital Twin): summarises reality — a structured weekly snapshot of where the project stands, where it is heading, and what the executive must decide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EDT Generation Schedule: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Automated weekly run: every Monday 06:00 — Cloud Scheduler triggers Pub/Sub → EDT Generator Cloud Run service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On-demand refresh: any authorised user can trigger a full regeneration at any 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Partial refresh: triggered automatically by major events — change order approved, critical milestone impacted, high-severity risk raised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EDT Generation Pipeline: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Forecasting Engine → schedule trajectory (completion date P50/P80), cost trajectory (final cost P50/P80)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Recommendation Engine → top 10 prioritised, evidence-backed recommendations for the week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Decision Engine → open decisions in pending_review or under_review state requiring executive sign-off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Organizational Memory Engine → institutional context: similar past project state, past decisions, patterns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EDT Three 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Reality: current project state with evidence — schedule SPI, cost CPI, Evidence Score distribution, active risk count, open decision count; every number is backed by evidence references in the PIG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Forecast: trajectory — completion date P50/P80, final cost P50/P80, COD Readiness score (Readiness Engine), cash flow forecast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Required Decisions: 3-5 decisions requiring executive sign-off this week, ranked by schedule/cost impact; each shows: title, decision type, impact summary, recommended option from Organizational Memory Engine, evidence count, urgency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 charts without narrative context. No KPIs without trend direction. The EDT is designed to be read in under 5 minutes and acted on immediately.</w:t>
      </w:r>
    </w:p>
    <w:p>
      <w:r>
        <w:br w:type="page"/>
      </w:r>
    </w:p>
    <w:p>
      <w:pPr>
        <w:pBdr>
          <w:bottom w:val="single" w:color="1B5E20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2.  The 8 Panels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Every panel in the Project Command Centre answers a specific executive question. Data flows from the Project Intelligence Graph via Firestore real-time subscriptions — every panel updates immediately when the underlying data changes. Panel visibility is role-controlled (see Section 3).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1 — Executive Summary (Executive Digital Twin)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"Is this project on track to deliver on time and within budget?"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Reality section: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Schedule Performance Index (SPI): current period value with trend arrow (vs last period)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 Performance Index (CPI): current period value with trend arrow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Evidence Score distribution: breakdown of all project activities by evidence score band — High (&gt;0.7), Medium (0.4-0.7), Low (0.1-0.4), None (0)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Active risks: count by severity — Critical / High / Medium; delta from last EDT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Open decisions: count by state — pending_review / under_review / deferred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Forecast section: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Completion date P50 and P80 (Monte Carlo simulation output from Forecasting Engine)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Final project cost P50 and P80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COD Readiness Score — composite score from Readiness Engine across all 6 gates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Cash flow forecast: next 3 months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Required Decisions (EDT sign-off queue):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3-5 decisions requiring executive sign-off this week, ranked by combined schedule and cost impact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card shows: decision title, decision type, impact summary (days / currency), recommended option (Organizational Memory Engine), evidence count cited, deadline for response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Generated weekly (Monday 06:00) + on-demand refresh + partial refresh on major events.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Executive, Project Director, PMO.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2 — Schedule Intelligence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"What activities are critical? Where is the float?"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CPM summary: total active activities, critical path count, near-critical count (float &lt; 5 days), total float consumed this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Critical path activity list: activity ID, name, planned finish, forecast finish, total float, responsible discipline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Float heatmap: colour-coded grid by work package — red (float &lt; 0 days), amber (0-5), yellow (5-14), green (&gt;14)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Predecessor analysis: activities whose predecessors are incomplete, with days late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Activities at risk: float &lt; 5 days, ranked by schedule impact — the 'watch list'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Milestone forecast: next 5 milestones — planned date, forecast date, variance in days, status pill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Near-critical activities: float 5-14 days, monitoring list, sorted by proximity to critical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Dependency &amp; Chain Analysis Engine (CPM computation over PIG traversal), Forecasting Engine (milestone dates from schedule model).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via PIG traversal result cache; recalculated on every schedule event (progress update, predecessor completion, date change).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Project Director, Planner, PMO, Executive.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3 — Change Intelligence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"What changes are affecting the project? What do I need to approve?"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Open changes by impact level: Critical / High / Medium / Low — count and combined cost impact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Approval queue: changes awaiting this user's approval, sorted by deadline; shows: change title, type, cost impact, schedule impact, evidence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Budget variance from changes: approved change value vs original approved budget — total authorised vs original contract sum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Most impactful pending change: PIG traversal showing full impact chain — affected activities, affected drawings, affected materials, affected milestones, with cascade summary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Change velocity: changes raised this week vs last week (trend indicator — accelerating / stable / decelerating)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Change type breakdown: scope, design, commercial, regulatory, weather, other — pie / bar summary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Change Intelligence Engine (change records, approval queues), Impact Analysis Engine (PIG traversal per change for cascade impact).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— updates on every change event (new change raised, status transition, approval action taken).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Executive (approval queue + summary only), Project Director, Change Manager, PMO.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4 — Risk &amp; Forecast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"What could go wrong? What's the worst case?"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Risk heat map: 5x5 probability-by-impact matrix, colour-coded by zone (red / amber / yellow / green); each cell shows risk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Top 5 risks: ranked by risk score (probability x impact x proximity); shows: risk title, score, owner, mitigation status, days to trigger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Monte Carlo schedule outputs: P50 / P80 / P90 completion dates with confidence interval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Monte Carlo cost outputs: P50 / P80 / P90 final cost with confidence interval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Readiness gates summary: 6 gates — Engineering, Material, Construction, Quality, Commissioning, COD — each showing percentage complete and blocking item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Risks with no mitigation plan: count and list (action required — Recommendation Engine alert)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Risk trend: new risks this week, closed risks this week, net change vs last week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Risk Engine (risk register, heat map, Monte Carlo inputs), Forecasting Engine (Monte Carlo execution, P-values), Readiness Engine (gate status per gate type).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Nightly (full Monte Carlo recalculation by Forecasting Engine scheduler) + real-time (new risk event, risk status change, mitigation update).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All roles.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5 — Vendor &amp; Supply Chain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"Are vendors performing? Will materials arrive on time?"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Vendor scorecards: top 5 vendors by composite score and bottom 3 vendors by composite score — shows 6-dimension radar: quality, delivery, responsiveness, documentation, commercial, relationship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Material readiness score: overall percentage of materials confirmed on-site or confirmed in transit with verified ETA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Critical dispatches: dispatches on or affecting the critical path — ETA, risk flag (on-time / at-risk / overdue), days to required-on-site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Overdue deliveries: count, combined value, maximum schedule impact in days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Vendor alerts this week: NCRs raised, delivery delays formally notified, documentation submissions outstanding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Supply chain heat map: by discipline — showing material readiness level per work package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Vendor Intelligence Engine (6-dimension scorecards, NCRs, performance causal attribution), Supply Chain Intelligence Engine (material readiness scoring, 10-stage dispatch lifecycle).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on dispatch events (dispatch created, status updated, ETA changed, received) + daily batch scorecard recalculation.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Project Director, Procurement Manager, PMO, Executive.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6 — Engineering &amp; Readiness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"Is engineering progressing? Are we ready for construction?"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Drawing register status: IFC percentage, pending-review percentage, revision-in-progress count — broken down by discipline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Drawings on critical path: count of critical-path activities with pending IFC drawings; those overdue for issue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Engineering Readiness gate: overall gate status (% complete), blocking item count, and named blocking items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Construction Readiness gate: overall gate status (% complete), blocking item count, responsible party per item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Drawing revision conflicts: drawings with active consistency alerts from Synchronization &amp; Consistency Engine (e.g., drawing Rev D specifies equipment not in PO; drawing conflicts with specification)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RFI backlog: open RFIs by age bucket — less than 7 days / 7-14 days / over 14 days; total count and oldest open RFI date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Drawing workspace data via PIG (revision history, IFC status, RFI log), Readiness Engine (gate criteria completion per gate), Synchronization &amp; Consistency Engine (drawing conflict detection).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on drawing events — upload, IFC issue, revision created, RFI raised, comment resolved.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Engineering Manager, Project Director, PMO, Executive.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7 — Evidence &amp; Quality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"How much evidence do we have? What's unverified?"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Evidence score distribution: histogram of all active activity evidence scores — High (&gt;0.7), Medium (0.4-0.7), Low (0.1-0.4), None (0); total count per band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Activities with verification_required flag: count and list by discipline — these are activities with evidence flagged for manual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Activities with zero evidence: count, percentage of total active activities, and list of critical-path activities with zero evidence (highest risk)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QA/QC inspection pass rate: inspections passed vs total inspections conducted this reporting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Evidence ingestion rate: evidence items captured this week vs last week (trend: increasing / stable / decreasing)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Capture type breakdown: photos / videos / voice memos / IoT sensor readings / inspection records / test certificates / document uploads — count and percentage mix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Evidence Engine (Evidence Score v5 computation, ingestion pipeline, verification flags), QA/QC inspection records in PIG.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on evidence ingestion events — every photo upload, voice memo, sensor reading, and document import triggers an immediate update.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QA/QC Manager, Site Manager, Project Director, PMO, Auditor.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Panel 8 — Decisions &amp; Actions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question: "What decisions are open? What actions are overdue?"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Metrics shown: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Open decisions by state: pending_review / under_review / deferred — count per state and oldest item age per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Decisions overdue for response: decisions in pending_review or under_review with no action by the assigned approver for &gt; 48 hours — with escalation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Coordination items by status: pending / acknowledged / in_progress / overdue / closed — count per status; overdue items highlighted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Overdue coordination items: count and named list, grouped by responsible party, with days overdue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Open action items: by assignee, due date, and priority — all users can see their own; Project Director sees 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Decision throughput: decisions closed this week vs decisions raised this week (resolution velocity — is governance keeping up with events?)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 sources: Decision Engine (decision records and state machine), Coordination Engine (coordination item lifecycle — event to closure).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mechanism: Real-time via Firestore subscription — updates immediately on any decision state transition or coordination item status change.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Role visibility: All roles — filtered to user's own items by default; Project Director and PMO see all items.</w:t>
      </w:r>
    </w:p>
    <w:p>
      <w:r>
        <w:br w:type="page"/>
      </w:r>
    </w:p>
    <w:p>
      <w:pPr>
        <w:pBdr>
          <w:bottom w:val="single" w:color="1B5E20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3.  Role-Based Panel Configuration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Each role has a default panel configuration defined in Green PM Studio (Role &amp; Permission Builder). Defaults can be overridden per tenant. Hidden panels cannot be accessed by that role unless explicitly unlocked.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rPr>
          <w:tblHeader/>
        </w:trPr>
        <w:tc>
          <w:tcPr>
            <w:tcW w:type="dxa" w:w="200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Panels</w:t>
            </w:r>
          </w:p>
        </w:tc>
        <w:tc>
          <w:tcPr>
            <w:tcW w:type="dxa" w:w="250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Hidden Panels</w:t>
            </w:r>
          </w:p>
        </w:tc>
        <w:tc>
          <w:tcPr>
            <w:tcW w:type="dxa" w:w="186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 Widgets Available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Executive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(EDT), 4 (Risk &amp; Forecast), 8 (Decisions &amp; Actions)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(Evidence detail), 6 (Engineering detail), 5 (Vendor detail), 2 (Schedule detail)</w:t>
            </w:r>
          </w:p>
        </w:tc>
        <w:tc>
          <w:tcPr>
            <w:tcW w:type="dxa" w:w="18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 Readiness Gauge, Decision Sign-off Queue, SPI/CPI Trend</w:t>
            </w:r>
          </w:p>
        </w:tc>
      </w:tr>
      <w:tr>
        <w:tc>
          <w:tcPr>
            <w:tcW w:type="dxa" w:w="2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3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8 panels</w:t>
            </w:r>
          </w:p>
        </w:tc>
        <w:tc>
          <w:tcPr>
            <w:tcW w:type="dxa" w:w="25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8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widgets available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PMO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1, 2, 3, 4, 8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(Vendor detail)</w:t>
            </w:r>
          </w:p>
        </w:tc>
        <w:tc>
          <w:tcPr>
            <w:tcW w:type="dxa" w:w="18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Milestone Tracker, Change Budget Summary, Risk Heatmap</w:t>
            </w:r>
          </w:p>
        </w:tc>
      </w:tr>
      <w:tr>
        <w:tc>
          <w:tcPr>
            <w:tcW w:type="dxa" w:w="2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3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(Schedule), 6 (Engineering), 7 (Evidence)</w:t>
            </w:r>
          </w:p>
        </w:tc>
        <w:tc>
          <w:tcPr>
            <w:tcW w:type="dxa" w:w="25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5, 8</w:t>
            </w:r>
          </w:p>
        </w:tc>
        <w:tc>
          <w:tcPr>
            <w:tcW w:type="dxa" w:w="18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Drawing Status Board, RFI Tracker, IFC Progress Chart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(Vendor &amp; Supply Chain)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1, 2, 3, 4, 6, 7, 8</w:t>
            </w:r>
          </w:p>
        </w:tc>
        <w:tc>
          <w:tcPr>
            <w:tcW w:type="dxa" w:w="18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Scorecard, Dispatch Tracker, Material Readiness Gauge</w:t>
            </w:r>
          </w:p>
        </w:tc>
      </w:tr>
      <w:tr>
        <w:tc>
          <w:tcPr>
            <w:tcW w:type="dxa" w:w="2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QA/QC Manager</w:t>
            </w:r>
          </w:p>
        </w:tc>
        <w:tc>
          <w:tcPr>
            <w:tcW w:type="dxa" w:w="3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(Evidence &amp; Quality), 6 (Engineering)</w:t>
            </w:r>
          </w:p>
        </w:tc>
        <w:tc>
          <w:tcPr>
            <w:tcW w:type="dxa" w:w="25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1, 3, 5</w:t>
            </w:r>
          </w:p>
        </w:tc>
        <w:tc>
          <w:tcPr>
            <w:tcW w:type="dxa" w:w="18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 Pass Rate, Evidence Score Trend, Zero-Evidence List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(Schedule), 6 (Engineering), 7 (Evidence), 8 (Decisions)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1, 3, 5</w:t>
            </w:r>
          </w:p>
        </w:tc>
        <w:tc>
          <w:tcPr>
            <w:tcW w:type="dxa" w:w="18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Evidence Board, Coordination Items, Daily Float Summary</w:t>
            </w:r>
          </w:p>
        </w:tc>
      </w:tr>
      <w:tr>
        <w:tc>
          <w:tcPr>
            <w:tcW w:type="dxa" w:w="2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Commissioning Manager</w:t>
            </w:r>
          </w:p>
        </w:tc>
        <w:tc>
          <w:tcPr>
            <w:tcW w:type="dxa" w:w="3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(Risk), 6 (Engineering), 8 (Decisions)</w:t>
            </w:r>
          </w:p>
        </w:tc>
        <w:tc>
          <w:tcPr>
            <w:tcW w:type="dxa" w:w="25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3, 5, 7</w:t>
            </w:r>
          </w:p>
        </w:tc>
        <w:tc>
          <w:tcPr>
            <w:tcW w:type="dxa" w:w="18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Readiness Gate Status, COD Tracker, System Completion List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(Evidence), 8 (Decisions — read-only)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1, 2, 3, 4, 5, 6</w:t>
            </w:r>
          </w:p>
        </w:tc>
        <w:tc>
          <w:tcPr>
            <w:tcW w:type="dxa" w:w="18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Audit Trail (read-only), Decision Log (read-only)</w:t>
            </w:r>
          </w:p>
        </w:tc>
      </w:tr>
      <w:tr>
        <w:tc>
          <w:tcPr>
            <w:tcW w:type="dxa" w:w="2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Portal User</w:t>
            </w:r>
          </w:p>
        </w:tc>
        <w:tc>
          <w:tcPr>
            <w:tcW w:type="dxa" w:w="30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(own scorecard + dispatches only)</w:t>
            </w:r>
          </w:p>
        </w:tc>
        <w:tc>
          <w:tcPr>
            <w:tcW w:type="dxa" w:w="25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1, 2, 3, 4, 6, 7, 8</w:t>
            </w:r>
          </w:p>
        </w:tc>
        <w:tc>
          <w:tcPr>
            <w:tcW w:type="dxa" w:w="18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 Delivery Performance, Own NCR Log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Note: Panel visibility is enforced server-side — hidden panels return 403 Forbidden on direct API calls. Client-side hiding is a UX convenience only, not a security control.</w:t>
      </w:r>
    </w:p>
    <w:p>
      <w:r>
        <w:br w:type="page"/>
      </w:r>
    </w:p>
    <w:p>
      <w:pPr>
        <w:pBdr>
          <w:bottom w:val="single" w:color="1B5E20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4.  Mobile Command Centre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Mobile Command Centre is the project-site-optimised view of the PCC — same intelligence, same real-time data, adapted for a 375px-wide viewport. It is not a separate application: the web application responds to device viewport and renders a stacked, touch-optimised layout.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4.1  Design Principles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Same 8 panels, stacked vertically in role-priority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panel shows its single most important metric — the 'key metric' — with a trend indicator (up/down/stable arrow)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Tap any panel card to expand to full panel detail view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Panel order is role-defaulted and further configurable in Green PM Studio (Role &amp; Permission Builder)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Push notifications via FCM — critical alerts deep-link directly to the relevant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Offline mode: last-loaded panel state is available offline; sync resumes when connectivity returns</w:t>
      </w:r>
    </w:p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4.2  Key Metric by Panel (Mobile 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20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 (Mobile)</w:t>
            </w:r>
          </w:p>
        </w:tc>
        <w:tc>
          <w:tcPr>
            <w:tcW w:type="dxa" w:w="336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 Threshold for Push Notification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EDT</w:t>
            </w:r>
          </w:p>
        </w:tc>
        <w:tc>
          <w:tcPr>
            <w:tcW w:type="dxa" w:w="4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 + CPI combined status pill: On Track / At Risk / Critical</w:t>
            </w:r>
          </w:p>
        </w:tc>
        <w:tc>
          <w:tcPr>
            <w:tcW w:type="dxa" w:w="33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CPI &lt; 0.9 or SPI &lt; 0.9</w:t>
            </w:r>
          </w:p>
        </w:tc>
      </w:tr>
      <w:tr>
        <w:tc>
          <w:tcPr>
            <w:tcW w:type="dxa" w:w="18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Schedule</w:t>
            </w:r>
          </w:p>
        </w:tc>
        <w:tc>
          <w:tcPr>
            <w:tcW w:type="dxa" w:w="42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path count + float trend direction</w:t>
            </w:r>
          </w:p>
        </w:tc>
        <w:tc>
          <w:tcPr>
            <w:tcW w:type="dxa" w:w="33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activity joins critical path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Change</w:t>
            </w:r>
          </w:p>
        </w:tc>
        <w:tc>
          <w:tcPr>
            <w:tcW w:type="dxa" w:w="4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approvals count + total pending budget impact</w:t>
            </w:r>
          </w:p>
        </w:tc>
        <w:tc>
          <w:tcPr>
            <w:tcW w:type="dxa" w:w="33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overdue &gt; 24h</w:t>
            </w:r>
          </w:p>
        </w:tc>
      </w:tr>
      <w:tr>
        <w:tc>
          <w:tcPr>
            <w:tcW w:type="dxa" w:w="18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Risk &amp; Forecast</w:t>
            </w:r>
          </w:p>
        </w:tc>
        <w:tc>
          <w:tcPr>
            <w:tcW w:type="dxa" w:w="42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Critical risks count + schedule P80 date</w:t>
            </w:r>
          </w:p>
        </w:tc>
        <w:tc>
          <w:tcPr>
            <w:tcW w:type="dxa" w:w="33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Critical risk raised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— Vendor &amp; Supply Chain</w:t>
            </w:r>
          </w:p>
        </w:tc>
        <w:tc>
          <w:tcPr>
            <w:tcW w:type="dxa" w:w="4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readiness score % + overdue deliveries count</w:t>
            </w:r>
          </w:p>
        </w:tc>
        <w:tc>
          <w:tcPr>
            <w:tcW w:type="dxa" w:w="33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material overdue</w:t>
            </w:r>
          </w:p>
        </w:tc>
      </w:tr>
      <w:tr>
        <w:tc>
          <w:tcPr>
            <w:tcW w:type="dxa" w:w="18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— Engineering</w:t>
            </w:r>
          </w:p>
        </w:tc>
        <w:tc>
          <w:tcPr>
            <w:tcW w:type="dxa" w:w="42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IFC percentage + drawing conflicts count</w:t>
            </w:r>
          </w:p>
        </w:tc>
        <w:tc>
          <w:tcPr>
            <w:tcW w:type="dxa" w:w="33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Drawing on critical path overdue IFC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— Evidence</w:t>
            </w:r>
          </w:p>
        </w:tc>
        <w:tc>
          <w:tcPr>
            <w:tcW w:type="dxa" w:w="4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coverage % (activities with score &gt; 0.4) + unverified count</w:t>
            </w:r>
          </w:p>
        </w:tc>
        <w:tc>
          <w:tcPr>
            <w:tcW w:type="dxa" w:w="336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path activity with zero evidence</w:t>
            </w:r>
          </w:p>
        </w:tc>
      </w:tr>
      <w:tr>
        <w:tc>
          <w:tcPr>
            <w:tcW w:type="dxa" w:w="18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— Decisions &amp; Actions</w:t>
            </w:r>
          </w:p>
        </w:tc>
        <w:tc>
          <w:tcPr>
            <w:tcW w:type="dxa" w:w="420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decisions count + overdue items count</w:t>
            </w:r>
          </w:p>
        </w:tc>
        <w:tc>
          <w:tcPr>
            <w:tcW w:type="dxa" w:w="3360"/>
            <w:shd w:fill="F1F8E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overdue &gt; 48h</w:t>
            </w:r>
          </w:p>
        </w:tc>
      </w:tr>
    </w:tbl>
    <w:p>
      <w:pPr>
        <w:spacing w:after="60" w:before="6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4.3  Implementation Notes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Responsive breakpoints: desktop &gt;= 1024px (full 8-panel grid), tablet 768-1023px (2-column stacked), mobile &lt; 768px (single-column stacked)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Same Firestore subscriptions as desktop — no separate mobile API; data is identical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Evidence capture (photos, voice) accessible from mobile via Panel 7 expand view — taps into native camera and microphone APIs via the mobile browser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FCM push notifications require user opt-in per device — managed in Green PM Studio (Notification Rule Builder)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GreenPM v5 Project Command Centre</dc:title>
  <dc:creator>Green PM</dc:creator>
  <dc:description>Technical reference for the Project Command Centre — Green PM executive intelligence interface</dc:description>
  <cp:lastModifiedBy>Un-named</cp:lastModifiedBy>
  <cp:revision>1</cp:revision>
  <dcterms:created xsi:type="dcterms:W3CDTF">2026-08-03T11:57:16.652Z</dcterms:created>
  <dcterms:modified xsi:type="dcterms:W3CDTF">2026-08-03T11:57:16.657Z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