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B5E20"/>
          <w:sz w:val="32"/>
          <w:szCs w:val="32"/>
        </w:rPr>
        <w:t xml:space="preserve">Green PM v5</w:t>
      </w:r>
    </w:p>
    <w:p>
      <w:pPr>
        <w:spacing w:after="200"/>
      </w:pPr>
      <w:r>
        <w:rPr>
          <w:rFonts w:ascii="Calibri" w:cs="Calibri" w:eastAsia="Calibri" w:hAnsi="Calibri"/>
          <w:b/>
          <w:bCs/>
          <w:color w:val="1B5E20"/>
          <w:sz w:val="44"/>
          <w:szCs w:val="44"/>
        </w:rPr>
        <w:t xml:space="preserve">Supply Chain Intelligence Platform</w:t>
      </w:r>
    </w:p>
    <w:p>
      <w:pPr>
        <w:spacing w:after="80"/>
      </w:pPr>
      <w:r>
        <w:rPr>
          <w:rFonts w:ascii="Calibri" w:cs="Calibri" w:eastAsia="Calibri" w:hAnsi="Calibri"/>
          <w:i/>
          <w:iCs/>
          <w:color w:val="757575"/>
          <w:sz w:val="20"/>
          <w:szCs w:val="20"/>
        </w:rPr>
        <w:t xml:space="preserve">Technical Reference Document  |  Version 5.0  |  August 2026</w:t>
      </w:r>
    </w:p>
    <w:p>
      <w:pPr>
        <w:spacing w:after="80"/>
      </w:pPr>
      <w:r>
        <w:rPr>
          <w:rFonts w:ascii="Calibri" w:cs="Calibri" w:eastAsia="Calibri" w:hAnsi="Calibri"/>
          <w:i/>
          <w:iCs/>
          <w:color w:val="757575"/>
          <w:sz w:val="20"/>
          <w:szCs w:val="20"/>
        </w:rPr>
        <w:t xml:space="preserve">Classification: Internal — Engineering &amp; PMO Teams</w:t>
      </w:r>
    </w:p>
    <w:p>
      <w:pPr>
        <w:spacing w:after="160"/>
      </w:pPr>
    </w:p>
    <w:p>
      <w:pPr>
        <w:pStyle w:val="Heading1"/>
        <w:spacing w:after="160" w:before="400"/>
      </w:pPr>
      <w:r>
        <w:rPr>
          <w:rFonts w:ascii="Calibri" w:cs="Calibri" w:eastAsia="Calibri" w:hAnsi="Calibri"/>
          <w:b/>
          <w:bCs/>
          <w:color w:val="1B5E20"/>
          <w:sz w:val="28"/>
          <w:szCs w:val="28"/>
        </w:rPr>
        <w:t xml:space="preserve">1. Material Readiness Score</w:t>
      </w:r>
    </w:p>
    <w:p>
      <w:pPr>
        <w:spacing w:after="140" w:line="280"/>
      </w:pPr>
      <w:r>
        <w:rPr>
          <w:rFonts w:ascii="Calibri" w:cs="Calibri" w:eastAsia="Calibri" w:hAnsi="Calibri"/>
          <w:color w:val="212121"/>
          <w:sz w:val="22"/>
          <w:szCs w:val="22"/>
        </w:rPr>
        <w:t xml:space="preserve">The Material Readiness Score is computed by the Supply Chain Intelligence Engine for each activity that requires materials. It represents the degree to which all required materials are on site, inspected, and stored correctly. The score directly feeds into the Readiness Engine's Material Readiness Gate.</w:t>
      </w:r>
    </w:p>
    <w:p>
      <w:pPr>
        <w:spacing w:after="140" w:line="280"/>
      </w:pPr>
      <w:r>
        <w:rPr>
          <w:rFonts w:ascii="Calibri" w:cs="Calibri" w:eastAsia="Calibri" w:hAnsi="Calibri"/>
          <w:color w:val="212121"/>
          <w:sz w:val="22"/>
          <w:szCs w:val="22"/>
        </w:rPr>
        <w:t xml:space="preserve">Material Readiness Score formula:</w:t>
      </w:r>
    </w:p>
    <w:p>
      <w:pPr>
        <w:spacing w:after="140" w:line="280"/>
      </w:pPr>
      <w:r>
        <w:rPr>
          <w:rFonts w:ascii="Calibri" w:cs="Calibri" w:eastAsia="Calibri" w:hAnsi="Calibri"/>
          <w:b/>
          <w:bCs/>
          <w:color w:val="212121"/>
          <w:sz w:val="22"/>
          <w:szCs w:val="22"/>
        </w:rPr>
        <w:t xml:space="preserve">Score = (on_site_count / total_required × 0.40) + (inspection_passed_count / on_site_count × 0.35) + (storage_compliant_count / on_site_count × 0.25)</w:t>
      </w:r>
    </w:p>
    <w:p>
      <w:pPr>
        <w:spacing w:after="140" w:line="280"/>
      </w:pPr>
      <w:r>
        <w:rPr>
          <w:rFonts w:ascii="Calibri" w:cs="Calibri" w:eastAsia="Calibri" w:hAnsi="Calibri"/>
          <w:color w:val="212121"/>
          <w:sz w:val="22"/>
          <w:szCs w:val="22"/>
        </w:rPr>
        <w:t xml:space="preserve">The three components:</w:t>
      </w:r>
    </w:p>
    <w:p>
      <w:pPr>
        <w:pStyle w:val="ListParagraph"/>
        <w:numPr>
          <w:ilvl w:val="0"/>
          <w:numId w:val="2"/>
        </w:numPr>
        <w:spacing w:after="80"/>
      </w:pPr>
      <w:r>
        <w:rPr>
          <w:rFonts w:ascii="Calibri" w:cs="Calibri" w:eastAsia="Calibri" w:hAnsi="Calibri"/>
          <w:color w:val="212121"/>
          <w:sz w:val="22"/>
          <w:szCs w:val="22"/>
        </w:rPr>
        <w:t xml:space="preserve">on_site_count / total_required (weight: 40%) — the fraction of required materials that have been confirmed delivered to site. Delivery confirmation requires a DELIVERED stage record in the dispatch lifecycle AND a receiving confirmation signed by the site team.</w:t>
      </w:r>
    </w:p>
    <w:p>
      <w:pPr>
        <w:pStyle w:val="ListParagraph"/>
        <w:numPr>
          <w:ilvl w:val="0"/>
          <w:numId w:val="2"/>
        </w:numPr>
        <w:spacing w:after="80"/>
      </w:pPr>
      <w:r>
        <w:rPr>
          <w:rFonts w:ascii="Calibri" w:cs="Calibri" w:eastAsia="Calibri" w:hAnsi="Calibri"/>
          <w:color w:val="212121"/>
          <w:sz w:val="22"/>
          <w:szCs w:val="22"/>
        </w:rPr>
        <w:t xml:space="preserve">inspection_passed_count / on_site_count (weight: 35%) — the fraction of on-site materials that have passed receiving inspection. Materials that arrive without a passing inspection record cannot contribute to readiness. This is the most operationally significant component.</w:t>
      </w:r>
    </w:p>
    <w:p>
      <w:pPr>
        <w:pStyle w:val="ListParagraph"/>
        <w:numPr>
          <w:ilvl w:val="0"/>
          <w:numId w:val="2"/>
        </w:numPr>
        <w:spacing w:after="80"/>
      </w:pPr>
      <w:r>
        <w:rPr>
          <w:rFonts w:ascii="Calibri" w:cs="Calibri" w:eastAsia="Calibri" w:hAnsi="Calibri"/>
          <w:color w:val="212121"/>
          <w:sz w:val="22"/>
          <w:szCs w:val="22"/>
        </w:rPr>
        <w:t xml:space="preserve">storage_compliant_count / on_site_count (weight: 25%) — the fraction of on-site materials stored in compliance with specification requirements (temperature, humidity, orientation, segregation). Checked against storage records in the Inspection module.</w:t>
      </w:r>
    </w:p>
    <w:p>
      <w:pPr>
        <w:spacing w:after="140" w:line="280"/>
      </w:pPr>
      <w:r>
        <w:rPr>
          <w:rFonts w:ascii="Calibri" w:cs="Calibri" w:eastAsia="Calibri" w:hAnsi="Calibri"/>
          <w:color w:val="212121"/>
          <w:sz w:val="22"/>
          <w:szCs w:val="22"/>
        </w:rPr>
        <w:t xml:space="preserve">A score of 1.0 (fully ready) means all required materials are on site, all have passed inspection, and all are stored compliantly. An activity can have 100% of materials on site but a score below 1.0 if inspections are outstanding or storage conditions are non-compliant.</w:t>
      </w:r>
    </w:p>
    <w:p>
      <w:pPr>
        <w:spacing w:after="160"/>
      </w:pPr>
    </w:p>
    <w:p>
      <w:pPr>
        <w:pStyle w:val="Heading1"/>
        <w:spacing w:after="160" w:before="400"/>
      </w:pPr>
      <w:r>
        <w:rPr>
          <w:rFonts w:ascii="Calibri" w:cs="Calibri" w:eastAsia="Calibri" w:hAnsi="Calibri"/>
          <w:b/>
          <w:bCs/>
          <w:color w:val="1B5E20"/>
          <w:sz w:val="28"/>
          <w:szCs w:val="28"/>
        </w:rPr>
        <w:t xml:space="preserve">2. Ten-Stage Dispatch Lifecycle</w:t>
      </w:r>
    </w:p>
    <w:p>
      <w:pPr>
        <w:spacing w:after="140" w:line="280"/>
      </w:pPr>
      <w:r>
        <w:rPr>
          <w:rFonts w:ascii="Calibri" w:cs="Calibri" w:eastAsia="Calibri" w:hAnsi="Calibri"/>
          <w:color w:val="212121"/>
          <w:sz w:val="22"/>
          <w:szCs w:val="22"/>
        </w:rPr>
        <w:t xml:space="preserve">Every shipment in Green PM progresses through a ten-stage lifecycle. The Supply Chain Intelligence Engine tracks each stage, validates evidence for stage transitions, and triggers alerts when stages are overdue. Stage transitions are event-driven — the stage is set when supporting evidence arrives, not by manual update alone.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1800"/>
        <w:gridCol w:w="1800"/>
        <w:gridCol w:w="860"/>
      </w:tblGrid>
      <w:tr>
        <w:trPr>
          <w:tblHeader/>
        </w:trPr>
        <w:tc>
          <w:tcPr>
            <w:tcW w:type="dxa" w:w="15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Stage</w:t>
            </w:r>
          </w:p>
        </w:tc>
        <w:tc>
          <w:tcPr>
            <w:tcW w:type="dxa" w:w="22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Description</w:t>
            </w:r>
          </w:p>
        </w:tc>
        <w:tc>
          <w:tcPr>
            <w:tcW w:type="dxa" w:w="12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Expected Duration</w:t>
            </w:r>
          </w:p>
        </w:tc>
        <w:tc>
          <w:tcPr>
            <w:tcW w:type="dxa" w:w="18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Evidence Required</w:t>
            </w:r>
          </w:p>
        </w:tc>
        <w:tc>
          <w:tcPr>
            <w:tcW w:type="dxa" w:w="180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Alert Trigger</w:t>
            </w:r>
          </w:p>
        </w:tc>
        <w:tc>
          <w:tcPr>
            <w:tcW w:type="dxa" w:w="860"/>
            <w:shd w:fill="E8F5E9" w:color="auto" w:val="clear"/>
            <w:tcMar>
              <w:top w:type="dxa" w:w="80"/>
              <w:left w:type="dxa" w:w="120"/>
              <w:bottom w:type="dxa" w:w="80"/>
              <w:right w:type="dxa" w:w="120"/>
            </w:tcMar>
          </w:tcPr>
          <w:p>
            <w:pPr>
              <w:spacing w:after="0"/>
            </w:pPr>
            <w:r>
              <w:rPr>
                <w:rFonts w:ascii="Calibri" w:cs="Calibri" w:eastAsia="Calibri" w:hAnsi="Calibri"/>
                <w:b/>
                <w:bCs/>
                <w:color w:val="1B5E20"/>
                <w:sz w:val="20"/>
                <w:szCs w:val="20"/>
              </w:rPr>
              <w:t xml:space="preserve">PIG Action</w:t>
            </w:r>
          </w:p>
        </w:tc>
      </w:tr>
      <w:tr>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PO_ISSUED</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Purchase order raised and sent to vendor</w:t>
            </w:r>
          </w:p>
        </w:tc>
        <w:tc>
          <w:tcPr>
            <w:tcW w:type="dxa" w:w="1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Day 0</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PO document with vendor acknowledgment reference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None — starting state</w:t>
            </w:r>
          </w:p>
        </w:tc>
        <w:tc>
          <w:tcPr>
            <w:tcW w:type="dxa" w:w="8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Shipment node created; OWNS edge to Vendor; DELIVERS_FOR edge to Activity</w:t>
            </w:r>
          </w:p>
        </w:tc>
      </w:tr>
      <w:tr>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VENDOR_ACKNOWLEDGED</w:t>
            </w:r>
          </w:p>
        </w:tc>
        <w:tc>
          <w:tcPr>
            <w:tcW w:type="dxa" w:w="2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has formally accepted the PO</w:t>
            </w:r>
          </w:p>
        </w:tc>
        <w:tc>
          <w:tcPr>
            <w:tcW w:type="dxa" w:w="1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1–3 days post-PO</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acknowledgment email or form</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not acknowledged within 5 days of PO issue</w:t>
            </w:r>
          </w:p>
        </w:tc>
        <w:tc>
          <w:tcPr>
            <w:tcW w:type="dxa" w:w="8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VENDOR_ACKNOWLEDGED status written to Shipment node</w:t>
            </w:r>
          </w:p>
        </w:tc>
      </w:tr>
      <w:tr>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IN_FABRICATION</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Materials are in production at vendor facility</w:t>
            </w:r>
          </w:p>
        </w:tc>
        <w:tc>
          <w:tcPr>
            <w:tcW w:type="dxa" w:w="1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contract schedule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Vendor production milestone confirmation</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milestone dates pass without confirmation</w:t>
            </w:r>
          </w:p>
        </w:tc>
        <w:tc>
          <w:tcPr>
            <w:tcW w:type="dxa" w:w="8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Fabrication start date written to Shipment node</w:t>
            </w:r>
          </w:p>
        </w:tc>
      </w:tr>
      <w:tr>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FACTORY_ACCEPTED</w:t>
            </w:r>
          </w:p>
        </w:tc>
        <w:tc>
          <w:tcPr>
            <w:tcW w:type="dxa" w:w="2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Client or EPC inspector has attended factory for pre-FAT</w:t>
            </w:r>
          </w:p>
        </w:tc>
        <w:tc>
          <w:tcPr>
            <w:tcW w:type="dxa" w:w="1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contract</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Factory acceptance report or sign-off</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FAT date passes without record</w:t>
            </w:r>
          </w:p>
        </w:tc>
        <w:tc>
          <w:tcPr>
            <w:tcW w:type="dxa" w:w="8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Factory acceptance evidence linked via VERIFIES edge</w:t>
            </w:r>
          </w:p>
        </w:tc>
      </w:tr>
      <w:tr>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FAT_PASSED</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Factory Acceptance Test completed and passed</w:t>
            </w:r>
          </w:p>
        </w:tc>
        <w:tc>
          <w:tcPr>
            <w:tcW w:type="dxa" w:w="1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contract</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FAT certificate signed by inspector</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FAT certificate not received within 3 days of FAT date</w:t>
            </w:r>
          </w:p>
        </w:tc>
        <w:tc>
          <w:tcPr>
            <w:tcW w:type="dxa" w:w="8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CLEARS edge written from FAT Certificate evidence to Shipment node</w:t>
            </w:r>
          </w:p>
        </w:tc>
      </w:tr>
      <w:tr>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SHIPPING</w:t>
            </w:r>
          </w:p>
        </w:tc>
        <w:tc>
          <w:tcPr>
            <w:tcW w:type="dxa" w:w="2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Materials loaded and in transit</w:t>
            </w:r>
          </w:p>
        </w:tc>
        <w:tc>
          <w:tcPr>
            <w:tcW w:type="dxa" w:w="1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freight schedule</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Bill of lading or shipping confirmation</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shipping date passes without bill of lading</w:t>
            </w:r>
          </w:p>
        </w:tc>
        <w:tc>
          <w:tcPr>
            <w:tcW w:type="dxa" w:w="8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Shipping date and ETA written to Shipment node</w:t>
            </w:r>
          </w:p>
        </w:tc>
      </w:tr>
      <w:tr>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IN_TRANSIT</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Shipment en route to destination port</w:t>
            </w:r>
          </w:p>
        </w:tc>
        <w:tc>
          <w:tcPr>
            <w:tcW w:type="dxa" w:w="1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freight schedule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Freight tracking update (daily automated)</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no tracking update for 48 hours</w:t>
            </w:r>
          </w:p>
        </w:tc>
        <w:tc>
          <w:tcPr>
            <w:tcW w:type="dxa" w:w="8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ETA continuously updated on Shipment node</w:t>
            </w:r>
          </w:p>
        </w:tc>
      </w:tr>
      <w:tr>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CUSTOMS_CLEARED</w:t>
            </w:r>
          </w:p>
        </w:tc>
        <w:tc>
          <w:tcPr>
            <w:tcW w:type="dxa" w:w="2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Shipment cleared customs at destination</w:t>
            </w:r>
          </w:p>
        </w:tc>
        <w:tc>
          <w:tcPr>
            <w:tcW w:type="dxa" w:w="1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1–5 days at port</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Customs clearance certificate</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in customs more than 7 days; escalate to critical after 10 days</w:t>
            </w:r>
          </w:p>
        </w:tc>
        <w:tc>
          <w:tcPr>
            <w:tcW w:type="dxa" w:w="8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Customs clearance evidence linked; ETA to site updated</w:t>
            </w:r>
          </w:p>
        </w:tc>
      </w:tr>
      <w:tr>
        <w:tc>
          <w:tcPr>
            <w:tcW w:type="dxa" w:w="15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DELIVERED</w:t>
            </w:r>
          </w:p>
        </w:tc>
        <w:tc>
          <w:tcPr>
            <w:tcW w:type="dxa" w:w="2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Materials delivered to project site</w:t>
            </w:r>
          </w:p>
        </w:tc>
        <w:tc>
          <w:tcPr>
            <w:tcW w:type="dxa" w:w="12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Per site delivery schedule</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Delivery note signed by site receiving team</w:t>
            </w:r>
          </w:p>
        </w:tc>
        <w:tc>
          <w:tcPr>
            <w:tcW w:type="dxa" w:w="180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ETA passes without signed delivery note</w:t>
            </w:r>
          </w:p>
        </w:tc>
        <w:tc>
          <w:tcPr>
            <w:tcW w:type="dxa" w:w="860"/>
            <w:shd w:fill="FFFFFF"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DELIVERED status on Shipment node; Material Readiness Score updated</w:t>
            </w:r>
          </w:p>
        </w:tc>
      </w:tr>
      <w:tr>
        <w:tc>
          <w:tcPr>
            <w:tcW w:type="dxa" w:w="15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INSPECTION_PASSED</w:t>
            </w:r>
          </w:p>
        </w:tc>
        <w:tc>
          <w:tcPr>
            <w:tcW w:type="dxa" w:w="2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Site receiving inspection completed and passed</w:t>
            </w:r>
          </w:p>
        </w:tc>
        <w:tc>
          <w:tcPr>
            <w:tcW w:type="dxa" w:w="12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1–3 days post-delivery</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Receiving inspection record</w:t>
            </w:r>
          </w:p>
        </w:tc>
        <w:tc>
          <w:tcPr>
            <w:tcW w:type="dxa" w:w="180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Alert if inspection not completed within 5 days of delivery</w:t>
            </w:r>
          </w:p>
        </w:tc>
        <w:tc>
          <w:tcPr>
            <w:tcW w:type="dxa" w:w="860"/>
            <w:shd w:fill="F9FBE7" w:color="auto" w:val="clear"/>
            <w:tcMar>
              <w:top w:type="dxa" w:w="80"/>
              <w:left w:type="dxa" w:w="120"/>
              <w:bottom w:type="dxa" w:w="80"/>
              <w:right w:type="dxa" w:w="120"/>
            </w:tcMar>
          </w:tcPr>
          <w:p>
            <w:pPr>
              <w:spacing w:after="0"/>
            </w:pPr>
            <w:r>
              <w:rPr>
                <w:rFonts w:ascii="Calibri" w:cs="Calibri" w:eastAsia="Calibri" w:hAnsi="Calibri"/>
                <w:color w:val="212121"/>
                <w:sz w:val="20"/>
                <w:szCs w:val="20"/>
              </w:rPr>
              <w:t xml:space="preserve">CLEARS edge written; Material Readiness Score updated; Activity DELIVERS_FOR edge weight updated</w:t>
            </w:r>
          </w:p>
        </w:tc>
      </w:tr>
    </w:tbl>
    <w:p>
      <w:pPr>
        <w:spacing w:after="160"/>
      </w:pPr>
    </w:p>
    <w:p>
      <w:pPr>
        <w:pStyle w:val="Heading1"/>
        <w:spacing w:after="160" w:before="400"/>
      </w:pPr>
      <w:r>
        <w:rPr>
          <w:rFonts w:ascii="Calibri" w:cs="Calibri" w:eastAsia="Calibri" w:hAnsi="Calibri"/>
          <w:b/>
          <w:bCs/>
          <w:color w:val="1B5E20"/>
          <w:sz w:val="28"/>
          <w:szCs w:val="28"/>
        </w:rPr>
        <w:t xml:space="preserve">3. Critical Material Identification</w:t>
      </w:r>
    </w:p>
    <w:p>
      <w:pPr>
        <w:spacing w:after="140" w:line="280"/>
      </w:pPr>
      <w:r>
        <w:rPr>
          <w:rFonts w:ascii="Calibri" w:cs="Calibri" w:eastAsia="Calibri" w:hAnsi="Calibri"/>
          <w:color w:val="212121"/>
          <w:sz w:val="22"/>
          <w:szCs w:val="22"/>
        </w:rPr>
        <w:t xml:space="preserve">Not all materials are equally important. A critical material is one where delay directly threatens the project schedule. Green PM identifies critical materials automatically using PIG traversal, so the definition is dynamic — a material becomes critical as float is consumed on its linked activity.</w:t>
      </w:r>
    </w:p>
    <w:p>
      <w:pPr>
        <w:spacing w:after="140" w:line="280"/>
      </w:pPr>
      <w:r>
        <w:rPr>
          <w:rFonts w:ascii="Calibri" w:cs="Calibri" w:eastAsia="Calibri" w:hAnsi="Calibri"/>
          <w:color w:val="212121"/>
          <w:sz w:val="22"/>
          <w:szCs w:val="22"/>
        </w:rPr>
        <w:t xml:space="preserve">A material is classified as critical when ALL of the following conditions are true:</w:t>
      </w:r>
    </w:p>
    <w:p>
      <w:pPr>
        <w:pStyle w:val="ListParagraph"/>
        <w:numPr>
          <w:ilvl w:val="0"/>
          <w:numId w:val="2"/>
        </w:numPr>
        <w:spacing w:after="80"/>
      </w:pPr>
      <w:r>
        <w:rPr>
          <w:rFonts w:ascii="Calibri" w:cs="Calibri" w:eastAsia="Calibri" w:hAnsi="Calibri"/>
          <w:color w:val="212121"/>
          <w:sz w:val="22"/>
          <w:szCs w:val="22"/>
        </w:rPr>
        <w:t xml:space="preserve">It is linked via a DELIVERS_FOR edge to an activity on the critical path (zero total float)</w:t>
      </w:r>
    </w:p>
    <w:p>
      <w:pPr>
        <w:pStyle w:val="ListParagraph"/>
        <w:numPr>
          <w:ilvl w:val="0"/>
          <w:numId w:val="2"/>
        </w:numPr>
        <w:spacing w:after="80"/>
      </w:pPr>
      <w:r>
        <w:rPr>
          <w:rFonts w:ascii="Calibri" w:cs="Calibri" w:eastAsia="Calibri" w:hAnsi="Calibri"/>
          <w:color w:val="212121"/>
          <w:sz w:val="22"/>
          <w:szCs w:val="22"/>
        </w:rPr>
        <w:t xml:space="preserve">Its lead time from current dispatch stage to site delivery exceeds the remaining float on that linked activity</w:t>
      </w:r>
    </w:p>
    <w:p>
      <w:pPr>
        <w:spacing w:after="140" w:line="280"/>
      </w:pPr>
      <w:r>
        <w:rPr>
          <w:rFonts w:ascii="Calibri" w:cs="Calibri" w:eastAsia="Calibri" w:hAnsi="Calibri"/>
          <w:color w:val="212121"/>
          <w:sz w:val="22"/>
          <w:szCs w:val="22"/>
        </w:rPr>
        <w:t xml:space="preserve">When a material is classified as critical:</w:t>
      </w:r>
    </w:p>
    <w:p>
      <w:pPr>
        <w:pStyle w:val="ListParagraph"/>
        <w:numPr>
          <w:ilvl w:val="0"/>
          <w:numId w:val="2"/>
        </w:numPr>
        <w:spacing w:after="80"/>
      </w:pPr>
      <w:r>
        <w:rPr>
          <w:rFonts w:ascii="Calibri" w:cs="Calibri" w:eastAsia="Calibri" w:hAnsi="Calibri"/>
          <w:color w:val="212121"/>
          <w:sz w:val="22"/>
          <w:szCs w:val="22"/>
        </w:rPr>
        <w:t xml:space="preserve">It enters daily monitoring mode — the Supply Chain Intelligence Engine checks its dispatch stage every 24 hours</w:t>
      </w:r>
    </w:p>
    <w:p>
      <w:pPr>
        <w:pStyle w:val="ListParagraph"/>
        <w:numPr>
          <w:ilvl w:val="0"/>
          <w:numId w:val="2"/>
        </w:numPr>
        <w:spacing w:after="80"/>
      </w:pPr>
      <w:r>
        <w:rPr>
          <w:rFonts w:ascii="Calibri" w:cs="Calibri" w:eastAsia="Calibri" w:hAnsi="Calibri"/>
          <w:color w:val="212121"/>
          <w:sz w:val="22"/>
          <w:szCs w:val="22"/>
        </w:rPr>
        <w:t xml:space="preserve">The Vendor Intelligence Engine receives an escalation signal for the vendor responsible for this shipment</w:t>
      </w:r>
    </w:p>
    <w:p>
      <w:pPr>
        <w:pStyle w:val="ListParagraph"/>
        <w:numPr>
          <w:ilvl w:val="0"/>
          <w:numId w:val="2"/>
        </w:numPr>
        <w:spacing w:after="80"/>
      </w:pPr>
      <w:r>
        <w:rPr>
          <w:rFonts w:ascii="Calibri" w:cs="Calibri" w:eastAsia="Calibri" w:hAnsi="Calibri"/>
          <w:color w:val="212121"/>
          <w:sz w:val="22"/>
          <w:szCs w:val="22"/>
        </w:rPr>
        <w:t xml:space="preserve">The PM receives an immediate alert in the Project Command Centre with the lead time gap clearly stated</w:t>
      </w:r>
    </w:p>
    <w:p>
      <w:pPr>
        <w:pStyle w:val="ListParagraph"/>
        <w:numPr>
          <w:ilvl w:val="0"/>
          <w:numId w:val="2"/>
        </w:numPr>
        <w:spacing w:after="80"/>
      </w:pPr>
      <w:r>
        <w:rPr>
          <w:rFonts w:ascii="Calibri" w:cs="Calibri" w:eastAsia="Calibri" w:hAnsi="Calibri"/>
          <w:color w:val="212121"/>
          <w:sz w:val="22"/>
          <w:szCs w:val="22"/>
        </w:rPr>
        <w:t xml:space="preserve">The Coordination Engine generates an action item assigned to the Procurement Manager to intervene</w:t>
      </w:r>
    </w:p>
    <w:p>
      <w:pPr>
        <w:spacing w:after="140" w:line="280"/>
      </w:pPr>
      <w:r>
        <w:rPr>
          <w:rFonts w:ascii="Calibri" w:cs="Calibri" w:eastAsia="Calibri" w:hAnsi="Calibri"/>
          <w:color w:val="212121"/>
          <w:sz w:val="22"/>
          <w:szCs w:val="22"/>
        </w:rPr>
        <w:t xml:space="preserve">The critical material flag is dynamic. As float is consumed by schedule delays, previously non-critical materials can become critical. As upstream delays recover, critical materials can return to non-critical status. Green PM continuously re-evaluates criticality as the project graph changes.</w:t>
      </w:r>
    </w:p>
    <w:p>
      <w:pPr>
        <w:spacing w:after="160"/>
      </w:pPr>
    </w:p>
    <w:p>
      <w:pPr>
        <w:pStyle w:val="Heading1"/>
        <w:spacing w:after="160" w:before="400"/>
      </w:pPr>
      <w:r>
        <w:rPr>
          <w:rFonts w:ascii="Calibri" w:cs="Calibri" w:eastAsia="Calibri" w:hAnsi="Calibri"/>
          <w:b/>
          <w:bCs/>
          <w:color w:val="1B5E20"/>
          <w:sz w:val="28"/>
          <w:szCs w:val="28"/>
        </w:rPr>
        <w:t xml:space="preserve">4. Shipment Workspace</w:t>
      </w:r>
    </w:p>
    <w:p>
      <w:pPr>
        <w:spacing w:after="140" w:line="280"/>
      </w:pPr>
      <w:r>
        <w:rPr>
          <w:rFonts w:ascii="Calibri" w:cs="Calibri" w:eastAsia="Calibri" w:hAnsi="Calibri"/>
          <w:color w:val="212121"/>
          <w:sz w:val="22"/>
          <w:szCs w:val="22"/>
        </w:rPr>
        <w:t xml:space="preserve">The Shipment Workspace is the entity workspace for a single shipment or dispatch item. It presents all available intelligence about one material shipment without requiring the PM to navigate between screens.</w:t>
      </w:r>
    </w:p>
    <w:p>
      <w:pPr>
        <w:spacing w:after="140" w:line="280"/>
      </w:pPr>
      <w:r>
        <w:rPr>
          <w:rFonts w:ascii="Calibri" w:cs="Calibri" w:eastAsia="Calibri" w:hAnsi="Calibri"/>
          <w:color w:val="212121"/>
          <w:sz w:val="22"/>
          <w:szCs w:val="22"/>
        </w:rPr>
        <w:t xml:space="preserve">The Shipment Workspace panels:</w:t>
      </w:r>
    </w:p>
    <w:p>
      <w:pPr>
        <w:pStyle w:val="ListParagraph"/>
        <w:numPr>
          <w:ilvl w:val="0"/>
          <w:numId w:val="2"/>
        </w:numPr>
        <w:spacing w:after="80"/>
      </w:pPr>
      <w:r>
        <w:rPr>
          <w:rFonts w:ascii="Calibri" w:cs="Calibri" w:eastAsia="Calibri" w:hAnsi="Calibri"/>
          <w:color w:val="212121"/>
          <w:sz w:val="22"/>
          <w:szCs w:val="22"/>
        </w:rPr>
        <w:t xml:space="preserve">PO Details — purchase order number, issue date, contract reference, scope of supply, and total PO value</w:t>
      </w:r>
    </w:p>
    <w:p>
      <w:pPr>
        <w:pStyle w:val="ListParagraph"/>
        <w:numPr>
          <w:ilvl w:val="0"/>
          <w:numId w:val="2"/>
        </w:numPr>
        <w:spacing w:after="80"/>
      </w:pPr>
      <w:r>
        <w:rPr>
          <w:rFonts w:ascii="Calibri" w:cs="Calibri" w:eastAsia="Calibri" w:hAnsi="Calibri"/>
          <w:color w:val="212121"/>
          <w:sz w:val="22"/>
          <w:szCs w:val="22"/>
        </w:rPr>
        <w:t xml:space="preserve">Vendor — vendor name (links to Vendor Workspace), current performance scorecard summary, and assigned commercial contact</w:t>
      </w:r>
    </w:p>
    <w:p>
      <w:pPr>
        <w:pStyle w:val="ListParagraph"/>
        <w:numPr>
          <w:ilvl w:val="0"/>
          <w:numId w:val="2"/>
        </w:numPr>
        <w:spacing w:after="80"/>
      </w:pPr>
      <w:r>
        <w:rPr>
          <w:rFonts w:ascii="Calibri" w:cs="Calibri" w:eastAsia="Calibri" w:hAnsi="Calibri"/>
          <w:color w:val="212121"/>
          <w:sz w:val="22"/>
          <w:szCs w:val="22"/>
        </w:rPr>
        <w:t xml:space="preserve">Current Stage — current dispatch lifecycle stage, date entered, evidence record, and expected date of next stage</w:t>
      </w:r>
    </w:p>
    <w:p>
      <w:pPr>
        <w:pStyle w:val="ListParagraph"/>
        <w:numPr>
          <w:ilvl w:val="0"/>
          <w:numId w:val="2"/>
        </w:numPr>
        <w:spacing w:after="80"/>
      </w:pPr>
      <w:r>
        <w:rPr>
          <w:rFonts w:ascii="Calibri" w:cs="Calibri" w:eastAsia="Calibri" w:hAnsi="Calibri"/>
          <w:color w:val="212121"/>
          <w:sz w:val="22"/>
          <w:szCs w:val="22"/>
        </w:rPr>
        <w:t xml:space="preserve">ETA — estimated time of arrival to site, with confidence range. ETA is computed from current stage, historical vendor performance on this route, and any active transit alerts</w:t>
      </w:r>
    </w:p>
    <w:p>
      <w:pPr>
        <w:pStyle w:val="ListParagraph"/>
        <w:numPr>
          <w:ilvl w:val="0"/>
          <w:numId w:val="2"/>
        </w:numPr>
        <w:spacing w:after="80"/>
      </w:pPr>
      <w:r>
        <w:rPr>
          <w:rFonts w:ascii="Calibri" w:cs="Calibri" w:eastAsia="Calibri" w:hAnsi="Calibri"/>
          <w:color w:val="212121"/>
          <w:sz w:val="22"/>
          <w:szCs w:val="22"/>
        </w:rPr>
        <w:t xml:space="preserve">Inspection Status — receiving inspection record if delivered, FAT record if applicable, and any outstanding inspection items</w:t>
      </w:r>
    </w:p>
    <w:p>
      <w:pPr>
        <w:pStyle w:val="ListParagraph"/>
        <w:numPr>
          <w:ilvl w:val="0"/>
          <w:numId w:val="2"/>
        </w:numPr>
        <w:spacing w:after="80"/>
      </w:pPr>
      <w:r>
        <w:rPr>
          <w:rFonts w:ascii="Calibri" w:cs="Calibri" w:eastAsia="Calibri" w:hAnsi="Calibri"/>
          <w:color w:val="212121"/>
          <w:sz w:val="22"/>
          <w:szCs w:val="22"/>
        </w:rPr>
        <w:t xml:space="preserve">Storage Location — confirmed storage location on site, storage condition compliance status, and responsible storekeeper</w:t>
      </w:r>
    </w:p>
    <w:p>
      <w:pPr>
        <w:pStyle w:val="ListParagraph"/>
        <w:numPr>
          <w:ilvl w:val="0"/>
          <w:numId w:val="2"/>
        </w:numPr>
        <w:spacing w:after="80"/>
      </w:pPr>
      <w:r>
        <w:rPr>
          <w:rFonts w:ascii="Calibri" w:cs="Calibri" w:eastAsia="Calibri" w:hAnsi="Calibri"/>
          <w:color w:val="212121"/>
          <w:sz w:val="22"/>
          <w:szCs w:val="22"/>
        </w:rPr>
        <w:t xml:space="preserve">Receiving Confirmation — signed delivery note reference, receiving team member, date and time of delivery confirmation</w:t>
      </w:r>
    </w:p>
    <w:p>
      <w:pPr>
        <w:pStyle w:val="ListParagraph"/>
        <w:numPr>
          <w:ilvl w:val="0"/>
          <w:numId w:val="2"/>
        </w:numPr>
        <w:spacing w:after="80"/>
      </w:pPr>
      <w:r>
        <w:rPr>
          <w:rFonts w:ascii="Calibri" w:cs="Calibri" w:eastAsia="Calibri" w:hAnsi="Calibri"/>
          <w:color w:val="212121"/>
          <w:sz w:val="22"/>
          <w:szCs w:val="22"/>
        </w:rPr>
        <w:t xml:space="preserve">Linked Installation Activity — the activity this shipment DELIVERS_FOR, with current float, readiness status, and scheduled start date</w:t>
      </w:r>
    </w:p>
    <w:p>
      <w:pPr>
        <w:spacing w:after="160"/>
      </w:pPr>
    </w:p>
    <w:p>
      <w:pPr>
        <w:pStyle w:val="Heading1"/>
        <w:spacing w:after="160" w:before="400"/>
      </w:pPr>
      <w:r>
        <w:rPr>
          <w:rFonts w:ascii="Calibri" w:cs="Calibri" w:eastAsia="Calibri" w:hAnsi="Calibri"/>
          <w:b/>
          <w:bCs/>
          <w:color w:val="1B5E20"/>
          <w:sz w:val="28"/>
          <w:szCs w:val="28"/>
        </w:rPr>
        <w:t xml:space="preserve">5. Integration with the Project Intelligence Graph</w:t>
      </w:r>
    </w:p>
    <w:p>
      <w:pPr>
        <w:spacing w:after="140" w:line="280"/>
      </w:pPr>
      <w:r>
        <w:rPr>
          <w:rFonts w:ascii="Calibri" w:cs="Calibri" w:eastAsia="Calibri" w:hAnsi="Calibri"/>
          <w:color w:val="212121"/>
          <w:sz w:val="22"/>
          <w:szCs w:val="22"/>
        </w:rPr>
        <w:t xml:space="preserve">The Supply Chain Intelligence Engine does not maintain its own data model. All supply chain relationships are stored in the PIG and queried from it. This ensures that supply chain intelligence is fully integrated with schedule, risk, vendor, and evidence intelligence.</w:t>
      </w:r>
    </w:p>
    <w:p>
      <w:pPr>
        <w:pStyle w:val="Heading2"/>
        <w:spacing w:after="120" w:before="280"/>
      </w:pPr>
      <w:r>
        <w:rPr>
          <w:rFonts w:ascii="Calibri" w:cs="Calibri" w:eastAsia="Calibri" w:hAnsi="Calibri"/>
          <w:b/>
          <w:bCs/>
          <w:color w:val="2E7D32"/>
          <w:sz w:val="24"/>
          <w:szCs w:val="24"/>
        </w:rPr>
        <w:t xml:space="preserve">5.1 Core PIG Edges for Supply Chain</w:t>
      </w:r>
    </w:p>
    <w:p>
      <w:pPr>
        <w:spacing w:after="140" w:line="280"/>
      </w:pPr>
      <w:r>
        <w:rPr>
          <w:rFonts w:ascii="Calibri" w:cs="Calibri" w:eastAsia="Calibri" w:hAnsi="Calibri"/>
          <w:color w:val="212121"/>
          <w:sz w:val="22"/>
          <w:szCs w:val="22"/>
        </w:rPr>
        <w:t xml:space="preserve">DELIVERS_FOR — connects a Shipment node to the Activity node that requires this material. This is the primary relationship that drives material readiness scoring and critical material identification. When the shipment stage changes, the DELIVERS_FOR edge weight is updated.</w:t>
      </w:r>
    </w:p>
    <w:p>
      <w:pPr>
        <w:spacing w:after="140" w:line="280"/>
      </w:pPr>
      <w:r>
        <w:rPr>
          <w:rFonts w:ascii="Calibri" w:cs="Calibri" w:eastAsia="Calibri" w:hAnsi="Calibri"/>
          <w:color w:val="212121"/>
          <w:sz w:val="22"/>
          <w:szCs w:val="22"/>
        </w:rPr>
        <w:t xml:space="preserve">OWNS — connects a Vendor node to the Shipment node. This enables the Vendor Intelligence Engine to track all active shipments for a vendor and include delivery performance in the vendor score.</w:t>
      </w:r>
    </w:p>
    <w:p>
      <w:pPr>
        <w:pStyle w:val="Heading2"/>
        <w:spacing w:after="120" w:before="280"/>
      </w:pPr>
      <w:r>
        <w:rPr>
          <w:rFonts w:ascii="Calibri" w:cs="Calibri" w:eastAsia="Calibri" w:hAnsi="Calibri"/>
          <w:b/>
          <w:bCs/>
          <w:color w:val="2E7D32"/>
          <w:sz w:val="24"/>
          <w:szCs w:val="24"/>
        </w:rPr>
        <w:t xml:space="preserve">5.2 Cascade Effects on Stage Change</w:t>
      </w:r>
    </w:p>
    <w:p>
      <w:pPr>
        <w:spacing w:after="140" w:line="280"/>
      </w:pPr>
      <w:r>
        <w:rPr>
          <w:rFonts w:ascii="Calibri" w:cs="Calibri" w:eastAsia="Calibri" w:hAnsi="Calibri"/>
          <w:color w:val="212121"/>
          <w:sz w:val="22"/>
          <w:szCs w:val="22"/>
        </w:rPr>
        <w:t xml:space="preserve">When a shipment moves from one stage to the next, the following cascade occurs:</w:t>
      </w:r>
    </w:p>
    <w:p>
      <w:pPr>
        <w:pStyle w:val="ListParagraph"/>
        <w:numPr>
          <w:ilvl w:val="0"/>
          <w:numId w:val="2"/>
        </w:numPr>
        <w:spacing w:after="80"/>
      </w:pPr>
      <w:r>
        <w:rPr>
          <w:rFonts w:ascii="Calibri" w:cs="Calibri" w:eastAsia="Calibri" w:hAnsi="Calibri"/>
          <w:color w:val="212121"/>
          <w:sz w:val="22"/>
          <w:szCs w:val="22"/>
        </w:rPr>
        <w:t xml:space="preserve">The Shipment node's stage attribute is updated in the PIG</w:t>
      </w:r>
    </w:p>
    <w:p>
      <w:pPr>
        <w:pStyle w:val="ListParagraph"/>
        <w:numPr>
          <w:ilvl w:val="0"/>
          <w:numId w:val="2"/>
        </w:numPr>
        <w:spacing w:after="80"/>
      </w:pPr>
      <w:r>
        <w:rPr>
          <w:rFonts w:ascii="Calibri" w:cs="Calibri" w:eastAsia="Calibri" w:hAnsi="Calibri"/>
          <w:color w:val="212121"/>
          <w:sz w:val="22"/>
          <w:szCs w:val="22"/>
        </w:rPr>
        <w:t xml:space="preserve">The DELIVERS_FOR edge weight is updated to reflect the revised probability of on-time delivery</w:t>
      </w:r>
    </w:p>
    <w:p>
      <w:pPr>
        <w:pStyle w:val="ListParagraph"/>
        <w:numPr>
          <w:ilvl w:val="0"/>
          <w:numId w:val="2"/>
        </w:numPr>
        <w:spacing w:after="80"/>
      </w:pPr>
      <w:r>
        <w:rPr>
          <w:rFonts w:ascii="Calibri" w:cs="Calibri" w:eastAsia="Calibri" w:hAnsi="Calibri"/>
          <w:color w:val="212121"/>
          <w:sz w:val="22"/>
          <w:szCs w:val="22"/>
        </w:rPr>
        <w:t xml:space="preserve">The Supply Chain Intelligence Engine recomputes the Material Readiness Score for all activities linked to this shipment</w:t>
      </w:r>
    </w:p>
    <w:p>
      <w:pPr>
        <w:pStyle w:val="ListParagraph"/>
        <w:numPr>
          <w:ilvl w:val="0"/>
          <w:numId w:val="2"/>
        </w:numPr>
        <w:spacing w:after="80"/>
      </w:pPr>
      <w:r>
        <w:rPr>
          <w:rFonts w:ascii="Calibri" w:cs="Calibri" w:eastAsia="Calibri" w:hAnsi="Calibri"/>
          <w:color w:val="212121"/>
          <w:sz w:val="22"/>
          <w:szCs w:val="22"/>
        </w:rPr>
        <w:t xml:space="preserve">The Forecasting Engine is notified via Pub/Sub — if the ETA has changed, the Forecasting Engine recalculates the schedule forecast for the linked activity</w:t>
      </w:r>
    </w:p>
    <w:p>
      <w:pPr>
        <w:pStyle w:val="ListParagraph"/>
        <w:numPr>
          <w:ilvl w:val="0"/>
          <w:numId w:val="2"/>
        </w:numPr>
        <w:spacing w:after="80"/>
      </w:pPr>
      <w:r>
        <w:rPr>
          <w:rFonts w:ascii="Calibri" w:cs="Calibri" w:eastAsia="Calibri" w:hAnsi="Calibri"/>
          <w:color w:val="212121"/>
          <w:sz w:val="22"/>
          <w:szCs w:val="22"/>
        </w:rPr>
        <w:t xml:space="preserve">If the new ETA creates a critical material condition, the critical material alert pipeline is triggered</w:t>
      </w:r>
    </w:p>
    <w:p>
      <w:pPr>
        <w:pStyle w:val="Heading2"/>
        <w:spacing w:after="120" w:before="280"/>
      </w:pPr>
      <w:r>
        <w:rPr>
          <w:rFonts w:ascii="Calibri" w:cs="Calibri" w:eastAsia="Calibri" w:hAnsi="Calibri"/>
          <w:b/>
          <w:bCs/>
          <w:color w:val="2E7D32"/>
          <w:sz w:val="24"/>
          <w:szCs w:val="24"/>
        </w:rPr>
        <w:t xml:space="preserve">5.3 Reverse Cascade on Activity Change</w:t>
      </w:r>
    </w:p>
    <w:p>
      <w:pPr>
        <w:spacing w:after="140" w:line="280"/>
      </w:pPr>
      <w:r>
        <w:rPr>
          <w:rFonts w:ascii="Calibri" w:cs="Calibri" w:eastAsia="Calibri" w:hAnsi="Calibri"/>
          <w:color w:val="212121"/>
          <w:sz w:val="22"/>
          <w:szCs w:val="22"/>
        </w:rPr>
        <w:t xml:space="preserve">Supply chain intelligence is bidirectional. When an activity is rescheduled (via a schedule update or change approval), the PIG traversal runs in reverse:</w:t>
      </w:r>
    </w:p>
    <w:p>
      <w:pPr>
        <w:pStyle w:val="ListParagraph"/>
        <w:numPr>
          <w:ilvl w:val="0"/>
          <w:numId w:val="2"/>
        </w:numPr>
        <w:spacing w:after="80"/>
      </w:pPr>
      <w:r>
        <w:rPr>
          <w:rFonts w:ascii="Calibri" w:cs="Calibri" w:eastAsia="Calibri" w:hAnsi="Calibri"/>
          <w:color w:val="212121"/>
          <w:sz w:val="22"/>
          <w:szCs w:val="22"/>
        </w:rPr>
        <w:t xml:space="preserve">The changed activity's new start date is compared to the current ETA of all materials linked via DELIVERS_FOR</w:t>
      </w:r>
    </w:p>
    <w:p>
      <w:pPr>
        <w:pStyle w:val="ListParagraph"/>
        <w:numPr>
          <w:ilvl w:val="0"/>
          <w:numId w:val="2"/>
        </w:numPr>
        <w:spacing w:after="80"/>
      </w:pPr>
      <w:r>
        <w:rPr>
          <w:rFonts w:ascii="Calibri" w:cs="Calibri" w:eastAsia="Calibri" w:hAnsi="Calibri"/>
          <w:color w:val="212121"/>
          <w:sz w:val="22"/>
          <w:szCs w:val="22"/>
        </w:rPr>
        <w:t xml:space="preserve">If any material's ETA now exceeds the activity's new start date, that material is immediately evaluated for critical status</w:t>
      </w:r>
    </w:p>
    <w:p>
      <w:pPr>
        <w:pStyle w:val="ListParagraph"/>
        <w:numPr>
          <w:ilvl w:val="0"/>
          <w:numId w:val="2"/>
        </w:numPr>
        <w:spacing w:after="80"/>
      </w:pPr>
      <w:r>
        <w:rPr>
          <w:rFonts w:ascii="Calibri" w:cs="Calibri" w:eastAsia="Calibri" w:hAnsi="Calibri"/>
          <w:color w:val="212121"/>
          <w:sz w:val="22"/>
          <w:szCs w:val="22"/>
        </w:rPr>
        <w:t xml:space="preserve">The Supply Chain Intelligence Engine raises an alert if the procurement timeline cannot support the new activity start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 — Supply Chain Intelligence Platform</dc:title>
  <dc:creator>Green PM</dc:creator>
  <cp:lastModifiedBy>Un-named</cp:lastModifiedBy>
  <cp:revision>1</cp:revision>
  <dcterms:created xsi:type="dcterms:W3CDTF">2026-08-03T11:57:01.068Z</dcterms:created>
  <dcterms:modified xsi:type="dcterms:W3CDTF">2026-08-03T11:57:01.076Z</dcterms:modified>
</cp:coreProperties>
</file>

<file path=docProps/custom.xml><?xml version="1.0" encoding="utf-8"?>
<Properties xmlns="http://schemas.openxmlformats.org/officeDocument/2006/custom-properties" xmlns:vt="http://schemas.openxmlformats.org/officeDocument/2006/docPropsVTypes"/>
</file>