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B5E20"/>
          <w:sz w:val="32"/>
          <w:szCs w:val="32"/>
        </w:rPr>
        <w:t xml:space="preserve">Green PM v5</w:t>
      </w:r>
    </w:p>
    <w:p>
      <w:pPr>
        <w:spacing w:after="200"/>
      </w:pPr>
      <w:r>
        <w:rPr>
          <w:rFonts w:ascii="Calibri" w:cs="Calibri" w:eastAsia="Calibri" w:hAnsi="Calibri"/>
          <w:b/>
          <w:bCs/>
          <w:color w:val="1B5E20"/>
          <w:sz w:val="44"/>
          <w:szCs w:val="44"/>
        </w:rPr>
        <w:t xml:space="preserve">Vendor Intelligence Platform</w:t>
      </w:r>
    </w:p>
    <w:p>
      <w:pPr>
        <w:spacing w:after="80"/>
      </w:pPr>
      <w:r>
        <w:rPr>
          <w:rFonts w:ascii="Calibri" w:cs="Calibri" w:eastAsia="Calibri" w:hAnsi="Calibri"/>
          <w:i/>
          <w:iCs/>
          <w:color w:val="757575"/>
          <w:sz w:val="20"/>
          <w:szCs w:val="20"/>
        </w:rPr>
        <w:t xml:space="preserve">Technical Reference Document  |  Version 5.0  |  August 2026</w:t>
      </w:r>
    </w:p>
    <w:p>
      <w:pPr>
        <w:spacing w:after="80"/>
      </w:pPr>
      <w:r>
        <w:rPr>
          <w:rFonts w:ascii="Calibri" w:cs="Calibri" w:eastAsia="Calibri" w:hAnsi="Calibri"/>
          <w:i/>
          <w:iCs/>
          <w:color w:val="757575"/>
          <w:sz w:val="20"/>
          <w:szCs w:val="20"/>
        </w:rPr>
        <w:t xml:space="preserve">Classification: Internal — Engineering &amp; PMO Teams</w:t>
      </w:r>
    </w:p>
    <w:p>
      <w:pPr>
        <w:spacing w:after="160"/>
      </w:pPr>
    </w:p>
    <w:p>
      <w:pPr>
        <w:pStyle w:val="Heading1"/>
        <w:spacing w:after="160" w:before="400"/>
      </w:pPr>
      <w:r>
        <w:rPr>
          <w:rFonts w:ascii="Calibri" w:cs="Calibri" w:eastAsia="Calibri" w:hAnsi="Calibri"/>
          <w:b/>
          <w:bCs/>
          <w:color w:val="1B5E20"/>
          <w:sz w:val="28"/>
          <w:szCs w:val="28"/>
        </w:rPr>
        <w:t xml:space="preserve">1. The Six-Dimension Scoring Model</w:t>
      </w:r>
    </w:p>
    <w:p>
      <w:pPr>
        <w:spacing w:after="140" w:line="280"/>
      </w:pPr>
      <w:r>
        <w:rPr>
          <w:rFonts w:ascii="Calibri" w:cs="Calibri" w:eastAsia="Calibri" w:hAnsi="Calibri"/>
          <w:color w:val="212121"/>
          <w:sz w:val="22"/>
          <w:szCs w:val="22"/>
        </w:rPr>
        <w:t xml:space="preserve">The Vendor Intelligence Engine scores every active vendor across six performance dimensions. The six-dimension model is designed to capture the full relationship between an EPC company and a vendor — not just delivery performance, but quality, communication, documentation compliance, commercial behaviour, and collaborative disposition.</w:t>
      </w:r>
    </w:p>
    <w:p>
      <w:pPr>
        <w:spacing w:after="140" w:line="280"/>
      </w:pPr>
      <w:r>
        <w:rPr>
          <w:rFonts w:ascii="Calibri" w:cs="Calibri" w:eastAsia="Calibri" w:hAnsi="Calibri"/>
          <w:color w:val="212121"/>
          <w:sz w:val="22"/>
          <w:szCs w:val="22"/>
        </w:rPr>
        <w:t xml:space="preserve">Scores are computed on a rolling window basis. Each dimension has its own window length to reflect the appropriate assessment period. All inputs are sourced from structured records within Green PM — the score is never based on subjective rating without a structured form backing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500"/>
        <w:gridCol w:w="2500"/>
        <w:gridCol w:w="1560"/>
      </w:tblGrid>
      <w:tr>
        <w:trPr>
          <w:tblHeader/>
        </w:trPr>
        <w:tc>
          <w:tcPr>
            <w:tcW w:type="dxa" w:w="20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Dimension</w:t>
            </w:r>
          </w:p>
        </w:tc>
        <w:tc>
          <w:tcPr>
            <w:tcW w:type="dxa" w:w="8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Weight</w:t>
            </w:r>
          </w:p>
        </w:tc>
        <w:tc>
          <w:tcPr>
            <w:tcW w:type="dxa" w:w="25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What It Measures</w:t>
            </w:r>
          </w:p>
        </w:tc>
        <w:tc>
          <w:tcPr>
            <w:tcW w:type="dxa" w:w="25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Data Source</w:t>
            </w:r>
          </w:p>
        </w:tc>
        <w:tc>
          <w:tcPr>
            <w:tcW w:type="dxa" w:w="156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Scoring Period</w:t>
            </w:r>
          </w:p>
        </w:tc>
      </w:tr>
      <w:tr>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Quality</w:t>
            </w:r>
          </w:p>
        </w:tc>
        <w:tc>
          <w:tcPr>
            <w:tcW w:type="dxa" w:w="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25%</w:t>
            </w:r>
          </w:p>
        </w:tc>
        <w:tc>
          <w:tcPr>
            <w:tcW w:type="dxa" w:w="2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NCR rate per deliverable, defect rate at inspection, rework frequency, and first-pass acceptance rate</w:t>
            </w:r>
          </w:p>
        </w:tc>
        <w:tc>
          <w:tcPr>
            <w:tcW w:type="dxa" w:w="2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Inspection records, NCRs, Test Certificates in Evidence Engine</w:t>
            </w:r>
          </w:p>
        </w:tc>
        <w:tc>
          <w:tcPr>
            <w:tcW w:type="dxa" w:w="15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Rolling 12 months</w:t>
            </w:r>
          </w:p>
        </w:tc>
      </w:tr>
      <w:tr>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Delivery</w:t>
            </w:r>
          </w:p>
        </w:tc>
        <w:tc>
          <w:tcPr>
            <w:tcW w:type="dxa" w:w="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25%</w:t>
            </w:r>
          </w:p>
        </w:tc>
        <w:tc>
          <w:tcPr>
            <w:tcW w:type="dxa" w:w="2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On-time delivery percentage across all dispatch lifecycle stages, schedule adherence versus committed dates, recovery time when overdue</w:t>
            </w:r>
          </w:p>
        </w:tc>
        <w:tc>
          <w:tcPr>
            <w:tcW w:type="dxa" w:w="2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Dispatch stage records, confirmed delivery dates, FAT records</w:t>
            </w:r>
          </w:p>
        </w:tc>
        <w:tc>
          <w:tcPr>
            <w:tcW w:type="dxa" w:w="15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Rolling 12 months</w:t>
            </w:r>
          </w:p>
        </w:tc>
      </w:tr>
      <w:tr>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Responsiveness</w:t>
            </w:r>
          </w:p>
        </w:tc>
        <w:tc>
          <w:tcPr>
            <w:tcW w:type="dxa" w:w="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20%</w:t>
            </w:r>
          </w:p>
        </w:tc>
        <w:tc>
          <w:tcPr>
            <w:tcW w:type="dxa" w:w="2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Average response time to RFIs and NCR notifications, acknowledgment rate for coordination items, time-to-action on Coordination Engine items</w:t>
            </w:r>
          </w:p>
        </w:tc>
        <w:tc>
          <w:tcPr>
            <w:tcW w:type="dxa" w:w="2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Communication logs, Coordination Engine acknowledgment records</w:t>
            </w:r>
          </w:p>
        </w:tc>
        <w:tc>
          <w:tcPr>
            <w:tcW w:type="dxa" w:w="15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Rolling 6 months</w:t>
            </w:r>
          </w:p>
        </w:tc>
      </w:tr>
      <w:tr>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Documentation</w:t>
            </w:r>
          </w:p>
        </w:tc>
        <w:tc>
          <w:tcPr>
            <w:tcW w:type="dxa" w:w="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15%</w:t>
            </w:r>
          </w:p>
        </w:tc>
        <w:tc>
          <w:tcPr>
            <w:tcW w:type="dxa" w:w="2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Drawing submittal completeness versus contract requirements, revision compliance rate (correct revision on first submittal), on-time submission against agreed dates</w:t>
            </w:r>
          </w:p>
        </w:tc>
        <w:tc>
          <w:tcPr>
            <w:tcW w:type="dxa" w:w="2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Document Control records in Synchronization &amp; Consistency Engine</w:t>
            </w:r>
          </w:p>
        </w:tc>
        <w:tc>
          <w:tcPr>
            <w:tcW w:type="dxa" w:w="15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Rolling 6 months</w:t>
            </w:r>
          </w:p>
        </w:tc>
      </w:tr>
      <w:tr>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Commercial</w:t>
            </w:r>
          </w:p>
        </w:tc>
        <w:tc>
          <w:tcPr>
            <w:tcW w:type="dxa" w:w="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10%</w:t>
            </w:r>
          </w:p>
        </w:tc>
        <w:tc>
          <w:tcPr>
            <w:tcW w:type="dxa" w:w="2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Invoice accuracy rate, claims frequency per contract value, proportion of invoices disputed, resolution time for commercial disputes</w:t>
            </w:r>
          </w:p>
        </w:tc>
        <w:tc>
          <w:tcPr>
            <w:tcW w:type="dxa" w:w="2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Contract records, payment records, Claim node data in PIG</w:t>
            </w:r>
          </w:p>
        </w:tc>
        <w:tc>
          <w:tcPr>
            <w:tcW w:type="dxa" w:w="15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Rolling 12 months</w:t>
            </w:r>
          </w:p>
        </w:tc>
      </w:tr>
      <w:tr>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Relationship</w:t>
            </w:r>
          </w:p>
        </w:tc>
        <w:tc>
          <w:tcPr>
            <w:tcW w:type="dxa" w:w="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5%</w:t>
            </w:r>
          </w:p>
        </w:tc>
        <w:tc>
          <w:tcPr>
            <w:tcW w:type="dxa" w:w="2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Dispute escalation rate (proportion of issues escalated beyond working level), cooperative behaviour index based on structured PM assessment completed quarterly</w:t>
            </w:r>
          </w:p>
        </w:tc>
        <w:tc>
          <w:tcPr>
            <w:tcW w:type="dxa" w:w="2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PM assessment form (structured, not free text), escalation records</w:t>
            </w:r>
          </w:p>
        </w:tc>
        <w:tc>
          <w:tcPr>
            <w:tcW w:type="dxa" w:w="15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Quarterly rolling assessment</w:t>
            </w:r>
          </w:p>
        </w:tc>
      </w:tr>
    </w:tbl>
    <w:p>
      <w:pPr>
        <w:spacing w:after="160"/>
      </w:pPr>
    </w:p>
    <w:p>
      <w:pPr>
        <w:pStyle w:val="Heading1"/>
        <w:spacing w:after="160" w:before="400"/>
      </w:pPr>
      <w:r>
        <w:rPr>
          <w:rFonts w:ascii="Calibri" w:cs="Calibri" w:eastAsia="Calibri" w:hAnsi="Calibri"/>
          <w:b/>
          <w:bCs/>
          <w:color w:val="1B5E20"/>
          <w:sz w:val="28"/>
          <w:szCs w:val="28"/>
        </w:rPr>
        <w:t xml:space="preserve">2. Causal Attribution</w:t>
      </w:r>
    </w:p>
    <w:p>
      <w:pPr>
        <w:spacing w:after="140" w:line="280"/>
      </w:pPr>
      <w:r>
        <w:rPr>
          <w:rFonts w:ascii="Calibri" w:cs="Calibri" w:eastAsia="Calibri" w:hAnsi="Calibri"/>
          <w:color w:val="212121"/>
          <w:sz w:val="22"/>
          <w:szCs w:val="22"/>
        </w:rPr>
        <w:t xml:space="preserve">Causal attribution is the most important feature of the Vendor Intelligence Engine. Standard vendor scoring systems penalise vendors for every performance failure, regardless of cause. This produces systematically incorrect scores when EPC-side failures (late drawings, delayed RFI responses, specification changes) are the upstream cause of vendor failures.</w:t>
      </w:r>
    </w:p>
    <w:p>
      <w:pPr>
        <w:spacing w:after="140" w:line="280"/>
      </w:pPr>
      <w:r>
        <w:rPr>
          <w:rFonts w:ascii="Calibri" w:cs="Calibri" w:eastAsia="Calibri" w:hAnsi="Calibri"/>
          <w:color w:val="212121"/>
          <w:sz w:val="22"/>
          <w:szCs w:val="22"/>
        </w:rPr>
        <w:t xml:space="preserve">Green PM's causal attribution algorithm determines, before penalising a vendor's score, whether the vendor's performance failure was actually the vendor's fault.</w:t>
      </w:r>
    </w:p>
    <w:p>
      <w:pPr>
        <w:pStyle w:val="Heading2"/>
        <w:spacing w:after="120" w:before="280"/>
      </w:pPr>
      <w:r>
        <w:rPr>
          <w:rFonts w:ascii="Calibri" w:cs="Calibri" w:eastAsia="Calibri" w:hAnsi="Calibri"/>
          <w:b/>
          <w:bCs/>
          <w:color w:val="2E7D32"/>
          <w:sz w:val="24"/>
          <w:szCs w:val="24"/>
        </w:rPr>
        <w:t xml:space="preserve">2.1 The Causal Attribution Algorithm</w:t>
      </w:r>
    </w:p>
    <w:p>
      <w:pPr>
        <w:spacing w:after="140" w:line="280"/>
      </w:pPr>
      <w:r>
        <w:rPr>
          <w:rFonts w:ascii="Calibri" w:cs="Calibri" w:eastAsia="Calibri" w:hAnsi="Calibri"/>
          <w:color w:val="212121"/>
          <w:sz w:val="22"/>
          <w:szCs w:val="22"/>
        </w:rPr>
        <w:t xml:space="preserve">When a vendor performance failure event is recorded (late delivery, failed inspection, NCR, late submittal), the Vendor Intelligence Engine runs the following algorithm:</w:t>
      </w:r>
    </w:p>
    <w:p>
      <w:pPr>
        <w:pStyle w:val="ListParagraph"/>
        <w:numPr>
          <w:ilvl w:val="0"/>
          <w:numId w:val="2"/>
        </w:numPr>
        <w:spacing w:after="80"/>
      </w:pPr>
      <w:r>
        <w:rPr>
          <w:rFonts w:ascii="Calibri" w:cs="Calibri" w:eastAsia="Calibri" w:hAnsi="Calibri"/>
          <w:color w:val="212121"/>
          <w:sz w:val="22"/>
          <w:szCs w:val="22"/>
        </w:rPr>
        <w:t xml:space="preserve">Step 1: Identify the failure event — what was late, failed, or non-conforming, and by how much relative to the committed date or standard.</w:t>
      </w:r>
    </w:p>
    <w:p>
      <w:pPr>
        <w:pStyle w:val="ListParagraph"/>
        <w:numPr>
          <w:ilvl w:val="0"/>
          <w:numId w:val="2"/>
        </w:numPr>
        <w:spacing w:after="80"/>
      </w:pPr>
      <w:r>
        <w:rPr>
          <w:rFonts w:ascii="Calibri" w:cs="Calibri" w:eastAsia="Calibri" w:hAnsi="Calibri"/>
          <w:color w:val="212121"/>
          <w:sz w:val="22"/>
          <w:szCs w:val="22"/>
        </w:rPr>
        <w:t xml:space="preserve">Step 2: Traverse the PIG upstream from the failure event — what were the predecessor conditions the vendor depended on? Did the vendor receive: IFC drawings on time? Approved specifications? Timely RFI responses? Cleared punch lists from the previous vendor in the sequence?</w:t>
      </w:r>
    </w:p>
    <w:p>
      <w:pPr>
        <w:pStyle w:val="ListParagraph"/>
        <w:numPr>
          <w:ilvl w:val="0"/>
          <w:numId w:val="2"/>
        </w:numPr>
        <w:spacing w:after="80"/>
      </w:pPr>
      <w:r>
        <w:rPr>
          <w:rFonts w:ascii="Calibri" w:cs="Calibri" w:eastAsia="Calibri" w:hAnsi="Calibri"/>
          <w:color w:val="212121"/>
          <w:sz w:val="22"/>
          <w:szCs w:val="22"/>
        </w:rPr>
        <w:t xml:space="preserve">Step 3: For each upstream dependency, check whether the EPC or client side met their obligation. If an IFC drawing was issued late, the drawing issue date is in the PIG. If an RFI response was delayed, the response time is in the Coordination Engine record.</w:t>
      </w:r>
    </w:p>
    <w:p>
      <w:pPr>
        <w:pStyle w:val="ListParagraph"/>
        <w:numPr>
          <w:ilvl w:val="0"/>
          <w:numId w:val="2"/>
        </w:numPr>
        <w:spacing w:after="80"/>
      </w:pPr>
      <w:r>
        <w:rPr>
          <w:rFonts w:ascii="Calibri" w:cs="Calibri" w:eastAsia="Calibri" w:hAnsi="Calibri"/>
          <w:color w:val="212121"/>
          <w:sz w:val="22"/>
          <w:szCs w:val="22"/>
        </w:rPr>
        <w:t xml:space="preserve">Step 4: If upstream causes are found and attributed to non-vendor parties (EPC engineering, client instructions, force majeure), the vendor's score for this event is protected — no penalty is applied.</w:t>
      </w:r>
    </w:p>
    <w:p>
      <w:pPr>
        <w:pStyle w:val="ListParagraph"/>
        <w:numPr>
          <w:ilvl w:val="0"/>
          <w:numId w:val="2"/>
        </w:numPr>
        <w:spacing w:after="80"/>
      </w:pPr>
      <w:r>
        <w:rPr>
          <w:rFonts w:ascii="Calibri" w:cs="Calibri" w:eastAsia="Calibri" w:hAnsi="Calibri"/>
          <w:color w:val="212121"/>
          <w:sz w:val="22"/>
          <w:szCs w:val="22"/>
        </w:rPr>
        <w:t xml:space="preserve">Step 5: The causal attribution result is stored as a CAUSED_BY edge in the PIG: the failure event node is linked to the causative entity (Person, Organisational Unit, or external event) with a CAUSED_BY edge.</w:t>
      </w:r>
    </w:p>
    <w:p>
      <w:pPr>
        <w:pStyle w:val="Heading2"/>
        <w:spacing w:after="120" w:before="280"/>
      </w:pPr>
      <w:r>
        <w:rPr>
          <w:rFonts w:ascii="Calibri" w:cs="Calibri" w:eastAsia="Calibri" w:hAnsi="Calibri"/>
          <w:b/>
          <w:bCs/>
          <w:color w:val="2E7D32"/>
          <w:sz w:val="24"/>
          <w:szCs w:val="24"/>
        </w:rPr>
        <w:t xml:space="preserve">2.2 Worked Example</w:t>
      </w:r>
    </w:p>
    <w:p>
      <w:pPr>
        <w:spacing w:after="140" w:line="280"/>
      </w:pPr>
      <w:r>
        <w:rPr>
          <w:rFonts w:ascii="Calibri" w:cs="Calibri" w:eastAsia="Calibri" w:hAnsi="Calibri"/>
          <w:color w:val="212121"/>
          <w:sz w:val="22"/>
          <w:szCs w:val="22"/>
        </w:rPr>
        <w:t xml:space="preserve">Vendor X is contractually required to deliver Drawing Package 3 by 15 March. Vendor X delivers on 28 March — 13 days late. Without causal attribution, Vendor X's Delivery dimension score is penalised for a 13-day late delivery.</w:t>
      </w:r>
    </w:p>
    <w:p>
      <w:pPr>
        <w:spacing w:after="140" w:line="280"/>
      </w:pPr>
      <w:r>
        <w:rPr>
          <w:rFonts w:ascii="Calibri" w:cs="Calibri" w:eastAsia="Calibri" w:hAnsi="Calibri"/>
          <w:color w:val="212121"/>
          <w:sz w:val="22"/>
          <w:szCs w:val="22"/>
        </w:rPr>
        <w:t xml:space="preserve">With causal attribution: PIG traversal shows that Vendor X's submittal deadline was contractually set at 5 working days after receipt of the IFC drawing for Package 3. The IFC drawing for Package 3 was issued on 8 March — 10 working days late. The responsibility for the delay sits with the engineering team, not Vendor X.</w:t>
      </w:r>
    </w:p>
    <w:p>
      <w:pPr>
        <w:spacing w:after="140" w:line="280"/>
      </w:pPr>
      <w:r>
        <w:rPr>
          <w:rFonts w:ascii="Calibri" w:cs="Calibri" w:eastAsia="Calibri" w:hAnsi="Calibri"/>
          <w:i/>
          <w:iCs/>
          <w:color w:val="212121"/>
          <w:sz w:val="22"/>
          <w:szCs w:val="22"/>
        </w:rPr>
        <w:t xml:space="preserve">Causal attribution result: engineering team fault. Vendor X score protected. CAUSED_BY edge written: Package 3 late delivery → Engineering Team — Drawing Delay. The engineering team's own performance record absorbs the delay attribution.</w:t>
      </w:r>
    </w:p>
    <w:p>
      <w:pPr>
        <w:spacing w:after="140" w:line="280"/>
      </w:pPr>
      <w:r>
        <w:rPr>
          <w:rFonts w:ascii="Calibri" w:cs="Calibri" w:eastAsia="Calibri" w:hAnsi="Calibri"/>
          <w:color w:val="212121"/>
          <w:sz w:val="22"/>
          <w:szCs w:val="22"/>
        </w:rPr>
        <w:t xml:space="preserve">This matters commercially: a falsely penalised vendor score can affect future contract awards, adjudications, and relationship negotiations. Causal attribution ensures the score reflects actual vendor performance, not EPC-generated delays attributed to vendors.</w:t>
      </w:r>
    </w:p>
    <w:p>
      <w:pPr>
        <w:spacing w:after="160"/>
      </w:pPr>
    </w:p>
    <w:p>
      <w:pPr>
        <w:pStyle w:val="Heading1"/>
        <w:spacing w:after="160" w:before="400"/>
      </w:pPr>
      <w:r>
        <w:rPr>
          <w:rFonts w:ascii="Calibri" w:cs="Calibri" w:eastAsia="Calibri" w:hAnsi="Calibri"/>
          <w:b/>
          <w:bCs/>
          <w:color w:val="1B5E20"/>
          <w:sz w:val="28"/>
          <w:szCs w:val="28"/>
        </w:rPr>
        <w:t xml:space="preserve">3. Vendor Workspace</w:t>
      </w:r>
    </w:p>
    <w:p>
      <w:pPr>
        <w:spacing w:after="140" w:line="280"/>
      </w:pPr>
      <w:r>
        <w:rPr>
          <w:rFonts w:ascii="Calibri" w:cs="Calibri" w:eastAsia="Calibri" w:hAnsi="Calibri"/>
          <w:color w:val="212121"/>
          <w:sz w:val="22"/>
          <w:szCs w:val="22"/>
        </w:rPr>
        <w:t xml:space="preserve">The Vendor Workspace is the entity workspace for a single vendor. It aggregates all intelligence about one vendor relationship — performance, deliverables, supply chain, quality history, financial status, and causal attribution — without requiring navigation between screens.</w:t>
      </w:r>
    </w:p>
    <w:p>
      <w:pPr>
        <w:spacing w:after="140" w:line="280"/>
      </w:pPr>
      <w:r>
        <w:rPr>
          <w:rFonts w:ascii="Calibri" w:cs="Calibri" w:eastAsia="Calibri" w:hAnsi="Calibri"/>
          <w:color w:val="212121"/>
          <w:sz w:val="22"/>
          <w:szCs w:val="22"/>
        </w:rPr>
        <w:t xml:space="preserve">The panels of the Vendor Workspace:</w:t>
      </w:r>
    </w:p>
    <w:p>
      <w:pPr>
        <w:pStyle w:val="ListParagraph"/>
        <w:numPr>
          <w:ilvl w:val="0"/>
          <w:numId w:val="2"/>
        </w:numPr>
        <w:spacing w:after="80"/>
      </w:pPr>
      <w:r>
        <w:rPr>
          <w:rFonts w:ascii="Calibri" w:cs="Calibri" w:eastAsia="Calibri" w:hAnsi="Calibri"/>
          <w:color w:val="212121"/>
          <w:sz w:val="22"/>
          <w:szCs w:val="22"/>
        </w:rPr>
        <w:t xml:space="preserve">Performance Scorecard — the six-dimension score, trend chart for each dimension over the scoring period, and benchmark comparison against project average where applicable</w:t>
      </w:r>
    </w:p>
    <w:p>
      <w:pPr>
        <w:pStyle w:val="ListParagraph"/>
        <w:numPr>
          <w:ilvl w:val="0"/>
          <w:numId w:val="2"/>
        </w:numPr>
        <w:spacing w:after="80"/>
      </w:pPr>
      <w:r>
        <w:rPr>
          <w:rFonts w:ascii="Calibri" w:cs="Calibri" w:eastAsia="Calibri" w:hAnsi="Calibri"/>
          <w:color w:val="212121"/>
          <w:sz w:val="22"/>
          <w:szCs w:val="22"/>
        </w:rPr>
        <w:t xml:space="preserve">Deliverable Tracker — all items this vendor is contracted to deliver, with status, committed date, forecast date, and risk flag for each item</w:t>
      </w:r>
    </w:p>
    <w:p>
      <w:pPr>
        <w:pStyle w:val="ListParagraph"/>
        <w:numPr>
          <w:ilvl w:val="0"/>
          <w:numId w:val="2"/>
        </w:numPr>
        <w:spacing w:after="80"/>
      </w:pPr>
      <w:r>
        <w:rPr>
          <w:rFonts w:ascii="Calibri" w:cs="Calibri" w:eastAsia="Calibri" w:hAnsi="Calibri"/>
          <w:color w:val="212121"/>
          <w:sz w:val="22"/>
          <w:szCs w:val="22"/>
        </w:rPr>
        <w:t xml:space="preserve">Dispatch and Shipment Log — all active and completed shipments, linked to the dispatch lifecycle stages and current ETA</w:t>
      </w:r>
    </w:p>
    <w:p>
      <w:pPr>
        <w:pStyle w:val="ListParagraph"/>
        <w:numPr>
          <w:ilvl w:val="0"/>
          <w:numId w:val="2"/>
        </w:numPr>
        <w:spacing w:after="80"/>
      </w:pPr>
      <w:r>
        <w:rPr>
          <w:rFonts w:ascii="Calibri" w:cs="Calibri" w:eastAsia="Calibri" w:hAnsi="Calibri"/>
          <w:color w:val="212121"/>
          <w:sz w:val="22"/>
          <w:szCs w:val="22"/>
        </w:rPr>
        <w:t xml:space="preserve">NCR History — all non-conformance reports raised against this vendor, with status (open, closed, disputed) and causal attribution result for each</w:t>
      </w:r>
    </w:p>
    <w:p>
      <w:pPr>
        <w:pStyle w:val="ListParagraph"/>
        <w:numPr>
          <w:ilvl w:val="0"/>
          <w:numId w:val="2"/>
        </w:numPr>
        <w:spacing w:after="80"/>
      </w:pPr>
      <w:r>
        <w:rPr>
          <w:rFonts w:ascii="Calibri" w:cs="Calibri" w:eastAsia="Calibri" w:hAnsi="Calibri"/>
          <w:color w:val="212121"/>
          <w:sz w:val="22"/>
          <w:szCs w:val="22"/>
        </w:rPr>
        <w:t xml:space="preserve">Correspondence Register — reference log of formal correspondence (RFIs sent, responses received, notices issued). This is a reference log only — actual communications are managed in the EPC's external communication system</w:t>
      </w:r>
    </w:p>
    <w:p>
      <w:pPr>
        <w:pStyle w:val="ListParagraph"/>
        <w:numPr>
          <w:ilvl w:val="0"/>
          <w:numId w:val="2"/>
        </w:numPr>
        <w:spacing w:after="80"/>
      </w:pPr>
      <w:r>
        <w:rPr>
          <w:rFonts w:ascii="Calibri" w:cs="Calibri" w:eastAsia="Calibri" w:hAnsi="Calibri"/>
          <w:color w:val="212121"/>
          <w:sz w:val="22"/>
          <w:szCs w:val="22"/>
        </w:rPr>
        <w:t xml:space="preserve">Payment Status — current invoice status, approved payment amounts, outstanding disputed amounts, and payment schedule versus actual</w:t>
      </w:r>
    </w:p>
    <w:p>
      <w:pPr>
        <w:pStyle w:val="ListParagraph"/>
        <w:numPr>
          <w:ilvl w:val="0"/>
          <w:numId w:val="2"/>
        </w:numPr>
        <w:spacing w:after="80"/>
      </w:pPr>
      <w:r>
        <w:rPr>
          <w:rFonts w:ascii="Calibri" w:cs="Calibri" w:eastAsia="Calibri" w:hAnsi="Calibri"/>
          <w:color w:val="212121"/>
          <w:sz w:val="22"/>
          <w:szCs w:val="22"/>
        </w:rPr>
        <w:t xml:space="preserve">Causal Attribution History — a summary record of all attribution decisions: "12 events this year: 8 attributed to vendor, 4 attributed to engineering team." This is a crucial executive-level indicator: if 9 of 12 failures are attributed to the EPC side, the vendor relationship should be viewed differently from one where 9 of 12 are attributed to the vendor.</w:t>
      </w:r>
    </w:p>
    <w:p>
      <w:pPr>
        <w:spacing w:after="160"/>
      </w:pPr>
    </w:p>
    <w:p>
      <w:pPr>
        <w:pStyle w:val="Heading1"/>
        <w:spacing w:after="160" w:before="400"/>
      </w:pPr>
      <w:r>
        <w:rPr>
          <w:rFonts w:ascii="Calibri" w:cs="Calibri" w:eastAsia="Calibri" w:hAnsi="Calibri"/>
          <w:b/>
          <w:bCs/>
          <w:color w:val="1B5E20"/>
          <w:sz w:val="28"/>
          <w:szCs w:val="28"/>
        </w:rPr>
        <w:t xml:space="preserve">4. Reliability Prediction</w:t>
      </w:r>
    </w:p>
    <w:p>
      <w:pPr>
        <w:spacing w:after="140" w:line="280"/>
      </w:pPr>
      <w:r>
        <w:rPr>
          <w:rFonts w:ascii="Calibri" w:cs="Calibri" w:eastAsia="Calibri" w:hAnsi="Calibri"/>
          <w:color w:val="212121"/>
          <w:sz w:val="22"/>
          <w:szCs w:val="22"/>
        </w:rPr>
        <w:t xml:space="preserve">The Vendor Intelligence Engine produces forward-looking reliability predictions, not only historical scores. For any vendor and any pending deliverable, the engine predicts the probability of on-time delivery.</w:t>
      </w:r>
    </w:p>
    <w:p>
      <w:pPr>
        <w:spacing w:after="140" w:line="280"/>
      </w:pPr>
      <w:r>
        <w:rPr>
          <w:rFonts w:ascii="Calibri" w:cs="Calibri" w:eastAsia="Calibri" w:hAnsi="Calibri"/>
          <w:color w:val="212121"/>
          <w:sz w:val="22"/>
          <w:szCs w:val="22"/>
        </w:rPr>
        <w:t xml:space="preserve">Inputs to the reliability prediction:</w:t>
      </w:r>
    </w:p>
    <w:p>
      <w:pPr>
        <w:pStyle w:val="ListParagraph"/>
        <w:numPr>
          <w:ilvl w:val="0"/>
          <w:numId w:val="2"/>
        </w:numPr>
        <w:spacing w:after="80"/>
      </w:pPr>
      <w:r>
        <w:rPr>
          <w:rFonts w:ascii="Calibri" w:cs="Calibri" w:eastAsia="Calibri" w:hAnsi="Calibri"/>
          <w:color w:val="212121"/>
          <w:sz w:val="22"/>
          <w:szCs w:val="22"/>
        </w:rPr>
        <w:t xml:space="preserve">Historical on-time delivery percentage from the Delivery dimension score (rolling 12 months)</w:t>
      </w:r>
    </w:p>
    <w:p>
      <w:pPr>
        <w:pStyle w:val="ListParagraph"/>
        <w:numPr>
          <w:ilvl w:val="0"/>
          <w:numId w:val="2"/>
        </w:numPr>
        <w:spacing w:after="80"/>
      </w:pPr>
      <w:r>
        <w:rPr>
          <w:rFonts w:ascii="Calibri" w:cs="Calibri" w:eastAsia="Calibri" w:hAnsi="Calibri"/>
          <w:color w:val="212121"/>
          <w:sz w:val="22"/>
          <w:szCs w:val="22"/>
        </w:rPr>
        <w:t xml:space="preserve">Current engagement level: is the vendor actively acknowledging coordination items? Are they responding to RFIs within their historical average time?</w:t>
      </w:r>
    </w:p>
    <w:p>
      <w:pPr>
        <w:pStyle w:val="ListParagraph"/>
        <w:numPr>
          <w:ilvl w:val="0"/>
          <w:numId w:val="2"/>
        </w:numPr>
        <w:spacing w:after="80"/>
      </w:pPr>
      <w:r>
        <w:rPr>
          <w:rFonts w:ascii="Calibri" w:cs="Calibri" w:eastAsia="Calibri" w:hAnsi="Calibri"/>
          <w:color w:val="212121"/>
          <w:sz w:val="22"/>
          <w:szCs w:val="22"/>
        </w:rPr>
        <w:t xml:space="preserve">PIG traversal: are there any upstream risks on the EPC side that could cause EPC-side failures and reduce the vendor's actual ability to deliver? If engineering has 4 IFC drawings outstanding that Vendor X needs, the prediction factors this in.</w:t>
      </w:r>
    </w:p>
    <w:p>
      <w:pPr>
        <w:pStyle w:val="ListParagraph"/>
        <w:numPr>
          <w:ilvl w:val="0"/>
          <w:numId w:val="2"/>
        </w:numPr>
        <w:spacing w:after="80"/>
      </w:pPr>
      <w:r>
        <w:rPr>
          <w:rFonts w:ascii="Calibri" w:cs="Calibri" w:eastAsia="Calibri" w:hAnsi="Calibri"/>
          <w:color w:val="212121"/>
          <w:sz w:val="22"/>
          <w:szCs w:val="22"/>
        </w:rPr>
        <w:t xml:space="preserve">Organizational Memory Engine: has this vendor recovered from similar situations in the past? On this project or other projects in the portfolio?</w:t>
      </w:r>
    </w:p>
    <w:p>
      <w:pPr>
        <w:spacing w:after="140" w:line="280"/>
      </w:pPr>
      <w:r>
        <w:rPr>
          <w:rFonts w:ascii="Calibri" w:cs="Calibri" w:eastAsia="Calibri" w:hAnsi="Calibri"/>
          <w:color w:val="212121"/>
          <w:sz w:val="22"/>
          <w:szCs w:val="22"/>
        </w:rPr>
        <w:t xml:space="preserve">The reliability prediction output:</w:t>
      </w:r>
    </w:p>
    <w:p>
      <w:pPr>
        <w:pStyle w:val="ListParagraph"/>
        <w:numPr>
          <w:ilvl w:val="0"/>
          <w:numId w:val="2"/>
        </w:numPr>
        <w:spacing w:after="80"/>
      </w:pPr>
      <w:r>
        <w:rPr>
          <w:rFonts w:ascii="Calibri" w:cs="Calibri" w:eastAsia="Calibri" w:hAnsi="Calibri"/>
          <w:color w:val="212121"/>
          <w:sz w:val="22"/>
          <w:szCs w:val="22"/>
        </w:rPr>
        <w:t xml:space="preserve">Probability percentage — the predicted probability of on-time delivery for the specified deliverable</w:t>
      </w:r>
    </w:p>
    <w:p>
      <w:pPr>
        <w:pStyle w:val="ListParagraph"/>
        <w:numPr>
          <w:ilvl w:val="0"/>
          <w:numId w:val="2"/>
        </w:numPr>
        <w:spacing w:after="80"/>
      </w:pPr>
      <w:r>
        <w:rPr>
          <w:rFonts w:ascii="Calibri" w:cs="Calibri" w:eastAsia="Calibri" w:hAnsi="Calibri"/>
          <w:color w:val="212121"/>
          <w:sz w:val="22"/>
          <w:szCs w:val="22"/>
        </w:rPr>
        <w:t xml:space="preserve">Key risk factors — the top 3 factors driving the probability estimate, ranked by influence</w:t>
      </w:r>
    </w:p>
    <w:p>
      <w:pPr>
        <w:pStyle w:val="ListParagraph"/>
        <w:numPr>
          <w:ilvl w:val="0"/>
          <w:numId w:val="2"/>
        </w:numPr>
        <w:spacing w:after="80"/>
      </w:pPr>
      <w:r>
        <w:rPr>
          <w:rFonts w:ascii="Calibri" w:cs="Calibri" w:eastAsia="Calibri" w:hAnsi="Calibri"/>
          <w:color w:val="212121"/>
          <w:sz w:val="22"/>
          <w:szCs w:val="22"/>
        </w:rPr>
        <w:t xml:space="preserve">Recommended contingency plan — if probability is below 70%, the Vendor Intelligence Engine recommends a contingency action (accelerated tracking, second-source identification, scope disaggregation)</w:t>
      </w:r>
    </w:p>
    <w:p>
      <w:pPr>
        <w:spacing w:after="140" w:line="280"/>
      </w:pPr>
      <w:r>
        <w:rPr>
          <w:rFonts w:ascii="Calibri" w:cs="Calibri" w:eastAsia="Calibri" w:hAnsi="Calibri"/>
          <w:color w:val="212121"/>
          <w:sz w:val="22"/>
          <w:szCs w:val="22"/>
        </w:rPr>
        <w:t xml:space="preserve">The reliability prediction is the primary input the Supply Chain Intelligence Engine uses to determine whether a shipment's ETA is credible. A vendor with a predicted reliability of 40% for the current deliverable triggers a supply chain risk alert even if the dispatch lifecycle stage appears on track.</w:t>
      </w:r>
    </w:p>
    <w:p>
      <w:pPr>
        <w:spacing w:after="160"/>
      </w:pPr>
    </w:p>
    <w:p>
      <w:pPr>
        <w:pStyle w:val="Heading1"/>
        <w:spacing w:after="160" w:before="400"/>
      </w:pPr>
      <w:r>
        <w:rPr>
          <w:rFonts w:ascii="Calibri" w:cs="Calibri" w:eastAsia="Calibri" w:hAnsi="Calibri"/>
          <w:b/>
          <w:bCs/>
          <w:color w:val="1B5E20"/>
          <w:sz w:val="28"/>
          <w:szCs w:val="28"/>
        </w:rPr>
        <w:t xml:space="preserve">5. Vendor Portal (External-Facing)</w:t>
      </w:r>
    </w:p>
    <w:p>
      <w:pPr>
        <w:spacing w:after="140" w:line="280"/>
      </w:pPr>
      <w:r>
        <w:rPr>
          <w:rFonts w:ascii="Calibri" w:cs="Calibri" w:eastAsia="Calibri" w:hAnsi="Calibri"/>
          <w:color w:val="212121"/>
          <w:sz w:val="22"/>
          <w:szCs w:val="22"/>
        </w:rPr>
        <w:t xml:space="preserve">The Vendor Portal is a separate access point for vendors to submit information and view their own project status. It is scoped by design: vendors see their own information and only what they need to perform their obligations.</w:t>
      </w:r>
    </w:p>
    <w:p>
      <w:pPr>
        <w:pStyle w:val="Heading2"/>
        <w:spacing w:after="120" w:before="280"/>
      </w:pPr>
      <w:r>
        <w:rPr>
          <w:rFonts w:ascii="Calibri" w:cs="Calibri" w:eastAsia="Calibri" w:hAnsi="Calibri"/>
          <w:b/>
          <w:bCs/>
          <w:color w:val="2E7D32"/>
          <w:sz w:val="24"/>
          <w:szCs w:val="24"/>
        </w:rPr>
        <w:t xml:space="preserve">5.1 What Vendors Can See</w:t>
      </w:r>
    </w:p>
    <w:p>
      <w:pPr>
        <w:pStyle w:val="ListParagraph"/>
        <w:numPr>
          <w:ilvl w:val="0"/>
          <w:numId w:val="2"/>
        </w:numPr>
        <w:spacing w:after="80"/>
      </w:pPr>
      <w:r>
        <w:rPr>
          <w:rFonts w:ascii="Calibri" w:cs="Calibri" w:eastAsia="Calibri" w:hAnsi="Calibri"/>
          <w:color w:val="212121"/>
          <w:sz w:val="22"/>
          <w:szCs w:val="22"/>
        </w:rPr>
        <w:t xml:space="preserve">Their own deliverable list — all items contracted, with due dates, submittal requirements, and current status</w:t>
      </w:r>
    </w:p>
    <w:p>
      <w:pPr>
        <w:pStyle w:val="ListParagraph"/>
        <w:numPr>
          <w:ilvl w:val="0"/>
          <w:numId w:val="2"/>
        </w:numPr>
        <w:spacing w:after="80"/>
      </w:pPr>
      <w:r>
        <w:rPr>
          <w:rFonts w:ascii="Calibri" w:cs="Calibri" w:eastAsia="Calibri" w:hAnsi="Calibri"/>
          <w:color w:val="212121"/>
          <w:sz w:val="22"/>
          <w:szCs w:val="22"/>
        </w:rPr>
        <w:t xml:space="preserve">Dispatch status for shipments they have confirmed — stages the vendor themselves have updated and confirmed</w:t>
      </w:r>
    </w:p>
    <w:p>
      <w:pPr>
        <w:pStyle w:val="ListParagraph"/>
        <w:numPr>
          <w:ilvl w:val="0"/>
          <w:numId w:val="2"/>
        </w:numPr>
        <w:spacing w:after="80"/>
      </w:pPr>
      <w:r>
        <w:rPr>
          <w:rFonts w:ascii="Calibri" w:cs="Calibri" w:eastAsia="Calibri" w:hAnsi="Calibri"/>
          <w:color w:val="212121"/>
          <w:sz w:val="22"/>
          <w:szCs w:val="22"/>
        </w:rPr>
        <w:t xml:space="preserve">NCRs raised against them — read-only view; vendors can see the NCR record but cannot edit it</w:t>
      </w:r>
    </w:p>
    <w:p>
      <w:pPr>
        <w:pStyle w:val="ListParagraph"/>
        <w:numPr>
          <w:ilvl w:val="0"/>
          <w:numId w:val="2"/>
        </w:numPr>
        <w:spacing w:after="80"/>
      </w:pPr>
      <w:r>
        <w:rPr>
          <w:rFonts w:ascii="Calibri" w:cs="Calibri" w:eastAsia="Calibri" w:hAnsi="Calibri"/>
          <w:color w:val="212121"/>
          <w:sz w:val="22"/>
          <w:szCs w:val="22"/>
        </w:rPr>
        <w:t xml:space="preserve">Their performance scorecard — current scores on all six dimensions; current period only, no trend history</w:t>
      </w:r>
    </w:p>
    <w:p>
      <w:pPr>
        <w:pStyle w:val="ListParagraph"/>
        <w:numPr>
          <w:ilvl w:val="0"/>
          <w:numId w:val="2"/>
        </w:numPr>
        <w:spacing w:after="80"/>
      </w:pPr>
      <w:r>
        <w:rPr>
          <w:rFonts w:ascii="Calibri" w:cs="Calibri" w:eastAsia="Calibri" w:hAnsi="Calibri"/>
          <w:color w:val="212121"/>
          <w:sz w:val="22"/>
          <w:szCs w:val="22"/>
        </w:rPr>
        <w:t xml:space="preserve">Documents required from them — a list of all submittals required with submission deadlines and current submission status</w:t>
      </w:r>
    </w:p>
    <w:p>
      <w:pPr>
        <w:pStyle w:val="Heading2"/>
        <w:spacing w:after="120" w:before="280"/>
      </w:pPr>
      <w:r>
        <w:rPr>
          <w:rFonts w:ascii="Calibri" w:cs="Calibri" w:eastAsia="Calibri" w:hAnsi="Calibri"/>
          <w:b/>
          <w:bCs/>
          <w:color w:val="2E7D32"/>
          <w:sz w:val="24"/>
          <w:szCs w:val="24"/>
        </w:rPr>
        <w:t xml:space="preserve">5.2 What Vendors Cannot See</w:t>
      </w:r>
    </w:p>
    <w:p>
      <w:pPr>
        <w:pStyle w:val="ListParagraph"/>
        <w:numPr>
          <w:ilvl w:val="0"/>
          <w:numId w:val="2"/>
        </w:numPr>
        <w:spacing w:after="80"/>
      </w:pPr>
      <w:r>
        <w:rPr>
          <w:rFonts w:ascii="Calibri" w:cs="Calibri" w:eastAsia="Calibri" w:hAnsi="Calibri"/>
          <w:color w:val="212121"/>
          <w:sz w:val="22"/>
          <w:szCs w:val="22"/>
        </w:rPr>
        <w:t xml:space="preserve">Other vendors' data — complete isolation between vendor accounts</w:t>
      </w:r>
    </w:p>
    <w:p>
      <w:pPr>
        <w:pStyle w:val="ListParagraph"/>
        <w:numPr>
          <w:ilvl w:val="0"/>
          <w:numId w:val="2"/>
        </w:numPr>
        <w:spacing w:after="80"/>
      </w:pPr>
      <w:r>
        <w:rPr>
          <w:rFonts w:ascii="Calibri" w:cs="Calibri" w:eastAsia="Calibri" w:hAnsi="Calibri"/>
          <w:color w:val="212121"/>
          <w:sz w:val="22"/>
          <w:szCs w:val="22"/>
        </w:rPr>
        <w:t xml:space="preserve">Change intelligence — the internal change management record, Change Workspace, and impact assessments are not visible to vendors</w:t>
      </w:r>
    </w:p>
    <w:p>
      <w:pPr>
        <w:pStyle w:val="ListParagraph"/>
        <w:numPr>
          <w:ilvl w:val="0"/>
          <w:numId w:val="2"/>
        </w:numPr>
        <w:spacing w:after="80"/>
      </w:pPr>
      <w:r>
        <w:rPr>
          <w:rFonts w:ascii="Calibri" w:cs="Calibri" w:eastAsia="Calibri" w:hAnsi="Calibri"/>
          <w:color w:val="212121"/>
          <w:sz w:val="22"/>
          <w:szCs w:val="22"/>
        </w:rPr>
        <w:t xml:space="preserve">Risk register — project risks are confidential internal intelligence</w:t>
      </w:r>
    </w:p>
    <w:p>
      <w:pPr>
        <w:pStyle w:val="ListParagraph"/>
        <w:numPr>
          <w:ilvl w:val="0"/>
          <w:numId w:val="2"/>
        </w:numPr>
        <w:spacing w:after="80"/>
      </w:pPr>
      <w:r>
        <w:rPr>
          <w:rFonts w:ascii="Calibri" w:cs="Calibri" w:eastAsia="Calibri" w:hAnsi="Calibri"/>
          <w:color w:val="212121"/>
          <w:sz w:val="22"/>
          <w:szCs w:val="22"/>
        </w:rPr>
        <w:t xml:space="preserve">Project schedule — the full project schedule is not shared via the portal</w:t>
      </w:r>
    </w:p>
    <w:p>
      <w:pPr>
        <w:pStyle w:val="ListParagraph"/>
        <w:numPr>
          <w:ilvl w:val="0"/>
          <w:numId w:val="2"/>
        </w:numPr>
        <w:spacing w:after="80"/>
      </w:pPr>
      <w:r>
        <w:rPr>
          <w:rFonts w:ascii="Calibri" w:cs="Calibri" w:eastAsia="Calibri" w:hAnsi="Calibri"/>
          <w:color w:val="212121"/>
          <w:sz w:val="22"/>
          <w:szCs w:val="22"/>
        </w:rPr>
        <w:t xml:space="preserve">Historical score trends — vendors see current scores but not the trend data that could reveal score calculation methodology</w:t>
      </w:r>
    </w:p>
    <w:p>
      <w:pPr>
        <w:spacing w:after="140" w:line="280"/>
      </w:pPr>
      <w:r>
        <w:rPr>
          <w:rFonts w:ascii="Calibri" w:cs="Calibri" w:eastAsia="Calibri" w:hAnsi="Calibri"/>
          <w:color w:val="212121"/>
          <w:sz w:val="22"/>
          <w:szCs w:val="22"/>
        </w:rPr>
        <w:t xml:space="preserve">The vendor portal access boundary is enforced at the API gateway level. Vendor portal tokens carry a scope claim that restricts all API calls to the vendor's own records. This is not a UI restriction — it is enforced at the data access layer.</w:t>
      </w:r>
    </w:p>
    <w:p>
      <w:pPr>
        <w:spacing w:after="160"/>
      </w:pPr>
    </w:p>
    <w:p>
      <w:pPr>
        <w:pStyle w:val="Heading1"/>
        <w:spacing w:after="160" w:before="400"/>
      </w:pPr>
      <w:r>
        <w:rPr>
          <w:rFonts w:ascii="Calibri" w:cs="Calibri" w:eastAsia="Calibri" w:hAnsi="Calibri"/>
          <w:b/>
          <w:bCs/>
          <w:color w:val="1B5E20"/>
          <w:sz w:val="28"/>
          <w:szCs w:val="28"/>
        </w:rPr>
        <w:t xml:space="preserve">6. Integration with Other Engines</w:t>
      </w:r>
    </w:p>
    <w:p>
      <w:pPr>
        <w:spacing w:after="140" w:line="280"/>
      </w:pPr>
      <w:r>
        <w:rPr>
          <w:rFonts w:ascii="Calibri" w:cs="Calibri" w:eastAsia="Calibri" w:hAnsi="Calibri"/>
          <w:color w:val="212121"/>
          <w:sz w:val="22"/>
          <w:szCs w:val="22"/>
        </w:rPr>
        <w:t xml:space="preserve">The Vendor Intelligence Engine does not operate in isolation. Vendor performance data flows into and out of multiple other engines via the PIG and Pub/Sub event bus. The following table summarises the primary integration relationships.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Engine</w:t>
            </w:r>
          </w:p>
        </w:tc>
        <w:tc>
          <w:tcPr>
            <w:tcW w:type="dxa" w:w="636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Integration with Vendor Intelligence Engine</w:t>
            </w:r>
          </w:p>
        </w:tc>
      </w:tr>
      <w:tr>
        <w:tc>
          <w:tcPr>
            <w:tcW w:type="dxa" w:w="3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Supply Chain Intelligence Engine</w:t>
            </w:r>
          </w:p>
        </w:tc>
        <w:tc>
          <w:tcPr>
            <w:tcW w:type="dxa" w:w="63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The Supply Chain Intelligence Engine receives vendor stage confirmations for dispatch lifecycle tracking. The Vendor Intelligence Engine's reliability predictions feed directly into the Supply Chain Intelligence Engine's critical material risk assessment. When a vendor's reliability prediction drops below 70%, the Supply Chain Intelligence Engine elevates the associated shipment to heightened monitoring.</w:t>
            </w:r>
          </w:p>
        </w:tc>
      </w:tr>
      <w:tr>
        <w:tc>
          <w:tcPr>
            <w:tcW w:type="dxa" w:w="3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Risk Engine</w:t>
            </w:r>
          </w:p>
        </w:tc>
        <w:tc>
          <w:tcPr>
            <w:tcW w:type="dxa" w:w="63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Vendor reliability scores feed RAISES_RISK_TO edges in the PIG. A vendor with a Quality dimension score below 0.5 creates a quality risk node linked to all pending deliverables from that vendor. The Risk Engine incorporates vendor reliability into its Monte Carlo simulations for schedule risk quantification.</w:t>
            </w:r>
          </w:p>
        </w:tc>
      </w:tr>
      <w:tr>
        <w:tc>
          <w:tcPr>
            <w:tcW w:type="dxa" w:w="3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Forecasting Engine</w:t>
            </w:r>
          </w:p>
        </w:tc>
        <w:tc>
          <w:tcPr>
            <w:tcW w:type="dxa" w:w="63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Vendor reliability predictions are one of the primary inputs to the Forecasting Engine's schedule forecast. If Vendor X has a 40% probability of on-time delivery for a critical-path deliverable, the Forecasting Engine adjusts the expected delivery date and propagates the schedule impact through the PIG.</w:t>
            </w:r>
          </w:p>
        </w:tc>
      </w:tr>
      <w:tr>
        <w:tc>
          <w:tcPr>
            <w:tcW w:type="dxa" w:w="3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Organizational Memory Engine</w:t>
            </w:r>
          </w:p>
        </w:tc>
        <w:tc>
          <w:tcPr>
            <w:tcW w:type="dxa" w:w="63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Vendor performance history (causal attribution over multiple projects in the portfolio) is stored in the Organizational Memory Engine. When a new project engages a vendor, the Vendor Intelligence Engine seeds the initial performance expectations from historical patterns. This is the only mechanism for cross-project vendor intelligence — no personal data or confidential contract details are shared.</w:t>
            </w:r>
          </w:p>
        </w:tc>
      </w:tr>
      <w:tr>
        <w:tc>
          <w:tcPr>
            <w:tcW w:type="dxa" w:w="3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Coordination Engine</w:t>
            </w:r>
          </w:p>
        </w:tc>
        <w:tc>
          <w:tcPr>
            <w:tcW w:type="dxa" w:w="63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Vendor acknowledgment items are tracked by the Coordination Engine. When a vendor fails to acknowledge a coordination item within the specified SLA, the Coordination Engine escalates the alignment gap. The Vendor Intelligence Engine's Responsiveness dimension score is updated based on acknowledgment patterns captured by the Coordination Engine.</w:t>
            </w:r>
          </w:p>
        </w:tc>
      </w:tr>
    </w:tbl>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v5 — Vendor Intelligence Platform</dc:title>
  <dc:creator>Green PM</dc:creator>
  <cp:lastModifiedBy>Un-named</cp:lastModifiedBy>
  <cp:revision>1</cp:revision>
  <dcterms:created xsi:type="dcterms:W3CDTF">2026-08-03T11:57:01.068Z</dcterms:created>
  <dcterms:modified xsi:type="dcterms:W3CDTF">2026-08-03T11:57:01.075Z</dcterms:modified>
</cp:coreProperties>
</file>

<file path=docProps/custom.xml><?xml version="1.0" encoding="utf-8"?>
<Properties xmlns="http://schemas.openxmlformats.org/officeDocument/2006/custom-properties" xmlns:vt="http://schemas.openxmlformats.org/officeDocument/2006/docPropsVTypes"/>
</file>