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480"/>
      </w:pPr>
      <w:r>
        <w:rPr>
          <w:rFonts w:ascii="Calibri" w:cs="Calibri" w:eastAsia="Calibri" w:hAnsi="Calibri"/>
          <w:b/>
          <w:bCs/>
          <w:color w:val="0F4D28"/>
          <w:sz w:val="40"/>
          <w:szCs w:val="40"/>
        </w:rPr>
        <w:t xml:space="preserve">GreenPM v5 — Test Strategy</w:t>
      </w:r>
    </w:p>
    <w:p>
      <w:pPr>
        <w:spacing w:after="100" w:before="60"/>
      </w:pPr>
      <w:r>
        <w:rPr>
          <w:rFonts w:ascii="Calibri" w:cs="Calibri" w:eastAsia="Calibri" w:hAnsi="Calibri"/>
          <w:color w:val="6B7280"/>
          <w:sz w:val="22"/>
          <w:szCs w:val="22"/>
        </w:rPr>
        <w:t xml:space="preserve">Version: 5.0   |   Date: August 2026   |   Classification: Internal Engineering</w:t>
      </w:r>
    </w:p>
    <w:p>
      <w:pPr>
        <w:pBdr>
          <w:bottom w:val="single" w:color="E5E7EB" w:sz="4"/>
        </w:pBdr>
        <w:spacing w:after="200" w:before="200"/>
      </w:pPr>
    </w:p>
    <w:p>
      <w:pPr>
        <w:pStyle w:val="Heading2"/>
        <w:spacing w:after="120" w:before="320"/>
      </w:pPr>
      <w:r>
        <w:rPr>
          <w:rFonts w:ascii="Calibri" w:cs="Calibri" w:eastAsia="Calibri" w:hAnsi="Calibri"/>
          <w:b/>
          <w:bCs/>
          <w:color w:val="1A6B3A"/>
          <w:sz w:val="26"/>
          <w:szCs w:val="26"/>
        </w:rPr>
        <w:t xml:space="preserve">1. Overview</w:t>
      </w:r>
    </w:p>
    <w:p>
      <w:pPr>
        <w:pStyle w:val="Heading3"/>
        <w:spacing w:after="80" w:before="200"/>
      </w:pPr>
      <w:r>
        <w:rPr>
          <w:rFonts w:ascii="Calibri" w:cs="Calibri" w:eastAsia="Calibri" w:hAnsi="Calibri"/>
          <w:b/>
          <w:bCs/>
          <w:color w:val="374151"/>
          <w:sz w:val="22"/>
          <w:szCs w:val="22"/>
        </w:rPr>
        <w:t xml:space="preserve">Testing Philosophy</w:t>
      </w:r>
    </w:p>
    <w:p>
      <w:pPr>
        <w:spacing w:after="100" w:before="60"/>
      </w:pPr>
      <w:r>
        <w:rPr>
          <w:rFonts w:ascii="Calibri" w:cs="Calibri" w:eastAsia="Calibri" w:hAnsi="Calibri"/>
          <w:color w:val="111827"/>
          <w:sz w:val="22"/>
          <w:szCs w:val="22"/>
        </w:rPr>
        <w:t xml:space="preserve">Green PM's testing philosophy is: Test the intelligence pipeline end-to-end, not just endpoints. Every engine is a stateful processor in a Pub/Sub-driven pipeline. A passing API unit test tells us nothing if the engine-to-engine event chain breaks. Our test suite is structured to validate the entire intelligence flow — from raw evidence ingestion to Executive Digital Twin synthesis — treating each engine as a node in a directed acyclic graph of responsibility.</w:t>
      </w:r>
    </w:p>
    <w:p>
      <w:pPr>
        <w:pStyle w:val="Heading3"/>
        <w:spacing w:after="80" w:before="200"/>
      </w:pPr>
      <w:r>
        <w:rPr>
          <w:rFonts w:ascii="Calibri" w:cs="Calibri" w:eastAsia="Calibri" w:hAnsi="Calibri"/>
          <w:b/>
          <w:bCs/>
          <w:color w:val="374151"/>
          <w:sz w:val="22"/>
          <w:szCs w:val="22"/>
        </w:rPr>
        <w:t xml:space="preserve">Test Pyramid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7360"/>
      </w:tblGrid>
      <w:tr>
        <w:trPr>
          <w:tblHeader/>
        </w:trPr>
        <w:tc>
          <w:tcPr>
            <w:tcW w:type="dxa" w:w="14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Layer</w:t>
            </w:r>
          </w:p>
        </w:tc>
        <w:tc>
          <w:tcPr>
            <w:tcW w:type="dxa" w:w="6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Share</w:t>
            </w:r>
          </w:p>
        </w:tc>
        <w:tc>
          <w:tcPr>
            <w:tcW w:type="dxa" w:w="736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Purpose</w:t>
            </w:r>
          </w:p>
        </w:tc>
      </w:tr>
      <w:tr>
        <w:tc>
          <w:tcPr>
            <w:tcW w:type="dxa" w:w="14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Unit Tests</w:t>
            </w:r>
          </w:p>
        </w:tc>
        <w:tc>
          <w:tcPr>
            <w:tcW w:type="dxa" w:w="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70%</w:t>
            </w:r>
          </w:p>
        </w:tc>
        <w:tc>
          <w:tcPr>
            <w:tcW w:type="dxa" w:w="73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Every algorithm tested in isolation with mocked Pub/Sub and database. Fast, deterministic, no external I/O. Target: &lt; 2 minutes for full suite.</w:t>
            </w:r>
          </w:p>
        </w:tc>
      </w:tr>
      <w:tr>
        <w:tc>
          <w:tcPr>
            <w:tcW w:type="dxa" w:w="14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Integration Tests</w:t>
            </w:r>
          </w:p>
        </w:tc>
        <w:tc>
          <w:tcPr>
            <w:tcW w:type="dxa" w:w="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20%</w:t>
            </w:r>
          </w:p>
        </w:tc>
        <w:tc>
          <w:tcPr>
            <w:tcW w:type="dxa" w:w="73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Engine pipeline tests. Pub/Sub round-trips. PIG consistency. Database FK constraints and RLS. Target: &lt; 10 minutes.</w:t>
            </w:r>
          </w:p>
        </w:tc>
      </w:tr>
      <w:tr>
        <w:tc>
          <w:tcPr>
            <w:tcW w:type="dxa" w:w="14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End-to-End Tests</w:t>
            </w:r>
          </w:p>
        </w:tc>
        <w:tc>
          <w:tcPr>
            <w:tcW w:type="dxa" w:w="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8%</w:t>
            </w:r>
          </w:p>
        </w:tc>
        <w:tc>
          <w:tcPr>
            <w:tcW w:type="dxa" w:w="73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Full user journeys from API through to Firestore. Tenant isolation. AI Copilot routing. Run on staging environment.</w:t>
            </w:r>
          </w:p>
        </w:tc>
      </w:tr>
      <w:tr>
        <w:tc>
          <w:tcPr>
            <w:tcW w:type="dxa" w:w="14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Load Tests</w:t>
            </w:r>
          </w:p>
        </w:tc>
        <w:tc>
          <w:tcPr>
            <w:tcW w:type="dxa" w:w="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2%</w:t>
            </w:r>
          </w:p>
        </w:tc>
        <w:tc>
          <w:tcPr>
            <w:tcW w:type="dxa" w:w="73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8 load scenarios verifying performance at production scale. Run weekly on staging. Baselines updated each run.</w:t>
            </w:r>
          </w:p>
        </w:tc>
      </w:tr>
    </w:tbl>
    <w:p>
      <w:pPr>
        <w:spacing w:after="0" w:before="120"/>
      </w:pPr>
    </w:p>
    <w:p>
      <w:pPr>
        <w:pStyle w:val="Heading3"/>
        <w:spacing w:after="80" w:before="200"/>
      </w:pPr>
      <w:r>
        <w:rPr>
          <w:rFonts w:ascii="Calibri" w:cs="Calibri" w:eastAsia="Calibri" w:hAnsi="Calibri"/>
          <w:b/>
          <w:bCs/>
          <w:color w:val="374151"/>
          <w:sz w:val="22"/>
          <w:szCs w:val="22"/>
        </w:rPr>
        <w:t xml:space="preserve">CI Gates Summary</w:t>
      </w:r>
    </w:p>
    <w:p>
      <w:pPr>
        <w:spacing w:after="100" w:before="60"/>
      </w:pPr>
      <w:r>
        <w:rPr>
          <w:rFonts w:ascii="Calibri" w:cs="Calibri" w:eastAsia="Calibri" w:hAnsi="Calibri"/>
          <w:color w:val="111827"/>
          <w:sz w:val="22"/>
          <w:szCs w:val="22"/>
        </w:rPr>
        <w:t xml:space="preserve">All unit and integration tests must pass before a pull request can be merged. End-to-end tests run on merge to main. Load tests run weekly on a scheduled basis. Refer to Section 6 for the detailed gate definitions.</w:t>
      </w:r>
    </w:p>
    <w:p>
      <w:pPr>
        <w:pBdr>
          <w:bottom w:val="single" w:color="E5E7EB" w:sz="4"/>
        </w:pBdr>
        <w:spacing w:after="200" w:before="200"/>
      </w:pPr>
    </w:p>
    <w:p>
      <w:pPr>
        <w:pStyle w:val="Heading2"/>
        <w:spacing w:after="120" w:before="320"/>
      </w:pPr>
      <w:r>
        <w:rPr>
          <w:rFonts w:ascii="Calibri" w:cs="Calibri" w:eastAsia="Calibri" w:hAnsi="Calibri"/>
          <w:b/>
          <w:bCs/>
          <w:color w:val="1A6B3A"/>
          <w:sz w:val="26"/>
          <w:szCs w:val="26"/>
        </w:rPr>
        <w:t xml:space="preserve">2. Test Layers</w:t>
      </w:r>
    </w:p>
    <w:p>
      <w:pPr>
        <w:pStyle w:val="Heading3"/>
        <w:spacing w:after="80" w:before="200"/>
      </w:pPr>
      <w:r>
        <w:rPr>
          <w:rFonts w:ascii="Calibri" w:cs="Calibri" w:eastAsia="Calibri" w:hAnsi="Calibri"/>
          <w:b/>
          <w:bCs/>
          <w:color w:val="374151"/>
          <w:sz w:val="22"/>
          <w:szCs w:val="22"/>
        </w:rPr>
        <w:t xml:space="preserve">2.1  Unit Tests — 70% of Test Suite</w:t>
      </w:r>
    </w:p>
    <w:p>
      <w:pPr>
        <w:spacing w:after="100" w:before="60"/>
      </w:pPr>
      <w:r>
        <w:rPr>
          <w:rFonts w:ascii="Calibri" w:cs="Calibri" w:eastAsia="Calibri" w:hAnsi="Calibri"/>
          <w:color w:val="111827"/>
          <w:sz w:val="22"/>
          <w:szCs w:val="22"/>
        </w:rPr>
        <w:t xml:space="preserve">Unit tests exercise every engine algorithm in isolation. Pub/Sub clients, database connections, GCS, and Vertex AI are all mocked. Each test file is co-located with the engine service it covers. The goal is fast, local execution with zero infrastructure dependency.</w:t>
      </w:r>
    </w:p>
    <w:p>
      <w:pPr>
        <w:spacing w:after="0" w:before="60"/>
      </w:pP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Evidence Engine: Evidence Score v5 formula verified against 11 mathematical invariants (see Section 3). All 12 capture types exercised. Recency decay function validated against known date offsets.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Dependency &amp; Chain Analysis Engine: CPM float computation verified against hand-calculated test schedules. SS, FF, and SF dependency types tested with known lag values. Critical chain isolation tested.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Vendor Intelligence Engine: Each of the 6 scoring dimensions (quality, delivery, responsiveness, documentation, commercial, relationship) tested independently. Weighted overall score formula verified.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Risk Engine: Monte Carlo distribution validated against fixed seeds. P50/P80/P90 percentile extraction tested. Risk heat-map colour band thresholds verified.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Readiness Engine: Completion percentage formula tested with all criterion combinations (0%, partial, 100%). Blocking item identification logic tested. Gate transition rules verified.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Simulation Engine: Perturbation application tested with isolated PIG snapshots. Forward projection logic tested against synthetic dependency chains. Delta computation verified.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Coordination Engine: Event-to-action routing logic tested with synthetic event payloads. Escalation timing rules tested with mocked clock. Loop closure state machine tested.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Organizational Memory Engine: Pattern matching logic tested with synthetic memory records. Confidence score update formula tested with repeated occurrences.</w:t>
      </w:r>
    </w:p>
    <w:p>
      <w:pPr>
        <w:spacing w:after="0" w:before="100"/>
      </w:pPr>
    </w:p>
    <w:p>
      <w:pPr>
        <w:pStyle w:val="Heading3"/>
        <w:spacing w:after="80" w:before="200"/>
      </w:pPr>
      <w:r>
        <w:rPr>
          <w:rFonts w:ascii="Calibri" w:cs="Calibri" w:eastAsia="Calibri" w:hAnsi="Calibri"/>
          <w:b/>
          <w:bCs/>
          <w:color w:val="374151"/>
          <w:sz w:val="22"/>
          <w:szCs w:val="22"/>
        </w:rPr>
        <w:t xml:space="preserve">2.2  Integration Tests — 20% of Test Suite</w:t>
      </w:r>
    </w:p>
    <w:p>
      <w:pPr>
        <w:spacing w:after="100" w:before="60"/>
      </w:pPr>
      <w:r>
        <w:rPr>
          <w:rFonts w:ascii="Calibri" w:cs="Calibri" w:eastAsia="Calibri" w:hAnsi="Calibri"/>
          <w:color w:val="111827"/>
          <w:sz w:val="22"/>
          <w:szCs w:val="22"/>
        </w:rPr>
        <w:t xml:space="preserve">Integration tests validate the event-driven pipeline between engines. They require a local PostgreSQL instance and the Pub/Sub emulator. No real GCP resources are used. The 10 engine pipeline tests described in Section 4 are the core of this layer.</w:t>
      </w:r>
    </w:p>
    <w:p>
      <w:pPr>
        <w:spacing w:after="0" w:before="60"/>
      </w:pP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10 engine pipeline tests covering the most critical cross-engine event flows (EPT-01 through EPT-10).</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Database: All FK constraints validated. RLS row-level security isolation tested per tenant. PgBouncer session variable (app.tenant_id) set and verified before each query.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Pub/Sub: Event publish-to-subscribe round-trip verified for all 27 topics. Dead-letter queue (DLQ) routing tested with malformed payloads.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PIG: graph_nodes + graph_edges consistency checked after each engine write. Edge weight updates verified. Node attribute mutations validated.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Outbox: Event publish verified before and after database commit. Idempotency key uniqueness enforced. Published flag transition validated.</w:t>
      </w:r>
    </w:p>
    <w:p>
      <w:pPr>
        <w:spacing w:after="0" w:before="100"/>
      </w:pPr>
    </w:p>
    <w:p>
      <w:pPr>
        <w:pStyle w:val="Heading3"/>
        <w:spacing w:after="80" w:before="200"/>
      </w:pPr>
      <w:r>
        <w:rPr>
          <w:rFonts w:ascii="Calibri" w:cs="Calibri" w:eastAsia="Calibri" w:hAnsi="Calibri"/>
          <w:b/>
          <w:bCs/>
          <w:color w:val="374151"/>
          <w:sz w:val="22"/>
          <w:szCs w:val="22"/>
        </w:rPr>
        <w:t xml:space="preserve">2.3  End-to-End Tests — 8% of Test Suite</w:t>
      </w:r>
    </w:p>
    <w:p>
      <w:pPr>
        <w:spacing w:after="100" w:before="60"/>
      </w:pPr>
      <w:r>
        <w:rPr>
          <w:rFonts w:ascii="Calibri" w:cs="Calibri" w:eastAsia="Calibri" w:hAnsi="Calibri"/>
          <w:color w:val="111827"/>
          <w:sz w:val="22"/>
          <w:szCs w:val="22"/>
        </w:rPr>
        <w:t xml:space="preserve">End-to-end tests exercise the full user journey from API call through engine processing to Firestore update. They run against a dedicated staging environment with real GCP resources. Each test cleans up after itself using tenant-scoped teardown fixtures.</w:t>
      </w:r>
    </w:p>
    <w:p>
      <w:pPr>
        <w:spacing w:after="0" w:before="60"/>
      </w:pP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Full user journey: Evidence submission → Evidence Score computation → PIG update → Recommendation generation → EDT panel update.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Tenant isolation: Verified that cross-tenant data leakage is architecturally impossible. RLS enforced at the database layer. API gateway tenant header validation tested.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AI Copilot: Natural language query routes to the correct engine combination. Response includes evidence_chain field with source engine IDs. Multi-turn context preserved.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Executive Digital Twin: Monday 06:00 synthesis verified to populate all 3 panels (Reality, Forecast, Required Decisions) within 60 seconds.</w:t>
      </w:r>
    </w:p>
    <w:p>
      <w:pPr>
        <w:spacing w:after="0" w:before="100"/>
      </w:pPr>
    </w:p>
    <w:p>
      <w:pPr>
        <w:pStyle w:val="Heading3"/>
        <w:spacing w:after="80" w:before="200"/>
      </w:pPr>
      <w:r>
        <w:rPr>
          <w:rFonts w:ascii="Calibri" w:cs="Calibri" w:eastAsia="Calibri" w:hAnsi="Calibri"/>
          <w:b/>
          <w:bCs/>
          <w:color w:val="374151"/>
          <w:sz w:val="22"/>
          <w:szCs w:val="22"/>
        </w:rPr>
        <w:t xml:space="preserve">2.4  Load Tests — 2% of Test Suite</w:t>
      </w:r>
    </w:p>
    <w:p>
      <w:pPr>
        <w:spacing w:after="100" w:before="60"/>
      </w:pPr>
      <w:r>
        <w:rPr>
          <w:rFonts w:ascii="Calibri" w:cs="Calibri" w:eastAsia="Calibri" w:hAnsi="Calibri"/>
          <w:color w:val="111827"/>
          <w:sz w:val="22"/>
          <w:szCs w:val="22"/>
        </w:rPr>
        <w:t xml:space="preserve">Load tests run weekly against the staging environment using k6. Performance baselines are committed to the test repository after each run and compared against prior baselines to detect regressions. 8 load scenarios are defined — see Section 5.</w:t>
      </w:r>
    </w:p>
    <w:p>
      <w:pPr>
        <w:pBdr>
          <w:bottom w:val="single" w:color="E5E7EB" w:sz="4"/>
        </w:pBdr>
        <w:spacing w:after="200" w:before="200"/>
      </w:pPr>
    </w:p>
    <w:p>
      <w:pPr>
        <w:pStyle w:val="Heading2"/>
        <w:spacing w:after="120" w:before="320"/>
      </w:pPr>
      <w:r>
        <w:rPr>
          <w:rFonts w:ascii="Calibri" w:cs="Calibri" w:eastAsia="Calibri" w:hAnsi="Calibri"/>
          <w:b/>
          <w:bCs/>
          <w:color w:val="1A6B3A"/>
          <w:sz w:val="26"/>
          <w:szCs w:val="26"/>
        </w:rPr>
        <w:t xml:space="preserve">3. Evidence Score v5 — 11 Mathematical Invariants</w:t>
      </w:r>
    </w:p>
    <w:p>
      <w:pPr>
        <w:spacing w:after="100" w:before="60"/>
      </w:pPr>
      <w:r>
        <w:rPr>
          <w:rFonts w:ascii="Calibri" w:cs="Calibri" w:eastAsia="Calibri" w:hAnsi="Calibri"/>
          <w:color w:val="111827"/>
          <w:sz w:val="22"/>
          <w:szCs w:val="22"/>
        </w:rPr>
        <w:t xml:space="preserve">The Evidence Score v5 formula is the mathematical foundation of Green PM's intelligence layer. Every project entity receives a score that reflects the quality, recency, diversity, and reliability of evidence attached to 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100" w:before="60"/>
            </w:pPr>
            <w:r>
              <w:rPr>
                <w:rFonts w:ascii="Calibri" w:cs="Calibri" w:eastAsia="Calibri" w:hAnsi="Calibri"/>
                <w:b/>
                <w:bCs/>
                <w:color w:val="0F4D28"/>
                <w:sz w:val="22"/>
                <w:szCs w:val="22"/>
              </w:rPr>
              <w:t xml:space="preserve">Score  =  (source_count / 10 × 0.25)  +  (recency_decay × 0.25)  +  (corroboration_ratio × 0.25)  +  (capture_diversity × 0.15)  +  (reliability_weight_avg × 0.10)</w:t>
            </w:r>
          </w:p>
          <w:p>
            <w:pPr>
              <w:spacing w:after="100" w:before="60"/>
            </w:pPr>
            <w:r>
              <w:rPr>
                <w:rFonts w:ascii="Calibri" w:cs="Calibri" w:eastAsia="Calibri" w:hAnsi="Calibri"/>
                <w:i/>
                <w:iCs/>
                <w:color w:val="374151"/>
                <w:sz w:val="22"/>
                <w:szCs w:val="22"/>
              </w:rPr>
              <w:t xml:space="preserve">All five component weights sum to exactly 1.0. Score is always bounded to [0.0, 1.0].</w:t>
            </w:r>
          </w:p>
        </w:tc>
      </w:tr>
    </w:tbl>
    <w:p>
      <w:pPr>
        <w:spacing w:after="0" w:before="120"/>
      </w:pPr>
    </w:p>
    <w:p>
      <w:pPr>
        <w:spacing w:after="100" w:before="60"/>
      </w:pPr>
      <w:r>
        <w:rPr>
          <w:rFonts w:ascii="Calibri" w:cs="Calibri" w:eastAsia="Calibri" w:hAnsi="Calibri"/>
          <w:color w:val="111827"/>
          <w:sz w:val="22"/>
          <w:szCs w:val="22"/>
        </w:rPr>
        <w:t xml:space="preserve">The following 11 invariants must hold for every computation of the Evidence Score. P0 invariants are verified on every CI run (Gate 1). P1 invariants are verified on merge to main (Gate 2).</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800"/>
        <w:gridCol w:w="2200"/>
        <w:gridCol w:w="1860"/>
      </w:tblGrid>
      <w:tr>
        <w:trPr>
          <w:tblHeader/>
        </w:trPr>
        <w:tc>
          <w:tcPr>
            <w:tcW w:type="dxa" w:w="7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w:t>
            </w:r>
          </w:p>
        </w:tc>
        <w:tc>
          <w:tcPr>
            <w:tcW w:type="dxa" w:w="28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Invariant Description</w:t>
            </w:r>
          </w:p>
        </w:tc>
        <w:tc>
          <w:tcPr>
            <w:tcW w:type="dxa" w:w="18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Test Input</w:t>
            </w:r>
          </w:p>
        </w:tc>
        <w:tc>
          <w:tcPr>
            <w:tcW w:type="dxa" w:w="22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Expected Behaviour</w:t>
            </w:r>
          </w:p>
        </w:tc>
        <w:tc>
          <w:tcPr>
            <w:tcW w:type="dxa" w:w="186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Priority</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1</w:t>
            </w:r>
          </w:p>
        </w:tc>
        <w:tc>
          <w:tcPr>
            <w:tcW w:type="dxa" w:w="2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Score bounded [0.0, 1.0]</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Any combination of inputs</w:t>
            </w:r>
          </w:p>
        </w:tc>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Scores outside [0,1] must throw AssertionError</w:t>
            </w:r>
          </w:p>
        </w:tc>
        <w:tc>
          <w:tcPr>
            <w:tcW w:type="dxa" w:w="1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P0</w:t>
            </w:r>
          </w:p>
        </w:tc>
      </w:tr>
      <w:tr>
        <w:tc>
          <w:tcPr>
            <w:tcW w:type="dxa" w:w="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2</w:t>
            </w:r>
          </w:p>
        </w:tc>
        <w:tc>
          <w:tcPr>
            <w:tcW w:type="dxa" w:w="2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Zero evidence → score = 0.0</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Entity with no evidence attached</w:t>
            </w:r>
          </w:p>
        </w:tc>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score_value = 0.0</w:t>
            </w:r>
          </w:p>
        </w:tc>
        <w:tc>
          <w:tcPr>
            <w:tcW w:type="dxa" w:w="1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P0</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3</w:t>
            </w:r>
          </w:p>
        </w:tc>
        <w:tc>
          <w:tcPr>
            <w:tcW w:type="dxa" w:w="2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All 5 component weights sum to 1.0</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Formula constants</w:t>
            </w:r>
          </w:p>
        </w:tc>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0.25+0.25+0.25+0.15+0.10 = 1.0</w:t>
            </w:r>
          </w:p>
        </w:tc>
        <w:tc>
          <w:tcPr>
            <w:tcW w:type="dxa" w:w="1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P0</w:t>
            </w:r>
          </w:p>
        </w:tc>
      </w:tr>
      <w:tr>
        <w:tc>
          <w:tcPr>
            <w:tcW w:type="dxa" w:w="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4</w:t>
            </w:r>
          </w:p>
        </w:tc>
        <w:tc>
          <w:tcPr>
            <w:tcW w:type="dxa" w:w="2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Recency decay is monotone decreasing</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evidence_captured_at varies from today to 365 days ago</w:t>
            </w:r>
          </w:p>
        </w:tc>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decay(0) &gt; decay(7) &gt; decay(30) &gt; decay(90)</w:t>
            </w:r>
          </w:p>
        </w:tc>
        <w:tc>
          <w:tcPr>
            <w:tcW w:type="dxa" w:w="1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P0</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5</w:t>
            </w:r>
          </w:p>
        </w:tc>
        <w:tc>
          <w:tcPr>
            <w:tcW w:type="dxa" w:w="2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Adding evidence never decreases score</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Start with score X, add more evidence</w:t>
            </w:r>
          </w:p>
        </w:tc>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new_score &gt;= old_score</w:t>
            </w:r>
          </w:p>
        </w:tc>
        <w:tc>
          <w:tcPr>
            <w:tcW w:type="dxa" w:w="1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P0</w:t>
            </w:r>
          </w:p>
        </w:tc>
      </w:tr>
      <w:tr>
        <w:tc>
          <w:tcPr>
            <w:tcW w:type="dxa" w:w="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6</w:t>
            </w:r>
          </w:p>
        </w:tc>
        <w:tc>
          <w:tcPr>
            <w:tcW w:type="dxa" w:w="2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Higher reliability tier → higher score</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Same evidence set, vary reliability_tier</w:t>
            </w:r>
          </w:p>
        </w:tc>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primary &gt; secondary &gt; tertiary contribution</w:t>
            </w:r>
          </w:p>
        </w:tc>
        <w:tc>
          <w:tcPr>
            <w:tcW w:type="dxa" w:w="1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P1</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7</w:t>
            </w:r>
          </w:p>
        </w:tc>
        <w:tc>
          <w:tcPr>
            <w:tcW w:type="dxa" w:w="2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Capture diversity maxes at 5 unique types</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6+ capture types submitted for same entity</w:t>
            </w:r>
          </w:p>
        </w:tc>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diversity component = 1.0 at 5 or more types</w:t>
            </w:r>
          </w:p>
        </w:tc>
        <w:tc>
          <w:tcPr>
            <w:tcW w:type="dxa" w:w="1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P1</w:t>
            </w:r>
          </w:p>
        </w:tc>
      </w:tr>
      <w:tr>
        <w:tc>
          <w:tcPr>
            <w:tcW w:type="dxa" w:w="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8</w:t>
            </w:r>
          </w:p>
        </w:tc>
        <w:tc>
          <w:tcPr>
            <w:tcW w:type="dxa" w:w="2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Corroboration &gt; 1 evidence for same entity</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Add independent evidence for same entity</w:t>
            </w:r>
          </w:p>
        </w:tc>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corroboration_ratio &gt; 0</w:t>
            </w:r>
          </w:p>
        </w:tc>
        <w:tc>
          <w:tcPr>
            <w:tcW w:type="dxa" w:w="1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P1</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9</w:t>
            </w:r>
          </w:p>
        </w:tc>
        <w:tc>
          <w:tcPr>
            <w:tcW w:type="dxa" w:w="2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Score idempotent for same input</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Recompute same evidence set twice</w:t>
            </w:r>
          </w:p>
        </w:tc>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Identical score_value returned</w:t>
            </w:r>
          </w:p>
        </w:tc>
        <w:tc>
          <w:tcPr>
            <w:tcW w:type="dxa" w:w="1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P0</w:t>
            </w:r>
          </w:p>
        </w:tc>
      </w:tr>
      <w:tr>
        <w:tc>
          <w:tcPr>
            <w:tcW w:type="dxa" w:w="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10</w:t>
            </w:r>
          </w:p>
        </w:tc>
        <w:tc>
          <w:tcPr>
            <w:tcW w:type="dxa" w:w="2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Approved evidence weighs more than unapproved</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Mix of approved and unapproved evidence</w:t>
            </w:r>
          </w:p>
        </w:tc>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reliability_weight_avg higher with more approved evidence</w:t>
            </w:r>
          </w:p>
        </w:tc>
        <w:tc>
          <w:tcPr>
            <w:tcW w:type="dxa" w:w="1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P1</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11</w:t>
            </w:r>
          </w:p>
        </w:tc>
        <w:tc>
          <w:tcPr>
            <w:tcW w:type="dxa" w:w="2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Score degrades over time without new evidence</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Run recompute 90 days later with no new evidence added</w:t>
            </w:r>
          </w:p>
        </w:tc>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score_value decreases due to recency_decay component</w:t>
            </w:r>
          </w:p>
        </w:tc>
        <w:tc>
          <w:tcPr>
            <w:tcW w:type="dxa" w:w="1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P1</w:t>
            </w:r>
          </w:p>
        </w:tc>
      </w:tr>
    </w:tbl>
    <w:p>
      <w:pPr>
        <w:spacing w:after="0" w:before="100"/>
      </w:pPr>
    </w:p>
    <w:p>
      <w:pPr>
        <w:pBdr>
          <w:bottom w:val="single" w:color="E5E7EB" w:sz="4"/>
        </w:pBdr>
        <w:spacing w:after="200" w:before="200"/>
      </w:pPr>
    </w:p>
    <w:p>
      <w:pPr>
        <w:pStyle w:val="Heading2"/>
        <w:spacing w:after="120" w:before="320"/>
      </w:pPr>
      <w:r>
        <w:rPr>
          <w:rFonts w:ascii="Calibri" w:cs="Calibri" w:eastAsia="Calibri" w:hAnsi="Calibri"/>
          <w:b/>
          <w:bCs/>
          <w:color w:val="1A6B3A"/>
          <w:sz w:val="26"/>
          <w:szCs w:val="26"/>
        </w:rPr>
        <w:t xml:space="preserve">4. Engine Pipeline Integration Tests</w:t>
      </w:r>
    </w:p>
    <w:p>
      <w:pPr>
        <w:spacing w:after="100" w:before="60"/>
      </w:pPr>
      <w:r>
        <w:rPr>
          <w:rFonts w:ascii="Calibri" w:cs="Calibri" w:eastAsia="Calibri" w:hAnsi="Calibri"/>
          <w:color w:val="111827"/>
          <w:sz w:val="22"/>
          <w:szCs w:val="22"/>
        </w:rPr>
        <w:t xml:space="preserve">10 engine pipeline tests exercise the most critical cross-engine event flows in the Green PM intelligence pipeline. Each test publishes a trigger event and verifies that the correct downstream engine outputs, PIG mutations, and Pub/Sub events occur within a 30-second window. Tests run against the local Pub/Sub emulator and a fresh PostgreSQL schema.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500"/>
        <w:gridCol w:w="2000"/>
        <w:gridCol w:w="2000"/>
        <w:gridCol w:w="1160"/>
      </w:tblGrid>
      <w:tr>
        <w:trPr>
          <w:tblHeader/>
        </w:trPr>
        <w:tc>
          <w:tcPr>
            <w:tcW w:type="dxa" w:w="7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Test ID</w:t>
            </w:r>
          </w:p>
        </w:tc>
        <w:tc>
          <w:tcPr>
            <w:tcW w:type="dxa" w:w="20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Pipeline Being Tested</w:t>
            </w:r>
          </w:p>
        </w:tc>
        <w:tc>
          <w:tcPr>
            <w:tcW w:type="dxa" w:w="15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Input Event</w:t>
            </w:r>
          </w:p>
        </w:tc>
        <w:tc>
          <w:tcPr>
            <w:tcW w:type="dxa" w:w="20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Expected Engine Outputs</w:t>
            </w:r>
          </w:p>
        </w:tc>
        <w:tc>
          <w:tcPr>
            <w:tcW w:type="dxa" w:w="20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Verification Points</w:t>
            </w:r>
          </w:p>
        </w:tc>
        <w:tc>
          <w:tcPr>
            <w:tcW w:type="dxa" w:w="116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Priority</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EPT-01</w:t>
            </w:r>
          </w:p>
        </w:tc>
        <w:tc>
          <w:tcPr>
            <w:tcW w:type="dxa" w:w="2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 → Score → PIG</w:t>
            </w:r>
          </w:p>
        </w:tc>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EvidenceCaptured</w:t>
            </w:r>
          </w:p>
        </w:tc>
        <w:tc>
          <w:tcPr>
            <w:tcW w:type="dxa" w:w="2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EvidenceScoreComputed, graph_edges updated</w:t>
            </w:r>
          </w:p>
        </w:tc>
        <w:tc>
          <w:tcPr>
            <w:tcW w:type="dxa" w:w="2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Score in [0,1]; VERIFIES edge written to graph_edges for entity</w:t>
            </w:r>
          </w:p>
        </w:tc>
        <w:tc>
          <w:tcPr>
            <w:tcW w:type="dxa" w:w="11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P0</w:t>
            </w:r>
          </w:p>
        </w:tc>
      </w:tr>
      <w:tr>
        <w:tc>
          <w:tcPr>
            <w:tcW w:type="dxa" w:w="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EPT-02</w:t>
            </w:r>
          </w:p>
        </w:tc>
        <w:tc>
          <w:tcPr>
            <w:tcW w:type="dxa" w:w="2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Change → Impact → Coordination</w:t>
            </w:r>
          </w:p>
        </w:tc>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ChangeInitiated</w:t>
            </w:r>
          </w:p>
        </w:tc>
        <w:tc>
          <w:tcPr>
            <w:tcW w:type="dxa" w:w="2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ImpactAssessmentCompleted, CoordinationItemCreated</w:t>
            </w:r>
          </w:p>
        </w:tc>
        <w:tc>
          <w:tcPr>
            <w:tcW w:type="dxa" w:w="2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Affected entities count &gt;= 1; Coordination item has assigned_to user</w:t>
            </w:r>
          </w:p>
        </w:tc>
        <w:tc>
          <w:tcPr>
            <w:tcW w:type="dxa" w:w="11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P0</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EPT-03</w:t>
            </w:r>
          </w:p>
        </w:tc>
        <w:tc>
          <w:tcPr>
            <w:tcW w:type="dxa" w:w="2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Activity Delay → Critical Path → Forecast</w:t>
            </w:r>
          </w:p>
        </w:tc>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ActivityDelayed</w:t>
            </w:r>
          </w:p>
        </w:tc>
        <w:tc>
          <w:tcPr>
            <w:tcW w:type="dxa" w:w="2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CriticalPathRecomputed, ForecastUpdated</w:t>
            </w:r>
          </w:p>
        </w:tc>
        <w:tc>
          <w:tcPr>
            <w:tcW w:type="dxa" w:w="2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float_days = 0 on delayed activity; forecast_domain = schedule updated</w:t>
            </w:r>
          </w:p>
        </w:tc>
        <w:tc>
          <w:tcPr>
            <w:tcW w:type="dxa" w:w="11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P0</w:t>
            </w:r>
          </w:p>
        </w:tc>
      </w:tr>
      <w:tr>
        <w:tc>
          <w:tcPr>
            <w:tcW w:type="dxa" w:w="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EPT-04</w:t>
            </w:r>
          </w:p>
        </w:tc>
        <w:tc>
          <w:tcPr>
            <w:tcW w:type="dxa" w:w="2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Equipment Dispatch → Readiness → Coordination</w:t>
            </w:r>
          </w:p>
        </w:tc>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EquipmentDispatched</w:t>
            </w:r>
          </w:p>
        </w:tc>
        <w:tc>
          <w:tcPr>
            <w:tcW w:type="dxa" w:w="2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MaterialReadinessScoreComputed, ReadinessGateScored</w:t>
            </w:r>
          </w:p>
        </w:tc>
        <w:tc>
          <w:tcPr>
            <w:tcW w:type="dxa" w:w="2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Material gate score updated; if blocked, CoordinationItemCreated</w:t>
            </w:r>
          </w:p>
        </w:tc>
        <w:tc>
          <w:tcPr>
            <w:tcW w:type="dxa" w:w="11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P0</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EPT-05</w:t>
            </w:r>
          </w:p>
        </w:tc>
        <w:tc>
          <w:tcPr>
            <w:tcW w:type="dxa" w:w="2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Decision → Memory → Next Decision</w:t>
            </w:r>
          </w:p>
        </w:tc>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DecisionApproved</w:t>
            </w:r>
          </w:p>
        </w:tc>
        <w:tc>
          <w:tcPr>
            <w:tcW w:type="dxa" w:w="2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PatternRecorded, institutional_matches populated</w:t>
            </w:r>
          </w:p>
        </w:tc>
        <w:tc>
          <w:tcPr>
            <w:tcW w:type="dxa" w:w="2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memory_record created; next similar decision surfaces the match</w:t>
            </w:r>
          </w:p>
        </w:tc>
        <w:tc>
          <w:tcPr>
            <w:tcW w:type="dxa" w:w="11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P1</w:t>
            </w:r>
          </w:p>
        </w:tc>
      </w:tr>
      <w:tr>
        <w:tc>
          <w:tcPr>
            <w:tcW w:type="dxa" w:w="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EPT-06</w:t>
            </w:r>
          </w:p>
        </w:tc>
        <w:tc>
          <w:tcPr>
            <w:tcW w:type="dxa" w:w="2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Vendor Score Drop → Risk → Recommendation</w:t>
            </w:r>
          </w:p>
        </w:tc>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VendorScoreUpdated (negative)</w:t>
            </w:r>
          </w:p>
        </w:tc>
        <w:tc>
          <w:tcPr>
            <w:tcW w:type="dxa" w:w="2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RiskScoreUpdated, RecommendationsGenerated</w:t>
            </w:r>
          </w:p>
        </w:tc>
        <w:tc>
          <w:tcPr>
            <w:tcW w:type="dxa" w:w="2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Risk probability increased; at least 1 recommendation references vendor_id</w:t>
            </w:r>
          </w:p>
        </w:tc>
        <w:tc>
          <w:tcPr>
            <w:tcW w:type="dxa" w:w="11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P1</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EPT-07</w:t>
            </w:r>
          </w:p>
        </w:tc>
        <w:tc>
          <w:tcPr>
            <w:tcW w:type="dxa" w:w="2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Simulation → Recommendation → Report</w:t>
            </w:r>
          </w:p>
        </w:tc>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SimulationCompleted</w:t>
            </w:r>
          </w:p>
        </w:tc>
        <w:tc>
          <w:tcPr>
            <w:tcW w:type="dxa" w:w="2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RecommendationsGenerated, ReportGenerated</w:t>
            </w:r>
          </w:p>
        </w:tc>
        <w:tc>
          <w:tcPr>
            <w:tcW w:type="dxa" w:w="2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Simulation delta appears in recommendations; report includes simulation section</w:t>
            </w:r>
          </w:p>
        </w:tc>
        <w:tc>
          <w:tcPr>
            <w:tcW w:type="dxa" w:w="11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P1</w:t>
            </w:r>
          </w:p>
        </w:tc>
      </w:tr>
      <w:tr>
        <w:tc>
          <w:tcPr>
            <w:tcW w:type="dxa" w:w="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EPT-08</w:t>
            </w:r>
          </w:p>
        </w:tc>
        <w:tc>
          <w:tcPr>
            <w:tcW w:type="dxa" w:w="2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Drawing Issued → Consistency Check</w:t>
            </w:r>
          </w:p>
        </w:tc>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DrawingRevisionIssued</w:t>
            </w:r>
          </w:p>
        </w:tc>
        <w:tc>
          <w:tcPr>
            <w:tcW w:type="dxa" w:w="2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ContradictionDetected (if conflicting revision)</w:t>
            </w:r>
          </w:p>
        </w:tc>
        <w:tc>
          <w:tcPr>
            <w:tcW w:type="dxa" w:w="2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If revision conflicts with schedule, contradiction created + CoordinationItem</w:t>
            </w:r>
          </w:p>
        </w:tc>
        <w:tc>
          <w:tcPr>
            <w:tcW w:type="dxa" w:w="11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P1</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EPT-09</w:t>
            </w:r>
          </w:p>
        </w:tc>
        <w:tc>
          <w:tcPr>
            <w:tcW w:type="dxa" w:w="2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Coordination Created → Acknowledged → Closed</w:t>
            </w:r>
          </w:p>
        </w:tc>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CoordinationItemCreated</w:t>
            </w:r>
          </w:p>
        </w:tc>
        <w:tc>
          <w:tcPr>
            <w:tcW w:type="dxa" w:w="2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(manual acknowledge via API) → CoordinationItemClosed</w:t>
            </w:r>
          </w:p>
        </w:tc>
        <w:tc>
          <w:tcPr>
            <w:tcW w:type="dxa" w:w="2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Closure time recorded; memory_contribution created for the closed loop</w:t>
            </w:r>
          </w:p>
        </w:tc>
        <w:tc>
          <w:tcPr>
            <w:tcW w:type="dxa" w:w="11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P1</w:t>
            </w:r>
          </w:p>
        </w:tc>
      </w:tr>
      <w:tr>
        <w:tc>
          <w:tcPr>
            <w:tcW w:type="dxa" w:w="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EPT-10</w:t>
            </w:r>
          </w:p>
        </w:tc>
        <w:tc>
          <w:tcPr>
            <w:tcW w:type="dxa" w:w="2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Full EDT Synthesis</w:t>
            </w:r>
          </w:p>
        </w:tc>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Monday 06:00 scheduler</w:t>
            </w:r>
          </w:p>
        </w:tc>
        <w:tc>
          <w:tcPr>
            <w:tcW w:type="dxa" w:w="2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ForecastUpdated + RecommendationsGenerated + DecisionWorkflowCompleted</w:t>
            </w:r>
          </w:p>
        </w:tc>
        <w:tc>
          <w:tcPr>
            <w:tcW w:type="dxa" w:w="2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EDT document created in Firestore; all 3 panels (Reality, Forecast, Decisions) populated</w:t>
            </w:r>
          </w:p>
        </w:tc>
        <w:tc>
          <w:tcPr>
            <w:tcW w:type="dxa" w:w="11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P1</w:t>
            </w:r>
          </w:p>
        </w:tc>
      </w:tr>
    </w:tbl>
    <w:p>
      <w:pPr>
        <w:spacing w:after="0" w:before="100"/>
      </w:pPr>
    </w:p>
    <w:p>
      <w:pPr>
        <w:pBdr>
          <w:bottom w:val="single" w:color="E5E7EB" w:sz="4"/>
        </w:pBdr>
        <w:spacing w:after="200" w:before="200"/>
      </w:pPr>
    </w:p>
    <w:p>
      <w:pPr>
        <w:pStyle w:val="Heading2"/>
        <w:spacing w:after="120" w:before="320"/>
      </w:pPr>
      <w:r>
        <w:rPr>
          <w:rFonts w:ascii="Calibri" w:cs="Calibri" w:eastAsia="Calibri" w:hAnsi="Calibri"/>
          <w:b/>
          <w:bCs/>
          <w:color w:val="1A6B3A"/>
          <w:sz w:val="26"/>
          <w:szCs w:val="26"/>
        </w:rPr>
        <w:t xml:space="preserve">5. Load Test Scenarios</w:t>
      </w:r>
    </w:p>
    <w:p>
      <w:pPr>
        <w:spacing w:after="100" w:before="60"/>
      </w:pPr>
      <w:r>
        <w:rPr>
          <w:rFonts w:ascii="Calibri" w:cs="Calibri" w:eastAsia="Calibri" w:hAnsi="Calibri"/>
          <w:color w:val="111827"/>
          <w:sz w:val="22"/>
          <w:szCs w:val="22"/>
        </w:rPr>
        <w:t xml:space="preserve">8 load scenarios are executed weekly against the staging environment using k6. Performance baselines are tracked over time to detect regressions. All baselines are marked TBD for v5 (Green PM v5 launch; performance profiling not yet completed). Baselines will be established in the first two weeks of staging deployment.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800"/>
        <w:gridCol w:w="3000"/>
        <w:gridCol w:w="1960"/>
      </w:tblGrid>
      <w:tr>
        <w:trPr>
          <w:tblHeader/>
        </w:trPr>
        <w:tc>
          <w:tcPr>
            <w:tcW w:type="dxa" w:w="14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Scenario</w:t>
            </w:r>
          </w:p>
        </w:tc>
        <w:tc>
          <w:tcPr>
            <w:tcW w:type="dxa" w:w="22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Target Workload</w:t>
            </w:r>
          </w:p>
        </w:tc>
        <w:tc>
          <w:tcPr>
            <w:tcW w:type="dxa" w:w="8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Duration</w:t>
            </w:r>
          </w:p>
        </w:tc>
        <w:tc>
          <w:tcPr>
            <w:tcW w:type="dxa" w:w="30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Success Criteria</w:t>
            </w:r>
          </w:p>
        </w:tc>
        <w:tc>
          <w:tcPr>
            <w:tcW w:type="dxa" w:w="196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Current Baseline</w:t>
            </w:r>
          </w:p>
        </w:tc>
      </w:tr>
      <w:tr>
        <w:tc>
          <w:tcPr>
            <w:tcW w:type="dxa" w:w="14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1. Concurrent Evidence Upload</w:t>
            </w:r>
          </w:p>
        </w:tc>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50 concurrent uploads, 12 MB average file size</w:t>
            </w:r>
          </w:p>
        </w:tc>
        <w:tc>
          <w:tcPr>
            <w:tcW w:type="dxa" w:w="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10 min</w:t>
            </w:r>
          </w:p>
        </w:tc>
        <w:tc>
          <w:tcPr>
            <w:tcW w:type="dxa" w:w="3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P99 &lt; 5 s, error rate &lt; 0.1%</w:t>
            </w:r>
          </w:p>
        </w:tc>
        <w:tc>
          <w:tcPr>
            <w:tcW w:type="dxa" w:w="19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TBD (new in v5)</w:t>
            </w:r>
          </w:p>
        </w:tc>
      </w:tr>
      <w:tr>
        <w:tc>
          <w:tcPr>
            <w:tcW w:type="dxa" w:w="14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2. PIG Query Under Load</w:t>
            </w:r>
          </w:p>
        </w:tc>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150 concurrent queries on the graph_entities endpoint</w:t>
            </w:r>
          </w:p>
        </w:tc>
        <w:tc>
          <w:tcPr>
            <w:tcW w:type="dxa" w:w="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5 min</w:t>
            </w:r>
          </w:p>
        </w:tc>
        <w:tc>
          <w:tcPr>
            <w:tcW w:type="dxa" w:w="3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P99 &lt; 800 ms, P50 &lt; 200 ms</w:t>
            </w:r>
          </w:p>
        </w:tc>
        <w:tc>
          <w:tcPr>
            <w:tcW w:type="dxa" w:w="19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TBD (new in v5)</w:t>
            </w:r>
          </w:p>
        </w:tc>
      </w:tr>
      <w:tr>
        <w:tc>
          <w:tcPr>
            <w:tcW w:type="dxa" w:w="14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3. Evidence Score Recompute</w:t>
            </w:r>
          </w:p>
        </w:tc>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500 score recomputes triggered simultaneously across 500 entities</w:t>
            </w:r>
          </w:p>
        </w:tc>
        <w:tc>
          <w:tcPr>
            <w:tcW w:type="dxa" w:w="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5 min</w:t>
            </w:r>
          </w:p>
        </w:tc>
        <w:tc>
          <w:tcPr>
            <w:tcW w:type="dxa" w:w="3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P99 &lt; 200 ms per score, zero queue backlog at end of window</w:t>
            </w:r>
          </w:p>
        </w:tc>
        <w:tc>
          <w:tcPr>
            <w:tcW w:type="dxa" w:w="19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TBD (new in v5)</w:t>
            </w:r>
          </w:p>
        </w:tc>
      </w:tr>
      <w:tr>
        <w:tc>
          <w:tcPr>
            <w:tcW w:type="dxa" w:w="14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4. CPM Recompute (500 activities)</w:t>
            </w:r>
          </w:p>
        </w:tc>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Full CPM computation over a project with 500 activities and 800 dependencies</w:t>
            </w:r>
          </w:p>
        </w:tc>
        <w:tc>
          <w:tcPr>
            <w:tcW w:type="dxa" w:w="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Single run</w:t>
            </w:r>
          </w:p>
        </w:tc>
        <w:tc>
          <w:tcPr>
            <w:tcW w:type="dxa" w:w="3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&lt; 2 seconds end-to-end</w:t>
            </w:r>
          </w:p>
        </w:tc>
        <w:tc>
          <w:tcPr>
            <w:tcW w:type="dxa" w:w="19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TBD (new in v5)</w:t>
            </w:r>
          </w:p>
        </w:tc>
      </w:tr>
      <w:tr>
        <w:tc>
          <w:tcPr>
            <w:tcW w:type="dxa" w:w="14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5. Simulation Run (large project)</w:t>
            </w:r>
          </w:p>
        </w:tc>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Simulation Engine projection over a 400-node PIG snapshot with 50 perturbations</w:t>
            </w:r>
          </w:p>
        </w:tc>
        <w:tc>
          <w:tcPr>
            <w:tcW w:type="dxa" w:w="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Single run</w:t>
            </w:r>
          </w:p>
        </w:tc>
        <w:tc>
          <w:tcPr>
            <w:tcW w:type="dxa" w:w="3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&lt; 30 seconds for the complete forward projection</w:t>
            </w:r>
          </w:p>
        </w:tc>
        <w:tc>
          <w:tcPr>
            <w:tcW w:type="dxa" w:w="19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TBD (new in v5)</w:t>
            </w:r>
          </w:p>
        </w:tc>
      </w:tr>
      <w:tr>
        <w:tc>
          <w:tcPr>
            <w:tcW w:type="dxa" w:w="14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6. Pub/Sub Throughput</w:t>
            </w:r>
          </w:p>
        </w:tc>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1,000 events per minute across all 27 topics for 15 minutes</w:t>
            </w:r>
          </w:p>
        </w:tc>
        <w:tc>
          <w:tcPr>
            <w:tcW w:type="dxa" w:w="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15 min</w:t>
            </w:r>
          </w:p>
        </w:tc>
        <w:tc>
          <w:tcPr>
            <w:tcW w:type="dxa" w:w="3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DLQ depth = 0; zero duplicate processing confirmed</w:t>
            </w:r>
          </w:p>
        </w:tc>
        <w:tc>
          <w:tcPr>
            <w:tcW w:type="dxa" w:w="19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TBD (new in v5)</w:t>
            </w:r>
          </w:p>
        </w:tc>
      </w:tr>
      <w:tr>
        <w:tc>
          <w:tcPr>
            <w:tcW w:type="dxa" w:w="14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7. Multi-tenant Isolation</w:t>
            </w:r>
          </w:p>
        </w:tc>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10 tenants, 15 concurrent users each, mixed read/write API calls</w:t>
            </w:r>
          </w:p>
        </w:tc>
        <w:tc>
          <w:tcPr>
            <w:tcW w:type="dxa" w:w="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10 min</w:t>
            </w:r>
          </w:p>
        </w:tc>
        <w:tc>
          <w:tcPr>
            <w:tcW w:type="dxa" w:w="30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Zero cross-tenant data leakage confirmed; RLS holds under load</w:t>
            </w:r>
          </w:p>
        </w:tc>
        <w:tc>
          <w:tcPr>
            <w:tcW w:type="dxa" w:w="19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TBD (new in v5)</w:t>
            </w:r>
          </w:p>
        </w:tc>
      </w:tr>
      <w:tr>
        <w:tc>
          <w:tcPr>
            <w:tcW w:type="dxa" w:w="14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8. Executive Digital Twin Synthesis</w:t>
            </w:r>
          </w:p>
        </w:tc>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Full EDT generation for large project (500 activities, 17 engines contributing data)</w:t>
            </w:r>
          </w:p>
        </w:tc>
        <w:tc>
          <w:tcPr>
            <w:tcW w:type="dxa" w:w="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Single run</w:t>
            </w:r>
          </w:p>
        </w:tc>
        <w:tc>
          <w:tcPr>
            <w:tcW w:type="dxa" w:w="30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&lt; 60 seconds end-to-end; Firestore document updated with all 3 panels</w:t>
            </w:r>
          </w:p>
        </w:tc>
        <w:tc>
          <w:tcPr>
            <w:tcW w:type="dxa" w:w="19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TBD (new in v5)</w:t>
            </w:r>
          </w:p>
        </w:tc>
      </w:tr>
    </w:tbl>
    <w:p>
      <w:pPr>
        <w:spacing w:after="0" w:before="100"/>
      </w:pPr>
    </w:p>
    <w:p>
      <w:pPr>
        <w:pBdr>
          <w:bottom w:val="single" w:color="E5E7EB" w:sz="4"/>
        </w:pBdr>
        <w:spacing w:after="200" w:before="200"/>
      </w:pPr>
    </w:p>
    <w:p>
      <w:pPr>
        <w:pStyle w:val="Heading2"/>
        <w:spacing w:after="120" w:before="320"/>
      </w:pPr>
      <w:r>
        <w:rPr>
          <w:rFonts w:ascii="Calibri" w:cs="Calibri" w:eastAsia="Calibri" w:hAnsi="Calibri"/>
          <w:b/>
          <w:bCs/>
          <w:color w:val="1A6B3A"/>
          <w:sz w:val="26"/>
          <w:szCs w:val="26"/>
        </w:rPr>
        <w:t xml:space="preserve">6. CI/CD Gates</w:t>
      </w:r>
    </w:p>
    <w:p>
      <w:pPr>
        <w:spacing w:after="100" w:before="60"/>
      </w:pPr>
      <w:r>
        <w:rPr>
          <w:rFonts w:ascii="Calibri" w:cs="Calibri" w:eastAsia="Calibri" w:hAnsi="Calibri"/>
          <w:color w:val="111827"/>
          <w:sz w:val="22"/>
          <w:szCs w:val="22"/>
        </w:rPr>
        <w:t xml:space="preserve">Five gates protect production from untested or underperforming code. Each gate is enforced automatically by the CI/CD pipeline. No manual override is permitted without a signed waiver from the Engineering Lead and QA Lead.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100" w:before="60"/>
            </w:pPr>
            <w:r>
              <w:rPr>
                <w:rFonts w:ascii="Calibri" w:cs="Calibri" w:eastAsia="Calibri" w:hAnsi="Calibri"/>
                <w:b/>
                <w:bCs/>
                <w:color w:val="0F4D28"/>
                <w:sz w:val="22"/>
                <w:szCs w:val="22"/>
              </w:rPr>
              <w:t xml:space="preserve">Gate 1 — PR Check (fires on every pull request)</w:t>
            </w:r>
          </w:p>
          <w:p>
            <w:pPr>
              <w:spacing w:after="100" w:before="60"/>
            </w:pPr>
            <w:r>
              <w:rPr>
                <w:rFonts w:ascii="Calibri" w:cs="Calibri" w:eastAsia="Calibri" w:hAnsi="Calibri"/>
                <w:color w:val="111827"/>
                <w:sz w:val="22"/>
                <w:szCs w:val="22"/>
              </w:rPr>
              <w:t xml:space="preserve">Unit tests pass  •  Code coverage &gt;= 80% across changed services  •  ESLint and Black linting clean  •  No new critical Snyk vulnerabilities</w:t>
            </w:r>
          </w:p>
          <w:p>
            <w:pPr>
              <w:spacing w:after="0" w:before="100"/>
            </w:pPr>
          </w:p>
          <w:p>
            <w:pPr>
              <w:spacing w:after="100" w:before="60"/>
            </w:pPr>
            <w:r>
              <w:rPr>
                <w:rFonts w:ascii="Calibri" w:cs="Calibri" w:eastAsia="Calibri" w:hAnsi="Calibri"/>
                <w:b/>
                <w:bCs/>
                <w:color w:val="0F4D28"/>
                <w:sz w:val="22"/>
                <w:szCs w:val="22"/>
              </w:rPr>
              <w:t xml:space="preserve">Gate 2 — Merge to Main</w:t>
            </w:r>
          </w:p>
          <w:p>
            <w:pPr>
              <w:spacing w:after="100" w:before="60"/>
            </w:pPr>
            <w:r>
              <w:rPr>
                <w:rFonts w:ascii="Calibri" w:cs="Calibri" w:eastAsia="Calibri" w:hAnsi="Calibri"/>
                <w:color w:val="111827"/>
                <w:sz w:val="22"/>
                <w:szCs w:val="22"/>
              </w:rPr>
              <w:t xml:space="preserve">All integration tests pass  •  E2E smoke test passes (5-minute critical-path subset)  •  API contract tests pass against OpenAPI spec</w:t>
            </w:r>
          </w:p>
          <w:p>
            <w:pPr>
              <w:spacing w:after="0" w:before="100"/>
            </w:pPr>
          </w:p>
          <w:p>
            <w:pPr>
              <w:spacing w:after="100" w:before="60"/>
            </w:pPr>
            <w:r>
              <w:rPr>
                <w:rFonts w:ascii="Calibri" w:cs="Calibri" w:eastAsia="Calibri" w:hAnsi="Calibri"/>
                <w:b/>
                <w:bCs/>
                <w:color w:val="0F4D28"/>
                <w:sz w:val="22"/>
                <w:szCs w:val="22"/>
              </w:rPr>
              <w:t xml:space="preserve">Gate 3 — Deploy to Staging</w:t>
            </w:r>
          </w:p>
          <w:p>
            <w:pPr>
              <w:spacing w:after="100" w:before="60"/>
            </w:pPr>
            <w:r>
              <w:rPr>
                <w:rFonts w:ascii="Calibri" w:cs="Calibri" w:eastAsia="Calibri" w:hAnsi="Calibri"/>
                <w:color w:val="111827"/>
                <w:sz w:val="22"/>
                <w:szCs w:val="22"/>
              </w:rPr>
              <w:t xml:space="preserve">All E2E tests pass (full suite)  •  RLS tenant isolation verified  •  Evidence score invariants 1-9 pass  •  PIG consistency check passes</w:t>
            </w:r>
          </w:p>
          <w:p>
            <w:pPr>
              <w:spacing w:after="0" w:before="100"/>
            </w:pPr>
          </w:p>
          <w:p>
            <w:pPr>
              <w:spacing w:after="100" w:before="60"/>
            </w:pPr>
            <w:r>
              <w:rPr>
                <w:rFonts w:ascii="Calibri" w:cs="Calibri" w:eastAsia="Calibri" w:hAnsi="Calibri"/>
                <w:b/>
                <w:bCs/>
                <w:color w:val="0F4D28"/>
                <w:sz w:val="22"/>
                <w:szCs w:val="22"/>
              </w:rPr>
              <w:t xml:space="preserve">Gate 4 — Weekly (every Monday, automated)</w:t>
            </w:r>
          </w:p>
          <w:p>
            <w:pPr>
              <w:spacing w:after="100" w:before="60"/>
            </w:pPr>
            <w:r>
              <w:rPr>
                <w:rFonts w:ascii="Calibri" w:cs="Calibri" w:eastAsia="Calibri" w:hAnsi="Calibri"/>
                <w:color w:val="111827"/>
                <w:sz w:val="22"/>
                <w:szCs w:val="22"/>
              </w:rPr>
              <w:t xml:space="preserve">Load scenarios 1-7 execute  •  Performance baselines updated and committed to the test repository  •  Regression alerts sent if P99 increases &gt; 20%</w:t>
            </w:r>
          </w:p>
          <w:p>
            <w:pPr>
              <w:spacing w:after="0" w:before="100"/>
            </w:pPr>
          </w:p>
          <w:p>
            <w:pPr>
              <w:spacing w:after="100" w:before="60"/>
            </w:pPr>
            <w:r>
              <w:rPr>
                <w:rFonts w:ascii="Calibri" w:cs="Calibri" w:eastAsia="Calibri" w:hAnsi="Calibri"/>
                <w:b/>
                <w:bCs/>
                <w:color w:val="0F4D28"/>
                <w:sz w:val="22"/>
                <w:szCs w:val="22"/>
              </w:rPr>
              <w:t xml:space="preserve">Gate 5 — Release Candidate</w:t>
            </w:r>
          </w:p>
          <w:p>
            <w:pPr>
              <w:spacing w:after="100" w:before="60"/>
            </w:pPr>
            <w:r>
              <w:rPr>
                <w:rFonts w:ascii="Calibri" w:cs="Calibri" w:eastAsia="Calibri" w:hAnsi="Calibri"/>
                <w:color w:val="111827"/>
                <w:sz w:val="22"/>
                <w:szCs w:val="22"/>
              </w:rPr>
              <w:t xml:space="preserve">Full load test suite (all 8 scenarios)  •  Penetration test scan (OWASP ZAP automated + manual review)  •  Security gate sign-off by CISO or delegate</w:t>
            </w:r>
          </w:p>
        </w:tc>
      </w:tr>
    </w:tbl>
    <w:p>
      <w:pPr>
        <w:spacing w:after="0" w:before="100"/>
      </w:pPr>
    </w:p>
    <w:p>
      <w:pPr>
        <w:pBdr>
          <w:bottom w:val="single" w:color="E5E7EB" w:sz="4"/>
        </w:pBdr>
        <w:spacing w:after="200" w:before="200"/>
      </w:pPr>
    </w:p>
    <w:p>
      <w:pPr>
        <w:pStyle w:val="Heading2"/>
        <w:spacing w:after="120" w:before="320"/>
      </w:pPr>
      <w:r>
        <w:rPr>
          <w:rFonts w:ascii="Calibri" w:cs="Calibri" w:eastAsia="Calibri" w:hAnsi="Calibri"/>
          <w:b/>
          <w:bCs/>
          <w:color w:val="1A6B3A"/>
          <w:sz w:val="26"/>
          <w:szCs w:val="26"/>
        </w:rPr>
        <w:t xml:space="preserve">7. Test Data Strategy</w:t>
      </w:r>
    </w:p>
    <w:p>
      <w:pPr>
        <w:pStyle w:val="Heading3"/>
        <w:spacing w:after="80" w:before="200"/>
      </w:pPr>
      <w:r>
        <w:rPr>
          <w:rFonts w:ascii="Calibri" w:cs="Calibri" w:eastAsia="Calibri" w:hAnsi="Calibri"/>
          <w:b/>
          <w:bCs/>
          <w:color w:val="374151"/>
          <w:sz w:val="22"/>
          <w:szCs w:val="22"/>
        </w:rPr>
        <w:t xml:space="preserve">Seed Data</w:t>
      </w:r>
    </w:p>
    <w:p>
      <w:pPr>
        <w:spacing w:after="100" w:before="60"/>
      </w:pPr>
      <w:r>
        <w:rPr>
          <w:rFonts w:ascii="Calibri" w:cs="Calibri" w:eastAsia="Calibri" w:hAnsi="Calibri"/>
          <w:color w:val="111827"/>
          <w:sz w:val="22"/>
          <w:szCs w:val="22"/>
        </w:rPr>
        <w:t xml:space="preserve">Every test environment is seeded with a deterministic, version-controlled dataset that provides realistic project complexity without any production data:</w:t>
      </w:r>
    </w:p>
    <w:p>
      <w:pPr>
        <w:spacing w:after="0" w:before="60"/>
      </w:pP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1 tenant with 2 projects: 1 active (large, 500-activity schedule), 1 archived (completed).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50 activities across 3 WBS levels with FS, SS, and FF dependency types. Critical path pre-calculated.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20 drawings across 3 disciplines: Civil, Mechanical, and Electrical.</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10 vendors: mix of on-time and delayed performance histories across 6 dimensions.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5 risks at varying probability and impact ratings, with 2 in active mitigation.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3 open changes: 1 scope change, 1 schedule change, 1 cost change — each at different lifecycle stages.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100 evidence records across 8 of the 12 capture types, with varying recency and reliability tiers.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15 decisions: 5 approved, 4 under review, 3 implemented, 3 options defined.</w:t>
      </w:r>
    </w:p>
    <w:p>
      <w:pPr>
        <w:spacing w:after="0" w:before="100"/>
      </w:pPr>
    </w:p>
    <w:p>
      <w:pPr>
        <w:pStyle w:val="Heading3"/>
        <w:spacing w:after="80" w:before="200"/>
      </w:pPr>
      <w:r>
        <w:rPr>
          <w:rFonts w:ascii="Calibri" w:cs="Calibri" w:eastAsia="Calibri" w:hAnsi="Calibri"/>
          <w:b/>
          <w:bCs/>
          <w:color w:val="374151"/>
          <w:sz w:val="22"/>
          <w:szCs w:val="22"/>
        </w:rPr>
        <w:t xml:space="preserve">Test Data Factories</w:t>
      </w:r>
    </w:p>
    <w:p>
      <w:pPr>
        <w:spacing w:after="100" w:before="60"/>
      </w:pPr>
      <w:r>
        <w:rPr>
          <w:rFonts w:ascii="Calibri" w:cs="Calibri" w:eastAsia="Calibri" w:hAnsi="Calibri"/>
          <w:color w:val="111827"/>
          <w:sz w:val="22"/>
          <w:szCs w:val="22"/>
        </w:rPr>
        <w:t xml:space="preserve">Factory functions generate synthetic but structurally valid project data for parameterised test scenarios:</w:t>
      </w:r>
    </w:p>
    <w:p>
      <w:pPr>
        <w:spacing w:after="0" w:before="60"/>
      </w:pP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generate_project_graph(n_activities): Creates a realistic PIG snapshot with activities, dependency edges (FS/SS/FF), associated drawings, vendors, and risks. Dependency density is configurable (default: 1.6 predecessors per activity).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generate_evidence_set(entity_id, n_items): Creates n evidence records for a given entity, distributed across multiple capture types, with varying recency_days offsets.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generate_vendor_history(vendor_id, n_months): Creates a vendor performance history with configurable delivery reliability (on-time_rate parameter, default 0.75).</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generate_simulation_snapshot(n_nodes): Creates a PIG snapshot with n_nodes for use in Simulation Engine load tests and unit tests.</w:t>
      </w:r>
    </w:p>
    <w:p>
      <w:pPr>
        <w:spacing w:after="0" w:before="100"/>
      </w:pPr>
    </w:p>
    <w:p>
      <w:pPr>
        <w:pStyle w:val="Heading3"/>
        <w:spacing w:after="80" w:before="200"/>
      </w:pPr>
      <w:r>
        <w:rPr>
          <w:rFonts w:ascii="Calibri" w:cs="Calibri" w:eastAsia="Calibri" w:hAnsi="Calibri"/>
          <w:b/>
          <w:bCs/>
          <w:color w:val="374151"/>
          <w:sz w:val="22"/>
          <w:szCs w:val="22"/>
        </w:rPr>
        <w:t xml:space="preserve">Determinism and Isolation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All Monte Carlo simulations in tests use fixed random seeds. Standard seed = 42; edge-case seed = 99; adversarial seed = 137.</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No production data is ever used in tests. Enforced by CI environment isolation and the absence of production credentials in any test environment.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Each integration test run creates a fresh PostgreSQL schema using Flyway migrations. Tests do not share schema state.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PIG snapshots for Simulation Engine tests are pre-computed and committed to the test fixture repository. They are regenerated quarterly or when the schema changes.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Evidence Score formula constants are defined as module-level constants in the Evidence Engine. Tests import these constants directly — no magic numbers in test assertions.</w:t>
      </w:r>
    </w:p>
    <w:p>
      <w:pPr>
        <w:pBdr>
          <w:bottom w:val="single" w:color="E5E7EB" w:sz="4"/>
        </w:pBdr>
        <w:spacing w:after="200" w:before="200"/>
      </w:pPr>
    </w:p>
    <w:p>
      <w:pPr>
        <w:spacing w:after="100" w:before="60"/>
      </w:pPr>
      <w:r>
        <w:rPr>
          <w:rFonts w:ascii="Calibri" w:cs="Calibri" w:eastAsia="Calibri" w:hAnsi="Calibri"/>
          <w:i/>
          <w:iCs/>
          <w:color w:val="6B7280"/>
          <w:sz w:val="22"/>
          <w:szCs w:val="22"/>
        </w:rPr>
        <w:t xml:space="preserve">GreenPM v5 Test Strategy — 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GreenPM v5 Test Strategy</dc:title>
  <dc:creator>Green PM</dc:creator>
  <cp:lastModifiedBy>Un-named</cp:lastModifiedBy>
  <cp:revision>1</cp:revision>
  <dcterms:created xsi:type="dcterms:W3CDTF">2026-08-03T12:54:52.589Z</dcterms:created>
  <dcterms:modified xsi:type="dcterms:W3CDTF">2026-08-03T12:54:52.592Z</dcterms:modified>
</cp:coreProperties>
</file>

<file path=docProps/custom.xml><?xml version="1.0" encoding="utf-8"?>
<Properties xmlns="http://schemas.openxmlformats.org/officeDocument/2006/custom-properties" xmlns:vt="http://schemas.openxmlformats.org/officeDocument/2006/docPropsVTypes"/>
</file>