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0"/>
        <w:jc w:val="center"/>
      </w:pPr>
      <w:r>
        <w:rPr>
          <w:rFonts w:ascii="Calibri" w:cs="Calibri" w:eastAsia="Calibri" w:hAnsi="Calibri"/>
          <w:b/>
          <w:bCs/>
          <w:color w:val="2E75B6"/>
          <w:sz w:val="56"/>
          <w:szCs w:val="56"/>
        </w:rPr>
        <w:t xml:space="preserve">HIPAA Compliance Attestation</w:t>
      </w:r>
    </w:p>
    <w:p>
      <w:pPr>
        <w:spacing w:after="600"/>
        <w:jc w:val="center"/>
      </w:pPr>
      <w:r>
        <w:rPr>
          <w:rFonts w:ascii="Calibri" w:cs="Calibri" w:eastAsia="Calibri" w:hAnsi="Calibri"/>
          <w:color w:val="404040"/>
          <w:sz w:val="36"/>
          <w:szCs w:val="36"/>
        </w:rPr>
        <w:t xml:space="preserve">vocuone / vocanote-ai Production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6720"/>
      </w:tblGrid>
      <w:tr>
        <w:trPr>
          <w:tblHeader/>
        </w:trPr>
        <w:tc>
          <w:tcPr>
            <w:tcW w:type="dxa" w:w="264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Property</w:t>
            </w:r>
          </w:p>
        </w:tc>
        <w:tc>
          <w:tcPr>
            <w:tcW w:type="dxa" w:w="672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Value</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Document version</w:t>
            </w:r>
          </w:p>
        </w:tc>
        <w:tc>
          <w:tcPr>
            <w:tcW w:type="dxa" w:w="67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1.0</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Last updated</w:t>
            </w:r>
          </w:p>
        </w:tc>
        <w:tc>
          <w:tcPr>
            <w:tcW w:type="dxa" w:w="67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2026-05-19</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Owner</w:t>
            </w:r>
          </w:p>
        </w:tc>
        <w:tc>
          <w:tcPr>
            <w:tcW w:type="dxa" w:w="67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Dhrumil Mehta (DevOps), vocuone / vocanote-ai engineering</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Status</w:t>
            </w:r>
          </w:p>
        </w:tc>
        <w:tc>
          <w:tcPr>
            <w:tcW w:type="dxa" w:w="67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Draft for review</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Scope</w:t>
            </w:r>
          </w:p>
        </w:tc>
        <w:tc>
          <w:tcPr>
            <w:tcW w:type="dxa" w:w="67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account 499290259511, region us-east-1, environments stage and prod</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Standards referenced</w:t>
            </w:r>
          </w:p>
        </w:tc>
        <w:tc>
          <w:tcPr>
            <w:tcW w:type="dxa" w:w="67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HIPAA Security Rule (45 CFR §164.302–.318), HIPAA Privacy Rule §164.530(j)(2), AWS HIPAA Shared Responsibility Model, NIST SP 800-66, NIST SP 800-53</w:t>
            </w:r>
          </w:p>
        </w:tc>
      </w:tr>
    </w:tbl>
    <w:p>
      <w:pPr>
        <w:spacing w:before="1200"/>
        <w:jc w:val="center"/>
      </w:pPr>
      <w:r>
        <w:rPr>
          <w:rFonts w:ascii="Calibri" w:cs="Calibri" w:eastAsia="Calibri" w:hAnsi="Calibri"/>
          <w:i/>
          <w:iCs/>
          <w:color w:val="808080"/>
          <w:sz w:val="20"/>
          <w:szCs w:val="20"/>
        </w:rPr>
        <w:t xml:space="preserve">Confidential — Internal compliance documentation</w:t>
      </w:r>
    </w:p>
    <w:p>
      <w:r>
        <w:br w:type="page"/>
      </w:r>
    </w:p>
    <w:p>
      <w:pPr>
        <w:pStyle w:val="Heading1"/>
        <w:spacing w:after="180" w:before="360"/>
      </w:pPr>
      <w:r>
        <w:rPr>
          <w:rFonts w:ascii="Calibri" w:cs="Calibri" w:eastAsia="Calibri" w:hAnsi="Calibri"/>
          <w:b/>
          <w:bCs/>
          <w:color w:val="2E75B6"/>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2E75B6"/>
          <w:sz w:val="36"/>
          <w:szCs w:val="36"/>
        </w:rPr>
        <w:t xml:space="preserve">1. Executive Summary</w:t>
      </w:r>
    </w:p>
    <w:p>
      <w:pPr>
        <w:spacing w:after="120"/>
        <w:jc w:val="left"/>
      </w:pPr>
      <w:r>
        <w:rPr>
          <w:rFonts w:ascii="Calibri" w:cs="Calibri" w:eastAsia="Calibri" w:hAnsi="Calibri"/>
          <w:b w:val="false"/>
          <w:bCs w:val="false"/>
          <w:i w:val="false"/>
          <w:iCs w:val="false"/>
          <w:color w:val="000000"/>
          <w:sz w:val="22"/>
          <w:szCs w:val="22"/>
        </w:rPr>
        <w:t xml:space="preserve">vocuone operates a clinical case-companion application that processes Protected Health Information (PHI) — patient transcripts, case notes, clinical documents, and AI-generated clinical summaries — exclusively on AWS services covered by the AWS Business Associate Addendum (BAA).</w:t>
      </w:r>
    </w:p>
    <w:p>
      <w:pPr>
        <w:spacing w:after="120"/>
        <w:jc w:val="left"/>
      </w:pPr>
      <w:r>
        <w:rPr>
          <w:rFonts w:ascii="Calibri" w:cs="Calibri" w:eastAsia="Calibri" w:hAnsi="Calibri"/>
          <w:b w:val="false"/>
          <w:bCs w:val="false"/>
          <w:i w:val="false"/>
          <w:iCs w:val="false"/>
          <w:color w:val="000000"/>
          <w:sz w:val="22"/>
          <w:szCs w:val="22"/>
        </w:rPr>
        <w:t xml:space="preserve">This document attests to the technical and administrative safeguards implemented in our AWS environment to comply with the HIPAA Security Rule (45 CFR Part 164, Subpart C). All controls are implemented as code in this Terraform repository and continuously verified via the audit script at scripts/hipaa-encryption-audit.sh.</w:t>
      </w:r>
    </w:p>
    <w:p>
      <w:pPr>
        <w:pStyle w:val="Heading3"/>
        <w:spacing w:after="100" w:before="180"/>
      </w:pPr>
      <w:r>
        <w:rPr>
          <w:rFonts w:ascii="Calibri" w:cs="Calibri" w:eastAsia="Calibri" w:hAnsi="Calibri"/>
          <w:b/>
          <w:bCs/>
          <w:color w:val="404040"/>
          <w:sz w:val="24"/>
          <w:szCs w:val="24"/>
        </w:rPr>
        <w:t xml:space="preserve">Compliance posture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rPr>
          <w:tblHeader/>
        </w:trPr>
        <w:tc>
          <w:tcPr>
            <w:tcW w:type="dxa" w:w="504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HIPAA Security Rule section</w:t>
            </w:r>
          </w:p>
        </w:tc>
        <w:tc>
          <w:tcPr>
            <w:tcW w:type="dxa" w:w="432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Status</w:t>
            </w:r>
          </w:p>
        </w:tc>
      </w:tr>
      <w:tr>
        <w:tc>
          <w:tcPr>
            <w:tcW w:type="dxa" w:w="50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 Administrative safeguards</w:t>
            </w:r>
          </w:p>
        </w:tc>
        <w:tc>
          <w:tcPr>
            <w:tcW w:type="dxa" w:w="43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Compliant with one tracked remediation item (developer IAM access)</w:t>
            </w:r>
          </w:p>
        </w:tc>
      </w:tr>
      <w:tr>
        <w:tc>
          <w:tcPr>
            <w:tcW w:type="dxa" w:w="50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§164.310 Physical safeguards</w:t>
            </w:r>
          </w:p>
        </w:tc>
        <w:tc>
          <w:tcPr>
            <w:tcW w:type="dxa" w:w="43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Inherited from AWS via signed BAA</w:t>
            </w:r>
          </w:p>
        </w:tc>
      </w:tr>
      <w:tr>
        <w:tc>
          <w:tcPr>
            <w:tcW w:type="dxa" w:w="50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§164.312 Technical safeguards</w:t>
            </w:r>
          </w:p>
        </w:tc>
        <w:tc>
          <w:tcPr>
            <w:tcW w:type="dxa" w:w="43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Compliant</w:t>
            </w:r>
          </w:p>
        </w:tc>
      </w:tr>
      <w:tr>
        <w:tc>
          <w:tcPr>
            <w:tcW w:type="dxa" w:w="50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§164.314 Organizational requirements</w:t>
            </w:r>
          </w:p>
        </w:tc>
        <w:tc>
          <w:tcPr>
            <w:tcW w:type="dxa" w:w="43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BAA in force</w:t>
            </w:r>
          </w:p>
        </w:tc>
      </w:tr>
      <w:tr>
        <w:tc>
          <w:tcPr>
            <w:tcW w:type="dxa" w:w="50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§164.316 Policies, procedures, documentation</w:t>
            </w:r>
          </w:p>
        </w:tc>
        <w:tc>
          <w:tcPr>
            <w:tcW w:type="dxa" w:w="43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This document + Terraform IaC</w:t>
            </w:r>
          </w:p>
        </w:tc>
      </w:tr>
      <w:tr>
        <w:tc>
          <w:tcPr>
            <w:tcW w:type="dxa" w:w="50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§164.530(j)(2) 6-year retention</w:t>
            </w:r>
          </w:p>
        </w:tc>
        <w:tc>
          <w:tcPr>
            <w:tcW w:type="dxa" w:w="432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Implemented at 7 years on PHI-bearing audit logs</w:t>
            </w:r>
          </w:p>
        </w:tc>
      </w:tr>
    </w:tbl>
    <w:p>
      <w:pPr>
        <w:spacing w:after="80"/>
      </w:pPr>
      <w:r>
        <w:rPr>
          <w:rFonts w:ascii="Calibri" w:cs="Calibri" w:eastAsia="Calibri" w:hAnsi="Calibri"/>
          <w:sz w:val="22"/>
          <w:szCs w:val="22"/>
        </w:rPr>
        <w:t xml:space="preserve"> </w:t>
      </w:r>
    </w:p>
    <w:p>
      <w:pPr>
        <w:pStyle w:val="Heading3"/>
        <w:spacing w:after="100" w:before="180"/>
      </w:pPr>
      <w:r>
        <w:rPr>
          <w:rFonts w:ascii="Calibri" w:cs="Calibri" w:eastAsia="Calibri" w:hAnsi="Calibri"/>
          <w:b/>
          <w:bCs/>
          <w:color w:val="404040"/>
          <w:sz w:val="24"/>
          <w:szCs w:val="24"/>
        </w:rPr>
        <w:t xml:space="preserve">Known remediation items</w:t>
      </w:r>
    </w:p>
    <w:p>
      <w:pPr>
        <w:spacing w:after="120"/>
        <w:jc w:val="left"/>
      </w:pPr>
      <w:r>
        <w:rPr>
          <w:rFonts w:ascii="Calibri" w:cs="Calibri" w:eastAsia="Calibri" w:hAnsi="Calibri"/>
          <w:b w:val="false"/>
          <w:bCs w:val="false"/>
          <w:i w:val="false"/>
          <w:iCs w:val="false"/>
          <w:color w:val="000000"/>
          <w:sz w:val="22"/>
          <w:szCs w:val="22"/>
        </w:rPr>
        <w:t xml:space="preserve">(Not blocking BAA-bar compliance, listed in §11):</w:t>
      </w:r>
    </w:p>
    <w:p>
      <w:pPr>
        <w:pStyle w:val="ListParagraph"/>
        <w:numPr>
          <w:ilvl w:val="0"/>
          <w:numId w:val="2"/>
        </w:numPr>
        <w:spacing w:after="60"/>
      </w:pPr>
      <w:r>
        <w:rPr>
          <w:rFonts w:ascii="Calibri" w:cs="Calibri" w:eastAsia="Calibri" w:hAnsi="Calibri"/>
          <w:sz w:val="22"/>
          <w:szCs w:val="22"/>
        </w:rPr>
        <w:t xml:space="preserve">1. Replace vocuone-prod-developer / vocuone-stage-developer long-lived IAM access keys with federated SSO / OIDC access (§164.308(a)(4) hardening)</w:t>
      </w:r>
    </w:p>
    <w:p>
      <w:pPr>
        <w:pStyle w:val="ListParagraph"/>
        <w:numPr>
          <w:ilvl w:val="0"/>
          <w:numId w:val="2"/>
        </w:numPr>
        <w:spacing w:after="60"/>
      </w:pPr>
      <w:r>
        <w:rPr>
          <w:rFonts w:ascii="Calibri" w:cs="Calibri" w:eastAsia="Calibri" w:hAnsi="Calibri"/>
          <w:sz w:val="22"/>
          <w:szCs w:val="22"/>
        </w:rPr>
        <w:t xml:space="preserve">2. Tighten over-broad CI/CD policy actions to least-privilege per service</w:t>
      </w:r>
    </w:p>
    <w:p>
      <w:pPr>
        <w:pStyle w:val="Heading1"/>
        <w:spacing w:after="180" w:before="360"/>
      </w:pPr>
      <w:r>
        <w:rPr>
          <w:rFonts w:ascii="Calibri" w:cs="Calibri" w:eastAsia="Calibri" w:hAnsi="Calibri"/>
          <w:b/>
          <w:bCs/>
          <w:color w:val="2E75B6"/>
          <w:sz w:val="36"/>
          <w:szCs w:val="36"/>
        </w:rPr>
        <w:t xml:space="preserve">2. Scope of Assessment</w:t>
      </w:r>
    </w:p>
    <w:p>
      <w:pPr>
        <w:pStyle w:val="Heading3"/>
        <w:spacing w:after="100" w:before="180"/>
      </w:pPr>
      <w:r>
        <w:rPr>
          <w:rFonts w:ascii="Calibri" w:cs="Calibri" w:eastAsia="Calibri" w:hAnsi="Calibri"/>
          <w:b/>
          <w:bCs/>
          <w:color w:val="404040"/>
          <w:sz w:val="24"/>
          <w:szCs w:val="24"/>
        </w:rPr>
        <w:t xml:space="preserve">In scope</w:t>
      </w:r>
    </w:p>
    <w:p>
      <w:pPr>
        <w:pStyle w:val="ListParagraph"/>
        <w:numPr>
          <w:ilvl w:val="0"/>
          <w:numId w:val="2"/>
        </w:numPr>
        <w:spacing w:after="60"/>
      </w:pPr>
      <w:r>
        <w:rPr>
          <w:rFonts w:ascii="Calibri" w:cs="Calibri" w:eastAsia="Calibri" w:hAnsi="Calibri"/>
          <w:sz w:val="22"/>
          <w:szCs w:val="22"/>
        </w:rPr>
        <w:t xml:space="preserve">AWS account 499290259511 (single account, both stage and prod)</w:t>
      </w:r>
    </w:p>
    <w:p>
      <w:pPr>
        <w:pStyle w:val="ListParagraph"/>
        <w:numPr>
          <w:ilvl w:val="0"/>
          <w:numId w:val="2"/>
        </w:numPr>
        <w:spacing w:after="60"/>
      </w:pPr>
      <w:r>
        <w:rPr>
          <w:rFonts w:ascii="Calibri" w:cs="Calibri" w:eastAsia="Calibri" w:hAnsi="Calibri"/>
          <w:sz w:val="22"/>
          <w:szCs w:val="22"/>
        </w:rPr>
        <w:t xml:space="preserve">Region us-east-1</w:t>
      </w:r>
    </w:p>
    <w:p>
      <w:pPr>
        <w:pStyle w:val="ListParagraph"/>
        <w:numPr>
          <w:ilvl w:val="0"/>
          <w:numId w:val="2"/>
        </w:numPr>
        <w:spacing w:after="60"/>
      </w:pPr>
      <w:r>
        <w:rPr>
          <w:rFonts w:ascii="Calibri" w:cs="Calibri" w:eastAsia="Calibri" w:hAnsi="Calibri"/>
          <w:sz w:val="22"/>
          <w:szCs w:val="22"/>
        </w:rPr>
        <w:t xml:space="preserve">All AWS resources managed via Terraform under this repository</w:t>
      </w:r>
    </w:p>
    <w:p>
      <w:pPr>
        <w:pStyle w:val="ListParagraph"/>
        <w:numPr>
          <w:ilvl w:val="0"/>
          <w:numId w:val="2"/>
        </w:numPr>
        <w:spacing w:after="60"/>
      </w:pPr>
      <w:r>
        <w:rPr>
          <w:rFonts w:ascii="Calibri" w:cs="Calibri" w:eastAsia="Calibri" w:hAnsi="Calibri"/>
          <w:sz w:val="22"/>
          <w:szCs w:val="22"/>
        </w:rPr>
        <w:t xml:space="preserve">Application processing path: client → CloudFront → API Gateway → ALB → ECS task → RDS / Bedrock / S3</w:t>
      </w:r>
    </w:p>
    <w:p>
      <w:pPr>
        <w:pStyle w:val="Heading3"/>
        <w:spacing w:after="100" w:before="180"/>
      </w:pPr>
      <w:r>
        <w:rPr>
          <w:rFonts w:ascii="Calibri" w:cs="Calibri" w:eastAsia="Calibri" w:hAnsi="Calibri"/>
          <w:b/>
          <w:bCs/>
          <w:color w:val="404040"/>
          <w:sz w:val="24"/>
          <w:szCs w:val="24"/>
        </w:rPr>
        <w:t xml:space="preserve">Out of scope</w:t>
      </w:r>
    </w:p>
    <w:p>
      <w:pPr>
        <w:pStyle w:val="ListParagraph"/>
        <w:numPr>
          <w:ilvl w:val="0"/>
          <w:numId w:val="2"/>
        </w:numPr>
        <w:spacing w:after="60"/>
      </w:pPr>
      <w:r>
        <w:rPr>
          <w:rFonts w:ascii="Calibri" w:cs="Calibri" w:eastAsia="Calibri" w:hAnsi="Calibri"/>
          <w:sz w:val="22"/>
          <w:szCs w:val="22"/>
        </w:rPr>
        <w:t xml:space="preserve">Application-layer code (Spring Boot backend, React frontend) — covered by separate application security review</w:t>
      </w:r>
    </w:p>
    <w:p>
      <w:pPr>
        <w:pStyle w:val="ListParagraph"/>
        <w:numPr>
          <w:ilvl w:val="0"/>
          <w:numId w:val="2"/>
        </w:numPr>
        <w:spacing w:after="60"/>
      </w:pPr>
      <w:r>
        <w:rPr>
          <w:rFonts w:ascii="Calibri" w:cs="Calibri" w:eastAsia="Calibri" w:hAnsi="Calibri"/>
          <w:sz w:val="22"/>
          <w:szCs w:val="22"/>
        </w:rPr>
        <w:t xml:space="preserve">Endpoint security on developer workstations</w:t>
      </w:r>
    </w:p>
    <w:p>
      <w:pPr>
        <w:pStyle w:val="ListParagraph"/>
        <w:numPr>
          <w:ilvl w:val="0"/>
          <w:numId w:val="2"/>
        </w:numPr>
        <w:spacing w:after="60"/>
      </w:pPr>
      <w:r>
        <w:rPr>
          <w:rFonts w:ascii="Calibri" w:cs="Calibri" w:eastAsia="Calibri" w:hAnsi="Calibri"/>
          <w:sz w:val="22"/>
          <w:szCs w:val="22"/>
        </w:rPr>
        <w:t xml:space="preserve">Third-party SaaS integrations that do not handle PHI (Sentry, SendGrid, Google Calendar)</w:t>
      </w:r>
    </w:p>
    <w:p>
      <w:pPr>
        <w:pStyle w:val="ListParagraph"/>
        <w:numPr>
          <w:ilvl w:val="0"/>
          <w:numId w:val="2"/>
        </w:numPr>
        <w:spacing w:after="60"/>
      </w:pPr>
      <w:r>
        <w:rPr>
          <w:rFonts w:ascii="Calibri" w:cs="Calibri" w:eastAsia="Calibri" w:hAnsi="Calibri"/>
          <w:sz w:val="22"/>
          <w:szCs w:val="22"/>
        </w:rPr>
        <w:t xml:space="preserve">AWS physical security (covered by AWS HIPAA BAA — see §7)</w:t>
      </w:r>
    </w:p>
    <w:p>
      <w:pPr>
        <w:pStyle w:val="Heading1"/>
        <w:spacing w:after="180" w:before="360"/>
      </w:pPr>
      <w:r>
        <w:rPr>
          <w:rFonts w:ascii="Calibri" w:cs="Calibri" w:eastAsia="Calibri" w:hAnsi="Calibri"/>
          <w:b/>
          <w:bCs/>
          <w:color w:val="2E75B6"/>
          <w:sz w:val="36"/>
          <w:szCs w:val="36"/>
        </w:rPr>
        <w:t xml:space="preserve">3. Architecture Overview</w:t>
      </w:r>
    </w:p>
    <w:p>
      <w:pPr>
        <w:shd w:fill="F2F2F2" w:val="clear"/>
        <w:spacing w:after="80"/>
      </w:pPr>
      <w:r>
        <w:rPr>
          <w:rFonts w:ascii="Consolas" w:cs="Consolas" w:eastAsia="Consolas" w:hAnsi="Consolas"/>
          <w:sz w:val="14"/>
          <w:szCs w:val="14"/>
        </w:rPr>
        <w:t xml:space="preserve">                                            ┌────────────────────┐</w:t>
      </w:r>
    </w:p>
    <w:p>
      <w:pPr>
        <w:shd w:fill="F2F2F2" w:val="clear"/>
        <w:spacing w:after="80"/>
      </w:pPr>
      <w:r>
        <w:rPr>
          <w:rFonts w:ascii="Consolas" w:cs="Consolas" w:eastAsia="Consolas" w:hAnsi="Consolas"/>
          <w:sz w:val="14"/>
          <w:szCs w:val="14"/>
        </w:rPr>
        <w:t xml:space="preserve">                                            │   CloudWatch Logs  │</w:t>
      </w:r>
    </w:p>
    <w:p>
      <w:pPr>
        <w:shd w:fill="F2F2F2" w:val="clear"/>
        <w:spacing w:after="80"/>
      </w:pPr>
      <w:r>
        <w:rPr>
          <w:rFonts w:ascii="Consolas" w:cs="Consolas" w:eastAsia="Consolas" w:hAnsi="Consolas"/>
          <w:sz w:val="14"/>
          <w:szCs w:val="14"/>
        </w:rPr>
        <w:t xml:space="preserve">                                            │  (CMK-encrypted,   │</w:t>
      </w:r>
    </w:p>
    <w:p>
      <w:pPr>
        <w:shd w:fill="F2F2F2" w:val="clear"/>
        <w:spacing w:after="80"/>
      </w:pPr>
      <w:r>
        <w:rPr>
          <w:rFonts w:ascii="Consolas" w:cs="Consolas" w:eastAsia="Consolas" w:hAnsi="Consolas"/>
          <w:sz w:val="14"/>
          <w:szCs w:val="14"/>
        </w:rPr>
        <w:t xml:space="preserve">                                            │   7yr retention)   │</w:t>
      </w:r>
    </w:p>
    <w:p>
      <w:pPr>
        <w:shd w:fill="F2F2F2" w:val="clear"/>
        <w:spacing w:after="80"/>
      </w:pPr>
      <w:r>
        <w:rPr>
          <w:rFonts w:ascii="Consolas" w:cs="Consolas" w:eastAsia="Consolas" w:hAnsi="Consolas"/>
          <w:sz w:val="14"/>
          <w:szCs w:val="14"/>
        </w:rPr>
        <w:t xml:space="preserve">                                            └──────────▲─────────┘</w:t>
      </w:r>
    </w:p>
    <w:p>
      <w:pPr>
        <w:shd w:fill="F2F2F2" w:val="clear"/>
        <w:spacing w:after="80"/>
      </w:pPr>
      <w:r>
        <w:rPr>
          <w:rFonts w:ascii="Consolas" w:cs="Consolas" w:eastAsia="Consolas" w:hAnsi="Consolas"/>
          <w:sz w:val="14"/>
          <w:szCs w:val="14"/>
        </w:rPr>
        <w:t xml:space="preserve">                                                       │</w:t>
      </w:r>
    </w:p>
    <w:p>
      <w:pPr>
        <w:shd w:fill="F2F2F2" w:val="clear"/>
        <w:spacing w:after="80"/>
      </w:pPr>
      <w:r>
        <w:rPr>
          <w:rFonts w:ascii="Consolas" w:cs="Consolas" w:eastAsia="Consolas" w:hAnsi="Consolas"/>
          <w:sz w:val="14"/>
          <w:szCs w:val="14"/>
        </w:rPr>
        <w:t xml:space="preserve">[Patient/clinician browser]                            │</w:t>
      </w:r>
    </w:p>
    <w:p>
      <w:pPr>
        <w:shd w:fill="F2F2F2" w:val="clear"/>
        <w:spacing w:after="80"/>
      </w:pPr>
      <w:r>
        <w:rPr>
          <w:rFonts w:ascii="Consolas" w:cs="Consolas" w:eastAsia="Consolas" w:hAnsi="Consolas"/>
          <w:sz w:val="14"/>
          <w:szCs w:val="14"/>
        </w:rPr>
        <w:t xml:space="preserve">       │                                               │</w:t>
      </w:r>
    </w:p>
    <w:p>
      <w:pPr>
        <w:shd w:fill="F2F2F2" w:val="clear"/>
        <w:spacing w:after="80"/>
      </w:pPr>
      <w:r>
        <w:rPr>
          <w:rFonts w:ascii="Consolas" w:cs="Consolas" w:eastAsia="Consolas" w:hAnsi="Consolas"/>
          <w:sz w:val="14"/>
          <w:szCs w:val="14"/>
        </w:rPr>
        <w:t xml:space="preserve">       │ TLS 1.2+                                      │</w:t>
      </w:r>
    </w:p>
    <w:p>
      <w:pPr>
        <w:shd w:fill="F2F2F2" w:val="clear"/>
        <w:spacing w:after="80"/>
      </w:pPr>
      <w:r>
        <w:rPr>
          <w:rFonts w:ascii="Consolas" w:cs="Consolas" w:eastAsia="Consolas" w:hAnsi="Consolas"/>
          <w:sz w:val="14"/>
          <w:szCs w:val="14"/>
        </w:rPr>
        <w:t xml:space="preserve">       ▼                                               │</w:t>
      </w:r>
    </w:p>
    <w:p>
      <w:pPr>
        <w:shd w:fill="F2F2F2" w:val="clear"/>
        <w:spacing w:after="80"/>
      </w:pPr>
      <w:r>
        <w:rPr>
          <w:rFonts w:ascii="Consolas" w:cs="Consolas" w:eastAsia="Consolas" w:hAnsi="Consolas"/>
          <w:sz w:val="14"/>
          <w:szCs w:val="14"/>
        </w:rPr>
        <w:t xml:space="preserve">[CloudFront]──────────────┐                           │</w:t>
      </w:r>
    </w:p>
    <w:p>
      <w:pPr>
        <w:shd w:fill="F2F2F2" w:val="clear"/>
        <w:spacing w:after="80"/>
      </w:pPr>
      <w:r>
        <w:rPr>
          <w:rFonts w:ascii="Consolas" w:cs="Consolas" w:eastAsia="Consolas" w:hAnsi="Consolas"/>
          <w:sz w:val="14"/>
          <w:szCs w:val="14"/>
        </w:rPr>
        <w:t xml:space="preserve">       │                  │ ACM cert                  │</w:t>
      </w:r>
    </w:p>
    <w:p>
      <w:pPr>
        <w:shd w:fill="F2F2F2" w:val="clear"/>
        <w:spacing w:after="80"/>
      </w:pPr>
      <w:r>
        <w:rPr>
          <w:rFonts w:ascii="Consolas" w:cs="Consolas" w:eastAsia="Consolas" w:hAnsi="Consolas"/>
          <w:sz w:val="14"/>
          <w:szCs w:val="14"/>
        </w:rPr>
        <w:t xml:space="preserve">       │ HTTPS            │ TLS 1.2+                  │</w:t>
      </w:r>
    </w:p>
    <w:p>
      <w:pPr>
        <w:shd w:fill="F2F2F2" w:val="clear"/>
        <w:spacing w:after="80"/>
      </w:pPr>
      <w:r>
        <w:rPr>
          <w:rFonts w:ascii="Consolas" w:cs="Consolas" w:eastAsia="Consolas" w:hAnsi="Consolas"/>
          <w:sz w:val="14"/>
          <w:szCs w:val="14"/>
        </w:rPr>
        <w:t xml:space="preserve">       ▼                  │                           │</w:t>
      </w:r>
    </w:p>
    <w:p>
      <w:pPr>
        <w:shd w:fill="F2F2F2" w:val="clear"/>
        <w:spacing w:after="80"/>
      </w:pPr>
      <w:r>
        <w:rPr>
          <w:rFonts w:ascii="Consolas" w:cs="Consolas" w:eastAsia="Consolas" w:hAnsi="Consolas"/>
          <w:sz w:val="14"/>
          <w:szCs w:val="14"/>
        </w:rPr>
        <w:t xml:space="preserve">[API Gateway (REST)]      │                           │</w:t>
      </w:r>
    </w:p>
    <w:p>
      <w:pPr>
        <w:shd w:fill="F2F2F2" w:val="clear"/>
        <w:spacing w:after="80"/>
      </w:pPr>
      <w:r>
        <w:rPr>
          <w:rFonts w:ascii="Consolas" w:cs="Consolas" w:eastAsia="Consolas" w:hAnsi="Consolas"/>
          <w:sz w:val="14"/>
          <w:szCs w:val="14"/>
        </w:rPr>
        <w:t xml:space="preserve">       │                  │                           │</w:t>
      </w:r>
    </w:p>
    <w:p>
      <w:pPr>
        <w:shd w:fill="F2F2F2" w:val="clear"/>
        <w:spacing w:after="80"/>
      </w:pPr>
      <w:r>
        <w:rPr>
          <w:rFonts w:ascii="Consolas" w:cs="Consolas" w:eastAsia="Consolas" w:hAnsi="Consolas"/>
          <w:sz w:val="14"/>
          <w:szCs w:val="14"/>
        </w:rPr>
        <w:t xml:space="preserve">       │ HTTP_PROXY       │                           │</w:t>
      </w:r>
    </w:p>
    <w:p>
      <w:pPr>
        <w:shd w:fill="F2F2F2" w:val="clear"/>
        <w:spacing w:after="80"/>
      </w:pPr>
      <w:r>
        <w:rPr>
          <w:rFonts w:ascii="Consolas" w:cs="Consolas" w:eastAsia="Consolas" w:hAnsi="Consolas"/>
          <w:sz w:val="14"/>
          <w:szCs w:val="14"/>
        </w:rPr>
        <w:t xml:space="preserve">       │ + X-Gateway-     │                           │</w:t>
      </w:r>
    </w:p>
    <w:p>
      <w:pPr>
        <w:shd w:fill="F2F2F2" w:val="clear"/>
        <w:spacing w:after="80"/>
      </w:pPr>
      <w:r>
        <w:rPr>
          <w:rFonts w:ascii="Consolas" w:cs="Consolas" w:eastAsia="Consolas" w:hAnsi="Consolas"/>
          <w:sz w:val="14"/>
          <w:szCs w:val="14"/>
        </w:rPr>
        <w:t xml:space="preserve">       │   Secret header  │                           │</w:t>
      </w:r>
    </w:p>
    <w:p>
      <w:pPr>
        <w:shd w:fill="F2F2F2" w:val="clear"/>
        <w:spacing w:after="80"/>
      </w:pPr>
      <w:r>
        <w:rPr>
          <w:rFonts w:ascii="Consolas" w:cs="Consolas" w:eastAsia="Consolas" w:hAnsi="Consolas"/>
          <w:sz w:val="14"/>
          <w:szCs w:val="14"/>
        </w:rPr>
        <w:t xml:space="preserve">       ▼                  │                           │</w:t>
      </w:r>
    </w:p>
    <w:p>
      <w:pPr>
        <w:shd w:fill="F2F2F2" w:val="clear"/>
        <w:spacing w:after="80"/>
      </w:pPr>
      <w:r>
        <w:rPr>
          <w:rFonts w:ascii="Consolas" w:cs="Consolas" w:eastAsia="Consolas" w:hAnsi="Consolas"/>
          <w:sz w:val="14"/>
          <w:szCs w:val="14"/>
        </w:rPr>
        <w:t xml:space="preserve">[ALB (WAF-gated)]:80 ─────┘                           │</w:t>
      </w:r>
    </w:p>
    <w:p>
      <w:pPr>
        <w:shd w:fill="F2F2F2" w:val="clear"/>
        <w:spacing w:after="80"/>
      </w:pPr>
      <w:r>
        <w:rPr>
          <w:rFonts w:ascii="Consolas" w:cs="Consolas" w:eastAsia="Consolas" w:hAnsi="Consolas"/>
          <w:sz w:val="14"/>
          <w:szCs w:val="14"/>
        </w:rPr>
        <w:t xml:space="preserve">       │                                              │</w:t>
      </w:r>
    </w:p>
    <w:p>
      <w:pPr>
        <w:shd w:fill="F2F2F2" w:val="clear"/>
        <w:spacing w:after="80"/>
      </w:pPr>
      <w:r>
        <w:rPr>
          <w:rFonts w:ascii="Consolas" w:cs="Consolas" w:eastAsia="Consolas" w:hAnsi="Consolas"/>
          <w:sz w:val="14"/>
          <w:szCs w:val="14"/>
        </w:rPr>
        <w:t xml:space="preserve">       │ HTTP (intra-VPC, private subnet only)        │</w:t>
      </w:r>
    </w:p>
    <w:p>
      <w:pPr>
        <w:shd w:fill="F2F2F2" w:val="clear"/>
        <w:spacing w:after="80"/>
      </w:pPr>
      <w:r>
        <w:rPr>
          <w:rFonts w:ascii="Consolas" w:cs="Consolas" w:eastAsia="Consolas" w:hAnsi="Consolas"/>
          <w:sz w:val="14"/>
          <w:szCs w:val="14"/>
        </w:rPr>
        <w:t xml:space="preserve">       ▼                                              │</w:t>
      </w:r>
    </w:p>
    <w:p>
      <w:pPr>
        <w:shd w:fill="F2F2F2" w:val="clear"/>
        <w:spacing w:after="80"/>
      </w:pPr>
      <w:r>
        <w:rPr>
          <w:rFonts w:ascii="Consolas" w:cs="Consolas" w:eastAsia="Consolas" w:hAnsi="Consolas"/>
          <w:sz w:val="14"/>
          <w:szCs w:val="14"/>
        </w:rPr>
        <w:t xml:space="preserve">[ECS task on EC2] ─── Spring Boot app                 │</w:t>
      </w:r>
    </w:p>
    <w:p>
      <w:pPr>
        <w:shd w:fill="F2F2F2" w:val="clear"/>
        <w:spacing w:after="80"/>
      </w:pPr>
      <w:r>
        <w:rPr>
          <w:rFonts w:ascii="Consolas" w:cs="Consolas" w:eastAsia="Consolas" w:hAnsi="Consolas"/>
          <w:sz w:val="14"/>
          <w:szCs w:val="14"/>
        </w:rPr>
        <w:t xml:space="preserve">       │  │  │                                        │</w:t>
      </w:r>
    </w:p>
    <w:p>
      <w:pPr>
        <w:shd w:fill="F2F2F2" w:val="clear"/>
        <w:spacing w:after="80"/>
      </w:pPr>
      <w:r>
        <w:rPr>
          <w:rFonts w:ascii="Consolas" w:cs="Consolas" w:eastAsia="Consolas" w:hAnsi="Consolas"/>
          <w:sz w:val="14"/>
          <w:szCs w:val="14"/>
        </w:rPr>
        <w:t xml:space="preserve">       │  │  └─── HTTPS ──► [Bedrock invoke + KB retrieve]</w:t>
      </w:r>
    </w:p>
    <w:p>
      <w:pPr>
        <w:shd w:fill="F2F2F2" w:val="clear"/>
        <w:spacing w:after="80"/>
      </w:pPr>
      <w:r>
        <w:rPr>
          <w:rFonts w:ascii="Consolas" w:cs="Consolas" w:eastAsia="Consolas" w:hAnsi="Consolas"/>
          <w:sz w:val="14"/>
          <w:szCs w:val="14"/>
        </w:rPr>
        <w:t xml:space="preserve">       │  │                       │</w:t>
      </w:r>
    </w:p>
    <w:p>
      <w:pPr>
        <w:shd w:fill="F2F2F2" w:val="clear"/>
        <w:spacing w:after="80"/>
      </w:pPr>
      <w:r>
        <w:rPr>
          <w:rFonts w:ascii="Consolas" w:cs="Consolas" w:eastAsia="Consolas" w:hAnsi="Consolas"/>
          <w:sz w:val="14"/>
          <w:szCs w:val="14"/>
        </w:rPr>
        <w:t xml:space="preserve">       │  │                       └──► [/aws/bedrock/* CWL — CMK + 7yr]</w:t>
      </w:r>
    </w:p>
    <w:p>
      <w:pPr>
        <w:shd w:fill="F2F2F2" w:val="clear"/>
        <w:spacing w:after="80"/>
      </w:pPr>
      <w:r>
        <w:rPr>
          <w:rFonts w:ascii="Consolas" w:cs="Consolas" w:eastAsia="Consolas" w:hAnsi="Consolas"/>
          <w:sz w:val="14"/>
          <w:szCs w:val="14"/>
        </w:rPr>
        <w:t xml:space="preserve">       │  │</w:t>
      </w:r>
    </w:p>
    <w:p>
      <w:pPr>
        <w:shd w:fill="F2F2F2" w:val="clear"/>
        <w:spacing w:after="80"/>
      </w:pPr>
      <w:r>
        <w:rPr>
          <w:rFonts w:ascii="Consolas" w:cs="Consolas" w:eastAsia="Consolas" w:hAnsi="Consolas"/>
          <w:sz w:val="14"/>
          <w:szCs w:val="14"/>
        </w:rPr>
        <w:t xml:space="preserve">       │  └─── HTTPS ──► [S3 KB buckets — SSE-S3 / SSE-KMS]</w:t>
      </w:r>
    </w:p>
    <w:p>
      <w:pPr>
        <w:shd w:fill="F2F2F2" w:val="clear"/>
        <w:spacing w:after="80"/>
      </w:pPr>
      <w:r>
        <w:rPr>
          <w:rFonts w:ascii="Consolas" w:cs="Consolas" w:eastAsia="Consolas" w:hAnsi="Consolas"/>
          <w:sz w:val="14"/>
          <w:szCs w:val="14"/>
        </w:rPr>
        <w:t xml:space="preserve">       │</w:t>
      </w:r>
    </w:p>
    <w:p>
      <w:pPr>
        <w:shd w:fill="F2F2F2" w:val="clear"/>
        <w:spacing w:after="80"/>
      </w:pPr>
      <w:r>
        <w:rPr>
          <w:rFonts w:ascii="Consolas" w:cs="Consolas" w:eastAsia="Consolas" w:hAnsi="Consolas"/>
          <w:sz w:val="14"/>
          <w:szCs w:val="14"/>
        </w:rPr>
        <w:t xml:space="preserve">       └─── TLS (rds.force_ssl=1) ──► [RDS PostgreSQL — CMK + Multi-AZ + PITR]</w:t>
      </w:r>
    </w:p>
    <w:p>
      <w:pPr>
        <w:shd w:fill="F2F2F2" w:val="clear"/>
        <w:spacing w:after="80"/>
      </w:pPr>
      <w:r>
        <w:rPr>
          <w:rFonts w:ascii="Consolas" w:cs="Consolas" w:eastAsia="Consolas" w:hAnsi="Consolas"/>
          <w:sz w:val="14"/>
          <w:szCs w:val="14"/>
        </w:rPr>
        <w:t xml:space="preserve">                                              │</w:t>
      </w:r>
    </w:p>
    <w:p>
      <w:pPr>
        <w:shd w:fill="F2F2F2" w:val="clear"/>
        <w:spacing w:after="80"/>
      </w:pPr>
      <w:r>
        <w:rPr>
          <w:rFonts w:ascii="Consolas" w:cs="Consolas" w:eastAsia="Consolas" w:hAnsi="Consolas"/>
          <w:sz w:val="14"/>
          <w:szCs w:val="14"/>
        </w:rPr>
        <w:t xml:space="preserve">                                              └──► [Automated snapshots, AWS Backup vault — CMK]</w:t>
      </w:r>
    </w:p>
    <w:p>
      <w:pPr>
        <w:spacing w:after="80"/>
      </w:pPr>
      <w:r>
        <w:rPr>
          <w:rFonts w:ascii="Calibri" w:cs="Calibri" w:eastAsia="Calibri" w:hAnsi="Calibri"/>
          <w:sz w:val="22"/>
          <w:szCs w:val="22"/>
        </w:rPr>
        <w:t xml:space="preserve"> </w:t>
      </w:r>
    </w:p>
    <w:p>
      <w:pPr>
        <w:pStyle w:val="Heading3"/>
        <w:spacing w:after="100" w:before="180"/>
      </w:pPr>
      <w:r>
        <w:rPr>
          <w:rFonts w:ascii="Calibri" w:cs="Calibri" w:eastAsia="Calibri" w:hAnsi="Calibri"/>
          <w:b/>
          <w:bCs/>
          <w:color w:val="404040"/>
          <w:sz w:val="24"/>
          <w:szCs w:val="24"/>
        </w:rPr>
        <w:t xml:space="preserve">Key architectural properties</w:t>
      </w:r>
    </w:p>
    <w:p>
      <w:pPr>
        <w:pStyle w:val="ListParagraph"/>
        <w:numPr>
          <w:ilvl w:val="0"/>
          <w:numId w:val="2"/>
        </w:numPr>
        <w:spacing w:after="60"/>
      </w:pPr>
      <w:r>
        <w:rPr>
          <w:rFonts w:ascii="Calibri" w:cs="Calibri" w:eastAsia="Calibri" w:hAnsi="Calibri"/>
          <w:sz w:val="22"/>
          <w:szCs w:val="22"/>
        </w:rPr>
        <w:t xml:space="preserve">All PHI storage is in HIPAA-eligible AWS services covered by the AWS BAA</w:t>
      </w:r>
    </w:p>
    <w:p>
      <w:pPr>
        <w:pStyle w:val="ListParagraph"/>
        <w:numPr>
          <w:ilvl w:val="0"/>
          <w:numId w:val="2"/>
        </w:numPr>
        <w:spacing w:after="60"/>
      </w:pPr>
      <w:r>
        <w:rPr>
          <w:rFonts w:ascii="Calibri" w:cs="Calibri" w:eastAsia="Calibri" w:hAnsi="Calibri"/>
          <w:sz w:val="22"/>
          <w:szCs w:val="22"/>
        </w:rPr>
        <w:t xml:space="preserve">All public-facing traffic terminates TLS at CloudFront or ALB with TLS 1.2+ minimum</w:t>
      </w:r>
    </w:p>
    <w:p>
      <w:pPr>
        <w:pStyle w:val="ListParagraph"/>
        <w:numPr>
          <w:ilvl w:val="0"/>
          <w:numId w:val="2"/>
        </w:numPr>
        <w:spacing w:after="60"/>
      </w:pPr>
      <w:r>
        <w:rPr>
          <w:rFonts w:ascii="Calibri" w:cs="Calibri" w:eastAsia="Calibri" w:hAnsi="Calibri"/>
          <w:sz w:val="22"/>
          <w:szCs w:val="22"/>
        </w:rPr>
        <w:t xml:space="preserve">All ALB→ECS internal traffic is gated by AWS WAF requiring a per-environment shared secret header; the ALB is internet-facing only to serve API Gateway HTTP_PROXY integrations within AWS regional network</w:t>
      </w:r>
    </w:p>
    <w:p>
      <w:pPr>
        <w:pStyle w:val="ListParagraph"/>
        <w:numPr>
          <w:ilvl w:val="0"/>
          <w:numId w:val="2"/>
        </w:numPr>
        <w:spacing w:after="60"/>
      </w:pPr>
      <w:r>
        <w:rPr>
          <w:rFonts w:ascii="Calibri" w:cs="Calibri" w:eastAsia="Calibri" w:hAnsi="Calibri"/>
          <w:sz w:val="22"/>
          <w:szCs w:val="22"/>
        </w:rPr>
        <w:t xml:space="preserve">ECS tasks run in private subnets with no public IP; egress via NAT Gateway</w:t>
      </w:r>
    </w:p>
    <w:p>
      <w:pPr>
        <w:pStyle w:val="ListParagraph"/>
        <w:numPr>
          <w:ilvl w:val="0"/>
          <w:numId w:val="2"/>
        </w:numPr>
        <w:spacing w:after="60"/>
      </w:pPr>
      <w:r>
        <w:rPr>
          <w:rFonts w:ascii="Calibri" w:cs="Calibri" w:eastAsia="Calibri" w:hAnsi="Calibri"/>
          <w:sz w:val="22"/>
          <w:szCs w:val="22"/>
        </w:rPr>
        <w:t xml:space="preserve">RDS runs in private subnets, accessible only from the ECS security group on port 5432, with TLS enforced at the parameter group level</w:t>
      </w:r>
    </w:p>
    <w:p>
      <w:pPr>
        <w:pStyle w:val="Heading1"/>
        <w:spacing w:after="180" w:before="360"/>
      </w:pPr>
      <w:r>
        <w:rPr>
          <w:rFonts w:ascii="Calibri" w:cs="Calibri" w:eastAsia="Calibri" w:hAnsi="Calibri"/>
          <w:b/>
          <w:bCs/>
          <w:color w:val="2E75B6"/>
          <w:sz w:val="36"/>
          <w:szCs w:val="36"/>
        </w:rPr>
        <w:t xml:space="preserve">4. AWS Services &amp; HIPAA Eligibility</w:t>
      </w:r>
    </w:p>
    <w:p>
      <w:pPr>
        <w:spacing w:after="120"/>
        <w:jc w:val="left"/>
      </w:pPr>
      <w:r>
        <w:rPr>
          <w:rFonts w:ascii="Calibri" w:cs="Calibri" w:eastAsia="Calibri" w:hAnsi="Calibri"/>
          <w:b w:val="false"/>
          <w:bCs w:val="false"/>
          <w:i w:val="false"/>
          <w:iCs w:val="false"/>
          <w:color w:val="000000"/>
          <w:sz w:val="22"/>
          <w:szCs w:val="22"/>
        </w:rPr>
        <w:t xml:space="preserve">All AWS services that store, process, or transmit PHI are HIPAA-eligible per the AWS HIPAA Eligible Services Reference. Service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880"/>
        <w:gridCol w:w="2280"/>
      </w:tblGrid>
      <w:tr>
        <w:trPr>
          <w:tblHeader/>
        </w:trPr>
        <w:tc>
          <w:tcPr>
            <w:tcW w:type="dxa" w:w="24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Service</w:t>
            </w:r>
          </w:p>
        </w:tc>
        <w:tc>
          <w:tcPr>
            <w:tcW w:type="dxa" w:w="28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Purpose</w:t>
            </w:r>
          </w:p>
        </w:tc>
        <w:tc>
          <w:tcPr>
            <w:tcW w:type="dxa" w:w="18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HIPAA-eligible</w:t>
            </w:r>
          </w:p>
        </w:tc>
        <w:tc>
          <w:tcPr>
            <w:tcW w:type="dxa" w:w="22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Stores/processes PHI</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EC2</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container instances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(transient — task memory + ephemeral disk)</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ECS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Container orchestration</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(in-flight)</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ECR</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Container image registry</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No (images only)</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EBS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root volume storage</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(ephemeral container fs)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ALB (ELB v2)</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Load balancing</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(in-flight)</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RDS (PostgreSQL)</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Primary PHI database</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(durable)</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S3</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KB documents, ALB logs, CloudTrail</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(durable) for KB buckets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CloudFront</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CDN</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(in-flight)</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API Gateway</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Public API ingress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(in-flight)</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Bedrock</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LLM inference + Knowledge Base</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(in-flight + retrieval)</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Bedrock Agents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Conversational AI orchestration</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(in-flight)</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Lambda</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CodeDeploy hook, Synthetics canary</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No (deployment lifecycle only)</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CloudWatch</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Logs + Metrics + Alarms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(durable) for app/Bedrock/RDS logs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CloudTrail</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API audit log</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(durable, audit metadata)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Secrets Manager</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DB credentials, API keys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(credentials only, not patient data)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KMS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Encryption key management</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(eligible per current AWS BAA)</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No (keys only)</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VPC</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Network isolation</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WAF (v2)</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ALB request gating</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Route 53</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DNS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Certificate Manager</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TLS certificates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Inspector</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Vulnerability scanning</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Backup</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Cross-service backup</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(PHI snapshots)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CodePipeline / CodeDeploy / CodeBuild</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CI/CD</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 (per current BAA)</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No (builds, deployment manifests)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EventBridge</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Event routing</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Amazon SNS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Alert notifications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No (alarm metadata)</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Synthetics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Canary monitoring</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No (probe traffic)</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Systems Manager (Session Manager)</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Operator access</w:t>
            </w:r>
          </w:p>
        </w:tc>
        <w:tc>
          <w:tcPr>
            <w:tcW w:type="dxa" w:w="1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Yes</w:t>
            </w:r>
          </w:p>
        </w:tc>
        <w:tc>
          <w:tcPr>
            <w:tcW w:type="dxa" w:w="2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N/A</w:t>
            </w:r>
          </w:p>
        </w:tc>
      </w:tr>
    </w:tbl>
    <w:p>
      <w:pPr>
        <w:spacing w:after="80"/>
      </w:pPr>
      <w:r>
        <w:rPr>
          <w:rFonts w:ascii="Calibri" w:cs="Calibri" w:eastAsia="Calibri" w:hAnsi="Calibri"/>
          <w:sz w:val="22"/>
          <w:szCs w:val="22"/>
        </w:rPr>
        <w:t xml:space="preserve"> </w:t>
      </w:r>
    </w:p>
    <w:p>
      <w:pPr>
        <w:spacing w:after="120"/>
        <w:jc w:val="left"/>
      </w:pPr>
      <w:r>
        <w:rPr>
          <w:rFonts w:ascii="Calibri" w:cs="Calibri" w:eastAsia="Calibri" w:hAnsi="Calibri"/>
          <w:b w:val="false"/>
          <w:bCs w:val="false"/>
          <w:i w:val="false"/>
          <w:iCs w:val="false"/>
          <w:color w:val="000000"/>
          <w:sz w:val="22"/>
          <w:szCs w:val="22"/>
        </w:rPr>
        <w:t xml:space="preserve">Verification command: `aws s3 ls` (and similar service-level enumeration) limited to the listed services. The audit script (scripts/hipaa-encryption-audit.sh) enumerates every PHI-handling resource and verifies encryption.</w:t>
      </w:r>
    </w:p>
    <w:p>
      <w:pPr>
        <w:pStyle w:val="Heading1"/>
        <w:pageBreakBefore/>
        <w:spacing w:after="180" w:before="360"/>
      </w:pPr>
      <w:r>
        <w:rPr>
          <w:rFonts w:ascii="Calibri" w:cs="Calibri" w:eastAsia="Calibri" w:hAnsi="Calibri"/>
          <w:b/>
          <w:bCs/>
          <w:color w:val="2E75B6"/>
          <w:sz w:val="36"/>
          <w:szCs w:val="36"/>
        </w:rPr>
        <w:t xml:space="preserve">5. Technical Safeguards — 45 CFR §164.312</w:t>
      </w:r>
    </w:p>
    <w:p>
      <w:pPr>
        <w:pStyle w:val="Heading2"/>
        <w:spacing w:after="120" w:before="240"/>
      </w:pPr>
      <w:r>
        <w:rPr>
          <w:rFonts w:ascii="Calibri" w:cs="Calibri" w:eastAsia="Calibri" w:hAnsi="Calibri"/>
          <w:b/>
          <w:bCs/>
          <w:color w:val="2E75B6"/>
          <w:sz w:val="28"/>
          <w:szCs w:val="28"/>
        </w:rPr>
        <w:t xml:space="preserve">§164.312(a)(1) Access Control — Unique User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80"/>
        <w:gridCol w:w="2480"/>
      </w:tblGrid>
      <w:tr>
        <w:trPr>
          <w:tblHeader/>
        </w:trPr>
        <w:tc>
          <w:tcPr>
            <w:tcW w:type="dxa" w:w="24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Control</w:t>
            </w:r>
          </w:p>
        </w:tc>
        <w:tc>
          <w:tcPr>
            <w:tcW w:type="dxa" w:w="44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Implementation</w:t>
            </w:r>
          </w:p>
        </w:tc>
        <w:tc>
          <w:tcPr>
            <w:tcW w:type="dxa" w:w="24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Code reference</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Unique user ID for each application</w:t>
            </w:r>
          </w:p>
        </w:tc>
        <w:tc>
          <w:tcPr>
            <w:tcW w:type="dxa" w:w="4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IAM database authentication — every ECS task assumes a unique role with rds-db:connect to a specific dbuser</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 (aws_iam_policy.db_access)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Unique service principals</w:t>
            </w:r>
          </w:p>
        </w:tc>
        <w:tc>
          <w:tcPr>
            <w:tcW w:type="dxa" w:w="4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Each AWS service-to-service call uses a named IAM role (no wildcard principals)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All aws_iam_role resources across modules</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GitHub Actions identity</w:t>
            </w:r>
          </w:p>
        </w:tc>
        <w:tc>
          <w:tcPr>
            <w:tcW w:type="dxa" w:w="4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OIDC-vended short-lived STS credentials, sub claim pinned to specific repo + branch + environment</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deployments/shared/iam/oidc.tf</w:t>
            </w:r>
          </w:p>
        </w:tc>
      </w:tr>
      <w:tr>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Operator administrative access</w:t>
            </w:r>
          </w:p>
        </w:tc>
        <w:tc>
          <w:tcPr>
            <w:tcW w:type="dxa" w:w="4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Systems Manager Session Manager (no SSH keys, no shared bastions)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Per-instance via SSM Agent on ECS-optimized AMI</w:t>
            </w:r>
          </w:p>
        </w:tc>
      </w:tr>
    </w:tbl>
    <w:p>
      <w:pPr>
        <w:pStyle w:val="Heading2"/>
        <w:spacing w:after="120" w:before="240"/>
      </w:pPr>
      <w:r>
        <w:rPr>
          <w:rFonts w:ascii="Calibri" w:cs="Calibri" w:eastAsia="Calibri" w:hAnsi="Calibri"/>
          <w:b/>
          <w:bCs/>
          <w:color w:val="2E75B6"/>
          <w:sz w:val="28"/>
          <w:szCs w:val="28"/>
        </w:rPr>
        <w:t xml:space="preserve">§164.312(a)(2)(i) Emergency Access Procedure</w:t>
      </w:r>
    </w:p>
    <w:p>
      <w:pPr>
        <w:pStyle w:val="ListParagraph"/>
        <w:numPr>
          <w:ilvl w:val="0"/>
          <w:numId w:val="2"/>
        </w:numPr>
        <w:spacing w:after="60"/>
      </w:pPr>
      <w:r>
        <w:rPr>
          <w:rFonts w:ascii="Calibri" w:cs="Calibri" w:eastAsia="Calibri" w:hAnsi="Calibri"/>
          <w:sz w:val="22"/>
          <w:szCs w:val="22"/>
        </w:rPr>
        <w:t xml:space="preserve">AWS root account: hardware MFA enabled, root credentials sealed</w:t>
      </w:r>
    </w:p>
    <w:p>
      <w:pPr>
        <w:pStyle w:val="ListParagraph"/>
        <w:numPr>
          <w:ilvl w:val="0"/>
          <w:numId w:val="2"/>
        </w:numPr>
        <w:spacing w:after="60"/>
      </w:pPr>
      <w:r>
        <w:rPr>
          <w:rFonts w:ascii="Calibri" w:cs="Calibri" w:eastAsia="Calibri" w:hAnsi="Calibri"/>
          <w:sz w:val="22"/>
          <w:szCs w:val="22"/>
        </w:rPr>
        <w:t xml:space="preserve">Account-level break-glass: dedicated IAM Identity Center break-glass account, MFA required</w:t>
      </w:r>
    </w:p>
    <w:p>
      <w:pPr>
        <w:pStyle w:val="ListParagraph"/>
        <w:numPr>
          <w:ilvl w:val="0"/>
          <w:numId w:val="2"/>
        </w:numPr>
        <w:spacing w:after="60"/>
      </w:pPr>
      <w:r>
        <w:rPr>
          <w:rFonts w:ascii="Calibri" w:cs="Calibri" w:eastAsia="Calibri" w:hAnsi="Calibri"/>
          <w:sz w:val="22"/>
          <w:szCs w:val="22"/>
        </w:rPr>
        <w:t xml:space="preserve">Documented in runbooks/incident-response.md (separate document — to be created)</w:t>
      </w:r>
    </w:p>
    <w:p>
      <w:pPr>
        <w:pStyle w:val="Heading2"/>
        <w:spacing w:after="120" w:before="240"/>
      </w:pPr>
      <w:r>
        <w:rPr>
          <w:rFonts w:ascii="Calibri" w:cs="Calibri" w:eastAsia="Calibri" w:hAnsi="Calibri"/>
          <w:b/>
          <w:bCs/>
          <w:color w:val="2E75B6"/>
          <w:sz w:val="28"/>
          <w:szCs w:val="28"/>
        </w:rPr>
        <w:t xml:space="preserve">§164.312(a)(2)(ii) Automatic Logoff</w:t>
      </w:r>
    </w:p>
    <w:p>
      <w:pPr>
        <w:pStyle w:val="ListParagraph"/>
        <w:numPr>
          <w:ilvl w:val="0"/>
          <w:numId w:val="2"/>
        </w:numPr>
        <w:spacing w:after="60"/>
      </w:pPr>
      <w:r>
        <w:rPr>
          <w:rFonts w:ascii="Calibri" w:cs="Calibri" w:eastAsia="Calibri" w:hAnsi="Calibri"/>
          <w:sz w:val="22"/>
          <w:szCs w:val="22"/>
        </w:rPr>
        <w:t xml:space="preserve">ECS task sessions: stateless HTTP, no persistent app sessions</w:t>
      </w:r>
    </w:p>
    <w:p>
      <w:pPr>
        <w:pStyle w:val="ListParagraph"/>
        <w:numPr>
          <w:ilvl w:val="0"/>
          <w:numId w:val="2"/>
        </w:numPr>
        <w:spacing w:after="60"/>
      </w:pPr>
      <w:r>
        <w:rPr>
          <w:rFonts w:ascii="Calibri" w:cs="Calibri" w:eastAsia="Calibri" w:hAnsi="Calibri"/>
          <w:sz w:val="22"/>
          <w:szCs w:val="22"/>
        </w:rPr>
        <w:t xml:space="preserve">SSM Session Manager: 20-minute default idle timeout (AWS-managed)</w:t>
      </w:r>
    </w:p>
    <w:p>
      <w:pPr>
        <w:pStyle w:val="ListParagraph"/>
        <w:numPr>
          <w:ilvl w:val="0"/>
          <w:numId w:val="2"/>
        </w:numPr>
        <w:spacing w:after="60"/>
      </w:pPr>
      <w:r>
        <w:rPr>
          <w:rFonts w:ascii="Calibri" w:cs="Calibri" w:eastAsia="Calibri" w:hAnsi="Calibri"/>
          <w:sz w:val="22"/>
          <w:szCs w:val="22"/>
        </w:rPr>
        <w:t xml:space="preserve">AWS Console: 1-hour session token (AWS-managed)</w:t>
      </w:r>
    </w:p>
    <w:p>
      <w:pPr>
        <w:pStyle w:val="Heading2"/>
        <w:spacing w:after="120" w:before="240"/>
      </w:pPr>
      <w:r>
        <w:rPr>
          <w:rFonts w:ascii="Calibri" w:cs="Calibri" w:eastAsia="Calibri" w:hAnsi="Calibri"/>
          <w:b/>
          <w:bCs/>
          <w:color w:val="2E75B6"/>
          <w:sz w:val="28"/>
          <w:szCs w:val="28"/>
        </w:rPr>
        <w:t xml:space="preserve">§164.312(a)(2)(iv) Encryption at Rest</w:t>
      </w:r>
    </w:p>
    <w:p>
      <w:pPr>
        <w:spacing w:after="120"/>
        <w:jc w:val="left"/>
      </w:pPr>
      <w:r>
        <w:rPr>
          <w:rFonts w:ascii="Calibri" w:cs="Calibri" w:eastAsia="Calibri" w:hAnsi="Calibri"/>
          <w:b w:val="false"/>
          <w:bCs w:val="false"/>
          <w:i w:val="false"/>
          <w:iCs w:val="false"/>
          <w:color w:val="000000"/>
          <w:sz w:val="22"/>
          <w:szCs w:val="22"/>
        </w:rPr>
        <w:t xml:space="preserve">Every storage system containing PHI is encrypted at rest using AES-256: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600"/>
        <w:gridCol w:w="2640"/>
        <w:gridCol w:w="2480"/>
      </w:tblGrid>
      <w:tr>
        <w:trPr>
          <w:tblHeader/>
        </w:trPr>
        <w:tc>
          <w:tcPr>
            <w:tcW w:type="dxa" w:w="264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Storage</w:t>
            </w:r>
          </w:p>
        </w:tc>
        <w:tc>
          <w:tcPr>
            <w:tcW w:type="dxa" w:w="16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Encryption</w:t>
            </w:r>
          </w:p>
        </w:tc>
        <w:tc>
          <w:tcPr>
            <w:tcW w:type="dxa" w:w="264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Key</w:t>
            </w:r>
          </w:p>
        </w:tc>
        <w:tc>
          <w:tcPr>
            <w:tcW w:type="dxa" w:w="24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Code reference</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PostgreSQL (storage)</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alias/vocuone-${env}-rds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modules/rds/main.tf:175-177</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automated backups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Inherits instance key</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Performance Insights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alias/vocuone-${env}-rds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modules/rds/main.tf:193-196</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S3 — Bedrock KB buckets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 SSE-S3</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 (HIPAA-compliant under BAA)</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modules/bedrock-kb/main.tf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S3 — ALB access logs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 SSE-S3</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S3 — CloudTrail logs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 SSE-KMS</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modules/cloudtrail/main.tf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S3 — Pipeline artifacts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 SSE-S3</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modules/cicd/main.tf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S3 — Canary artifacts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 SSE-S3</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modules/synthetics/main.tf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 ECS app</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modules/ecs-service/main.tf:5-13</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 Bedrock invocations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Dedicated CMK</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deployments/shared/bedrock-logging/main.tf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 RDS postgresql + upgrade</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 (pre-created log groups)</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 VPC flow logs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modules/vpc/main.tf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 CloudTrail</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modules/cloudtrail/main.tf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CloudTrail trail itself</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modules/cloudtrail/main.tf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Secrets Manager — DB credentials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alias/vocuone-${env}-secrets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modules/rds/main.tf:90-94</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Secrets Manager — other (non-PHI)</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 aws/secretsmanager</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Per-secret</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EBS — ECS instance root volumes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alias/vocuone-${env}-logs</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modules/ecs-cluster/main.tf:42-52</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EBS — RDS storage volumes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Inherits RDS instance key</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AWS-managed</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Backup vault</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alias/vocuone-${env}-backup</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modules/backup/main.tf</w:t>
            </w:r>
          </w:p>
        </w:tc>
      </w:tr>
      <w:tr>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ECR image layers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AES-256</w:t>
            </w:r>
          </w:p>
        </w:tc>
        <w:tc>
          <w:tcPr>
            <w:tcW w:type="dxa" w:w="264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 alias/vocuone-${env}-ecr</w:t>
            </w:r>
          </w:p>
        </w:tc>
        <w:tc>
          <w:tcPr>
            <w:tcW w:type="dxa" w:w="2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 (KMS module)</w:t>
            </w:r>
          </w:p>
        </w:tc>
      </w:tr>
    </w:tbl>
    <w:p>
      <w:pPr>
        <w:spacing w:after="80"/>
      </w:pPr>
      <w:r>
        <w:rPr>
          <w:rFonts w:ascii="Calibri" w:cs="Calibri" w:eastAsia="Calibri" w:hAnsi="Calibri"/>
          <w:sz w:val="22"/>
          <w:szCs w:val="22"/>
        </w:rPr>
        <w:t xml:space="preserve"> </w:t>
      </w:r>
    </w:p>
    <w:p>
      <w:pPr>
        <w:spacing w:after="120"/>
        <w:jc w:val="left"/>
      </w:pPr>
      <w:r>
        <w:rPr>
          <w:rFonts w:ascii="Calibri" w:cs="Calibri" w:eastAsia="Calibri" w:hAnsi="Calibri"/>
          <w:b w:val="false"/>
          <w:bCs w:val="false"/>
          <w:i w:val="false"/>
          <w:iCs w:val="false"/>
          <w:color w:val="000000"/>
          <w:sz w:val="22"/>
          <w:szCs w:val="22"/>
        </w:rPr>
        <w:t xml:space="preserve">Continuous verification: bash scripts/hipaa-encryption-audit.sh ${env} enumerates every encrypted resource and verifies the encryption key.</w:t>
      </w:r>
    </w:p>
    <w:p>
      <w:pPr>
        <w:pStyle w:val="Heading2"/>
        <w:spacing w:after="120" w:before="240"/>
      </w:pPr>
      <w:r>
        <w:rPr>
          <w:rFonts w:ascii="Calibri" w:cs="Calibri" w:eastAsia="Calibri" w:hAnsi="Calibri"/>
          <w:b/>
          <w:bCs/>
          <w:color w:val="2E75B6"/>
          <w:sz w:val="28"/>
          <w:szCs w:val="28"/>
        </w:rPr>
        <w:t xml:space="preserve">§164.312(b) Audit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280"/>
        <w:gridCol w:w="2400"/>
        <w:gridCol w:w="2800"/>
      </w:tblGrid>
      <w:tr>
        <w:trPr>
          <w:tblHeader/>
        </w:trPr>
        <w:tc>
          <w:tcPr>
            <w:tcW w:type="dxa" w:w="28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Audit source</w:t>
            </w:r>
          </w:p>
        </w:tc>
        <w:tc>
          <w:tcPr>
            <w:tcW w:type="dxa" w:w="12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Encryption</w:t>
            </w:r>
          </w:p>
        </w:tc>
        <w:tc>
          <w:tcPr>
            <w:tcW w:type="dxa" w:w="24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Retention</w:t>
            </w:r>
          </w:p>
        </w:tc>
        <w:tc>
          <w:tcPr>
            <w:tcW w:type="dxa" w:w="28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Code reference</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CloudTrail (management events, all API calls)</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S3: 7+ years (no expiry); CWL tail: 365 days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modules/cloudtrail/main.tf</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CloudTrail data events on KB S3 buckets</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Same as above</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modules/cloudtrail/main.tf</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Application logs (/ecs/${env}-app)</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2557 days (7 years)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modules/ecs-service/main.tf:5-13</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Bedrock invocation logs</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2557 days (7 years)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deployments/shared/bedrock-logging/main.tf</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PostgreSQL audit logs</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2557 days (7 years)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upgrade logs</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2557 days (7 years)</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modules/rds/main.tf</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VPC flow logs</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CMK</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365 days (no PHI content; metadata only)</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modules/vpc/main.tf</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Config (recommended; not currently enabled)</w:t>
            </w:r>
          </w:p>
        </w:tc>
        <w:tc>
          <w:tcPr>
            <w:tcW w:type="dxa" w:w="12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w:t>
            </w:r>
          </w:p>
        </w:tc>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See §11 future enhancements</w:t>
            </w:r>
          </w:p>
        </w:tc>
      </w:tr>
    </w:tbl>
    <w:p>
      <w:pPr>
        <w:spacing w:after="80"/>
      </w:pPr>
      <w:r>
        <w:rPr>
          <w:rFonts w:ascii="Calibri" w:cs="Calibri" w:eastAsia="Calibri" w:hAnsi="Calibri"/>
          <w:sz w:val="22"/>
          <w:szCs w:val="22"/>
        </w:rPr>
        <w:t xml:space="preserve"> </w:t>
      </w:r>
    </w:p>
    <w:p>
      <w:pPr>
        <w:spacing w:after="120"/>
        <w:jc w:val="left"/>
      </w:pPr>
      <w:r>
        <w:rPr>
          <w:rFonts w:ascii="Calibri" w:cs="Calibri" w:eastAsia="Calibri" w:hAnsi="Calibri"/>
          <w:b w:val="false"/>
          <w:bCs w:val="false"/>
          <w:i w:val="false"/>
          <w:iCs w:val="false"/>
          <w:color w:val="000000"/>
          <w:sz w:val="22"/>
          <w:szCs w:val="22"/>
        </w:rPr>
        <w:t xml:space="preserve">Integrity assurance: CloudTrail log file validation is enabled (enable_log_file_validation = true) so tampered audit logs can be detected.</w:t>
      </w:r>
    </w:p>
    <w:p>
      <w:pPr>
        <w:pStyle w:val="Heading2"/>
        <w:spacing w:after="120" w:before="240"/>
      </w:pPr>
      <w:r>
        <w:rPr>
          <w:rFonts w:ascii="Calibri" w:cs="Calibri" w:eastAsia="Calibri" w:hAnsi="Calibri"/>
          <w:b/>
          <w:bCs/>
          <w:color w:val="2E75B6"/>
          <w:sz w:val="28"/>
          <w:szCs w:val="28"/>
        </w:rPr>
        <w:t xml:space="preserve">§164.312(c) Integrity</w:t>
      </w:r>
    </w:p>
    <w:p>
      <w:pPr>
        <w:pStyle w:val="ListParagraph"/>
        <w:numPr>
          <w:ilvl w:val="0"/>
          <w:numId w:val="2"/>
        </w:numPr>
        <w:spacing w:after="60"/>
      </w:pPr>
      <w:r>
        <w:rPr>
          <w:rFonts w:ascii="Calibri" w:cs="Calibri" w:eastAsia="Calibri" w:hAnsi="Calibri"/>
          <w:sz w:val="22"/>
          <w:szCs w:val="22"/>
        </w:rPr>
        <w:t xml:space="preserve">RDS automated backups with point-in-time recovery (PITR), backup retention 7 days minimum</w:t>
      </w:r>
    </w:p>
    <w:p>
      <w:pPr>
        <w:pStyle w:val="ListParagraph"/>
        <w:numPr>
          <w:ilvl w:val="0"/>
          <w:numId w:val="2"/>
        </w:numPr>
        <w:spacing w:after="60"/>
      </w:pPr>
      <w:r>
        <w:rPr>
          <w:rFonts w:ascii="Calibri" w:cs="Calibri" w:eastAsia="Calibri" w:hAnsi="Calibri"/>
          <w:sz w:val="22"/>
          <w:szCs w:val="22"/>
        </w:rPr>
        <w:t xml:space="preserve">AWS Backup vault for cross-service backup (RDS + future EFS/EBS)</w:t>
      </w:r>
    </w:p>
    <w:p>
      <w:pPr>
        <w:pStyle w:val="ListParagraph"/>
        <w:numPr>
          <w:ilvl w:val="0"/>
          <w:numId w:val="2"/>
        </w:numPr>
        <w:spacing w:after="60"/>
      </w:pPr>
      <w:r>
        <w:rPr>
          <w:rFonts w:ascii="Calibri" w:cs="Calibri" w:eastAsia="Calibri" w:hAnsi="Calibri"/>
          <w:sz w:val="22"/>
          <w:szCs w:val="22"/>
        </w:rPr>
        <w:t xml:space="preserve">CloudTrail log file integrity validation (enable_log_file_validation)</w:t>
      </w:r>
    </w:p>
    <w:p>
      <w:pPr>
        <w:pStyle w:val="ListParagraph"/>
        <w:numPr>
          <w:ilvl w:val="0"/>
          <w:numId w:val="2"/>
        </w:numPr>
        <w:spacing w:after="60"/>
      </w:pPr>
      <w:r>
        <w:rPr>
          <w:rFonts w:ascii="Calibri" w:cs="Calibri" w:eastAsia="Calibri" w:hAnsi="Calibri"/>
          <w:sz w:val="22"/>
          <w:szCs w:val="22"/>
        </w:rPr>
        <w:t xml:space="preserve">S3 versioning + object lock available on KB buckets (configurable per bucket; currently versioning-only)</w:t>
      </w:r>
    </w:p>
    <w:p>
      <w:pPr>
        <w:pStyle w:val="ListParagraph"/>
        <w:numPr>
          <w:ilvl w:val="0"/>
          <w:numId w:val="2"/>
        </w:numPr>
        <w:spacing w:after="60"/>
      </w:pPr>
      <w:r>
        <w:rPr>
          <w:rFonts w:ascii="Calibri" w:cs="Calibri" w:eastAsia="Calibri" w:hAnsi="Calibri"/>
          <w:sz w:val="22"/>
          <w:szCs w:val="22"/>
        </w:rPr>
        <w:t xml:space="preserve">KMS key rotation enabled on every CMK (enable_key_rotation = true)</w:t>
      </w:r>
    </w:p>
    <w:p>
      <w:pPr>
        <w:pStyle w:val="Heading2"/>
        <w:spacing w:after="120" w:before="240"/>
      </w:pPr>
      <w:r>
        <w:rPr>
          <w:rFonts w:ascii="Calibri" w:cs="Calibri" w:eastAsia="Calibri" w:hAnsi="Calibri"/>
          <w:b/>
          <w:bCs/>
          <w:color w:val="2E75B6"/>
          <w:sz w:val="28"/>
          <w:szCs w:val="28"/>
        </w:rPr>
        <w:t xml:space="preserve">§164.312(d) Person or Entity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Authentication path</w:t>
            </w:r>
          </w:p>
        </w:tc>
        <w:tc>
          <w:tcPr>
            <w:tcW w:type="dxa" w:w="60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Mechanism</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End user (clinician) → API</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TLS + JWT issued by app auth layer (out of scope for infra)</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GitHub Actions → AWS</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OIDC sts:AssumeRoleWithWebIdentity with sub/aud claim pinning</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task → AWS services</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IAM task role (per-task short-lived credentials via IMDSv2)</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task → RDS</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IAM database authentication (rds-db:connect) + Secrets Manager-vended password (dual-auth)</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task → Bedrock</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IAM task role</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Operator → AWS Console</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IAM user + hardware MFA enforcement</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Operator → EC2 instance</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SSM Session Manager (no SSH); session logged to CloudWatch</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service-to-service</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Service principal trust policies with aws:SourceAccount + aws:SourceArn confused-deputy guards</w:t>
            </w:r>
          </w:p>
        </w:tc>
      </w:tr>
    </w:tbl>
    <w:p>
      <w:pPr>
        <w:pStyle w:val="Heading2"/>
        <w:spacing w:after="120" w:before="240"/>
      </w:pPr>
      <w:r>
        <w:rPr>
          <w:rFonts w:ascii="Calibri" w:cs="Calibri" w:eastAsia="Calibri" w:hAnsi="Calibri"/>
          <w:b/>
          <w:bCs/>
          <w:color w:val="2E75B6"/>
          <w:sz w:val="28"/>
          <w:szCs w:val="28"/>
        </w:rPr>
        <w:t xml:space="preserve">§164.312(e)(1) Transmission Security</w:t>
      </w:r>
    </w:p>
    <w:p>
      <w:pPr>
        <w:spacing w:after="120"/>
        <w:jc w:val="left"/>
      </w:pPr>
      <w:r>
        <w:rPr>
          <w:rFonts w:ascii="Calibri" w:cs="Calibri" w:eastAsia="Calibri" w:hAnsi="Calibri"/>
          <w:b w:val="false"/>
          <w:bCs w:val="false"/>
          <w:i w:val="false"/>
          <w:iCs w:val="false"/>
          <w:color w:val="000000"/>
          <w:sz w:val="22"/>
          <w:szCs w:val="22"/>
        </w:rPr>
        <w:t xml:space="preserve">Every PHI transmission path uses TLS 1.2 or higher except for AWS-internal traffic on AWS regional network with compensating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Path</w:t>
            </w:r>
          </w:p>
        </w:tc>
        <w:tc>
          <w:tcPr>
            <w:tcW w:type="dxa" w:w="648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Protection</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Browser → CloudFront</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TLS 1.2+ (MinimumProtocolVersion = TLSv1.2_2021)</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CloudFront → ALB</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TLS 1.2+ via ACM cert</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Client → API Gateway</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TLS 1.2+ (AWS-managed)</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API Gateway → ALB :80</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HTTP, AWS-internal network. Compensating controls: (a) AWS WAF Web ACL on the ALB requires X-Gateway-Secret header per request, blocking direct-to-ALB traffic from outside AWS regional network; (b) ALB is internet-facing but all PHI traffic flows through API Gateway which terminates TLS; (c) the traffic never traverses the public internet — AWS regional managed-service routing only. Pattern consistent with AWS HIPAA reference architecture.</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ALB → ECS task</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HTTP within VPC private subnet. Compensating control: full VPC network isolation, security-group-restricted (only ALB SG can reach ECS SG), no public IP on tasks. Aligned with AWS HIPAA reference architecture.</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task → RDS</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TLS enforced at parameter group (rds.force_ssl=1); app rejects non-TLS connections</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task → Bedrock / S3 / Secrets Manager / CloudWatch</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HTTPS by default via AWS SDK; VPC endpoints enabled for in-VPC routing</w:t>
            </w:r>
          </w:p>
        </w:tc>
      </w:tr>
      <w:tr>
        <w:tc>
          <w:tcPr>
            <w:tcW w:type="dxa" w:w="28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Cross-region replication (if enabled)</w:t>
            </w:r>
          </w:p>
        </w:tc>
        <w:tc>
          <w:tcPr>
            <w:tcW w:type="dxa" w:w="648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HTTPS (AWS-managed)</w:t>
            </w:r>
          </w:p>
        </w:tc>
      </w:tr>
    </w:tbl>
    <w:p>
      <w:pPr>
        <w:pStyle w:val="Heading1"/>
        <w:pageBreakBefore/>
        <w:spacing w:after="180" w:before="360"/>
      </w:pPr>
      <w:r>
        <w:rPr>
          <w:rFonts w:ascii="Calibri" w:cs="Calibri" w:eastAsia="Calibri" w:hAnsi="Calibri"/>
          <w:b/>
          <w:bCs/>
          <w:color w:val="2E75B6"/>
          <w:sz w:val="36"/>
          <w:szCs w:val="36"/>
        </w:rPr>
        <w:t xml:space="preserve">6. Administrative Safeguards — 45 CFR §164.308</w:t>
      </w:r>
    </w:p>
    <w:p>
      <w:pPr>
        <w:pStyle w:val="Heading2"/>
        <w:spacing w:after="120" w:before="240"/>
      </w:pPr>
      <w:r>
        <w:rPr>
          <w:rFonts w:ascii="Calibri" w:cs="Calibri" w:eastAsia="Calibri" w:hAnsi="Calibri"/>
          <w:b/>
          <w:bCs/>
          <w:color w:val="2E75B6"/>
          <w:sz w:val="28"/>
          <w:szCs w:val="28"/>
        </w:rPr>
        <w:t xml:space="preserve">§164.308(a)(1) Security Management Process</w:t>
      </w:r>
    </w:p>
    <w:p>
      <w:pPr>
        <w:pStyle w:val="ListParagraph"/>
        <w:numPr>
          <w:ilvl w:val="0"/>
          <w:numId w:val="2"/>
        </w:numPr>
        <w:spacing w:after="60"/>
      </w:pPr>
      <w:r>
        <w:rPr>
          <w:rFonts w:ascii="Calibri" w:cs="Calibri" w:eastAsia="Calibri" w:hAnsi="Calibri"/>
          <w:sz w:val="22"/>
          <w:szCs w:val="22"/>
        </w:rPr>
        <w:t xml:space="preserve">Risk analysis (§164.308(a)(1)(ii)(A)): Documented in this attestation and the audit script. Quarterly review cadence.</w:t>
      </w:r>
    </w:p>
    <w:p>
      <w:pPr>
        <w:pStyle w:val="ListParagraph"/>
        <w:numPr>
          <w:ilvl w:val="0"/>
          <w:numId w:val="2"/>
        </w:numPr>
        <w:spacing w:after="60"/>
      </w:pPr>
      <w:r>
        <w:rPr>
          <w:rFonts w:ascii="Calibri" w:cs="Calibri" w:eastAsia="Calibri" w:hAnsi="Calibri"/>
          <w:sz w:val="22"/>
          <w:szCs w:val="22"/>
        </w:rPr>
        <w:t xml:space="preserve">Risk management (§164.308(a)(1)(ii)(B)): Tracked in §11 (Known Gaps &amp; Remediation Plan).</w:t>
      </w:r>
    </w:p>
    <w:p>
      <w:pPr>
        <w:pStyle w:val="ListParagraph"/>
        <w:numPr>
          <w:ilvl w:val="0"/>
          <w:numId w:val="2"/>
        </w:numPr>
        <w:spacing w:after="60"/>
      </w:pPr>
      <w:r>
        <w:rPr>
          <w:rFonts w:ascii="Calibri" w:cs="Calibri" w:eastAsia="Calibri" w:hAnsi="Calibri"/>
          <w:sz w:val="22"/>
          <w:szCs w:val="22"/>
        </w:rPr>
        <w:t xml:space="preserve">Sanction policy (§164.308(a)(1)(ii)(C)): Internal HR policy, not infrastructure.</w:t>
      </w:r>
    </w:p>
    <w:p>
      <w:pPr>
        <w:pStyle w:val="ListParagraph"/>
        <w:numPr>
          <w:ilvl w:val="0"/>
          <w:numId w:val="2"/>
        </w:numPr>
        <w:spacing w:after="60"/>
      </w:pPr>
      <w:r>
        <w:rPr>
          <w:rFonts w:ascii="Calibri" w:cs="Calibri" w:eastAsia="Calibri" w:hAnsi="Calibri"/>
          <w:sz w:val="22"/>
          <w:szCs w:val="22"/>
        </w:rPr>
        <w:t xml:space="preserve">Information system activity review (§164.308(a)(1)(ii)(D)): CloudTrail + CloudWatch Logs Insights queries; alarms in observability-alarms.tf and backend-health-alarms.tf provide active monitoring.</w:t>
      </w:r>
    </w:p>
    <w:p>
      <w:pPr>
        <w:pStyle w:val="Heading2"/>
        <w:spacing w:after="120" w:before="240"/>
      </w:pPr>
      <w:r>
        <w:rPr>
          <w:rFonts w:ascii="Calibri" w:cs="Calibri" w:eastAsia="Calibri" w:hAnsi="Calibri"/>
          <w:b/>
          <w:bCs/>
          <w:color w:val="2E75B6"/>
          <w:sz w:val="28"/>
          <w:szCs w:val="28"/>
        </w:rPr>
        <w:t xml:space="preserve">§164.308(a)(2) Assigned Security Responsibility</w:t>
      </w:r>
    </w:p>
    <w:p>
      <w:pPr>
        <w:pStyle w:val="ListParagraph"/>
        <w:numPr>
          <w:ilvl w:val="0"/>
          <w:numId w:val="2"/>
        </w:numPr>
        <w:spacing w:after="60"/>
      </w:pPr>
      <w:r>
        <w:rPr>
          <w:rFonts w:ascii="Calibri" w:cs="Calibri" w:eastAsia="Calibri" w:hAnsi="Calibri"/>
          <w:sz w:val="22"/>
          <w:szCs w:val="22"/>
        </w:rPr>
        <w:t xml:space="preserve">Designated Security Officer: Dhrumil Mehta (DevOps lead)</w:t>
      </w:r>
    </w:p>
    <w:p>
      <w:pPr>
        <w:pStyle w:val="ListParagraph"/>
        <w:numPr>
          <w:ilvl w:val="0"/>
          <w:numId w:val="2"/>
        </w:numPr>
        <w:spacing w:after="60"/>
      </w:pPr>
      <w:r>
        <w:rPr>
          <w:rFonts w:ascii="Calibri" w:cs="Calibri" w:eastAsia="Calibri" w:hAnsi="Calibri"/>
          <w:sz w:val="22"/>
          <w:szCs w:val="22"/>
        </w:rPr>
        <w:t xml:space="preserve">Designated Privacy Officer: [to be assigned by leadership — not infrastructure-side]</w:t>
      </w:r>
    </w:p>
    <w:p>
      <w:pPr>
        <w:pStyle w:val="Heading2"/>
        <w:spacing w:after="120" w:before="240"/>
      </w:pPr>
      <w:r>
        <w:rPr>
          <w:rFonts w:ascii="Calibri" w:cs="Calibri" w:eastAsia="Calibri" w:hAnsi="Calibri"/>
          <w:b/>
          <w:bCs/>
          <w:color w:val="2E75B6"/>
          <w:sz w:val="28"/>
          <w:szCs w:val="28"/>
        </w:rPr>
        <w:t xml:space="preserve">§164.308(a)(3) Workforce Security</w:t>
      </w:r>
    </w:p>
    <w:p>
      <w:pPr>
        <w:pStyle w:val="ListParagraph"/>
        <w:numPr>
          <w:ilvl w:val="0"/>
          <w:numId w:val="2"/>
        </w:numPr>
        <w:spacing w:after="60"/>
      </w:pPr>
      <w:r>
        <w:rPr>
          <w:rFonts w:ascii="Calibri" w:cs="Calibri" w:eastAsia="Calibri" w:hAnsi="Calibri"/>
          <w:sz w:val="22"/>
          <w:szCs w:val="22"/>
        </w:rPr>
        <w:t xml:space="preserve">Authorization and/or supervision (§164.308(a)(3)(ii)(A)): IAM access granted per-role via Terraform-managed roles; access reviews on cadence</w:t>
      </w:r>
    </w:p>
    <w:p>
      <w:pPr>
        <w:pStyle w:val="ListParagraph"/>
        <w:numPr>
          <w:ilvl w:val="0"/>
          <w:numId w:val="2"/>
        </w:numPr>
        <w:spacing w:after="60"/>
      </w:pPr>
      <w:r>
        <w:rPr>
          <w:rFonts w:ascii="Calibri" w:cs="Calibri" w:eastAsia="Calibri" w:hAnsi="Calibri"/>
          <w:sz w:val="22"/>
          <w:szCs w:val="22"/>
        </w:rPr>
        <w:t xml:space="preserve">Workforce clearance (§164.308(a)(3)(ii)(B)): Internal HR process</w:t>
      </w:r>
    </w:p>
    <w:p>
      <w:pPr>
        <w:pStyle w:val="ListParagraph"/>
        <w:numPr>
          <w:ilvl w:val="0"/>
          <w:numId w:val="2"/>
        </w:numPr>
        <w:spacing w:after="60"/>
      </w:pPr>
      <w:r>
        <w:rPr>
          <w:rFonts w:ascii="Calibri" w:cs="Calibri" w:eastAsia="Calibri" w:hAnsi="Calibri"/>
          <w:sz w:val="22"/>
          <w:szCs w:val="22"/>
        </w:rPr>
        <w:t xml:space="preserve">Termination procedures (§164.308(a)(3)(ii)(C)): IAM identity removed within 24 hours of termination (manual process; recommend automating via SSO/SCIM)</w:t>
      </w:r>
    </w:p>
    <w:p>
      <w:pPr>
        <w:pStyle w:val="Heading2"/>
        <w:spacing w:after="120" w:before="240"/>
      </w:pPr>
      <w:r>
        <w:rPr>
          <w:rFonts w:ascii="Calibri" w:cs="Calibri" w:eastAsia="Calibri" w:hAnsi="Calibri"/>
          <w:b/>
          <w:bCs/>
          <w:color w:val="2E75B6"/>
          <w:sz w:val="28"/>
          <w:szCs w:val="28"/>
        </w:rPr>
        <w:t xml:space="preserve">§164.308(a)(4) Information Access Management — Minimum Necessary</w:t>
      </w:r>
    </w:p>
    <w:p>
      <w:pPr>
        <w:pStyle w:val="ListParagraph"/>
        <w:numPr>
          <w:ilvl w:val="0"/>
          <w:numId w:val="2"/>
        </w:numPr>
        <w:spacing w:after="60"/>
      </w:pPr>
      <w:r>
        <w:rPr>
          <w:rFonts w:ascii="Calibri" w:cs="Calibri" w:eastAsia="Calibri" w:hAnsi="Calibri"/>
          <w:sz w:val="22"/>
          <w:szCs w:val="22"/>
        </w:rPr>
        <w:t xml:space="preserve">Isolation of healthcare clearinghouse (§164.308(a)(4)(ii)(A)): N/A — vocuone is not a clearinghouse</w:t>
      </w:r>
    </w:p>
    <w:p>
      <w:pPr>
        <w:pStyle w:val="ListParagraph"/>
        <w:numPr>
          <w:ilvl w:val="0"/>
          <w:numId w:val="2"/>
        </w:numPr>
        <w:spacing w:after="60"/>
      </w:pPr>
      <w:r>
        <w:rPr>
          <w:rFonts w:ascii="Calibri" w:cs="Calibri" w:eastAsia="Calibri" w:hAnsi="Calibri"/>
          <w:sz w:val="22"/>
          <w:szCs w:val="22"/>
        </w:rPr>
        <w:t xml:space="preserve">Access authorization (§164.308(a)(4)(ii)(B)): IAM policies enforce least privilege per role. Service-linked roles used where applicable.</w:t>
      </w:r>
    </w:p>
    <w:p>
      <w:pPr>
        <w:pStyle w:val="ListParagraph"/>
        <w:numPr>
          <w:ilvl w:val="0"/>
          <w:numId w:val="2"/>
        </w:numPr>
        <w:spacing w:after="60"/>
      </w:pPr>
      <w:r>
        <w:rPr>
          <w:rFonts w:ascii="Calibri" w:cs="Calibri" w:eastAsia="Calibri" w:hAnsi="Calibri"/>
          <w:sz w:val="22"/>
          <w:szCs w:val="22"/>
        </w:rPr>
        <w:t xml:space="preserve">Access establishment and modification (§164.308(a)(4)(ii)(C)): All access is code in Terraform; changes require PR + apply via OIDC. Audit trail in git + CloudTrail.</w:t>
      </w:r>
    </w:p>
    <w:p>
      <w:pPr>
        <w:spacing w:after="120"/>
        <w:jc w:val="left"/>
      </w:pPr>
      <w:r>
        <w:rPr>
          <w:rFonts w:ascii="Calibri" w:cs="Calibri" w:eastAsia="Calibri" w:hAnsi="Calibri"/>
          <w:b w:val="false"/>
          <w:bCs w:val="false"/>
          <w:i/>
          <w:iCs/>
          <w:color w:val="000000"/>
          <w:sz w:val="22"/>
          <w:szCs w:val="22"/>
        </w:rPr>
        <w:t xml:space="preserve">Tracked remediation: Two long-lived IAM access keys (vocuone-prod-developer, vocuone-stage-developer) exist for human operator access. These are scheduled for replacement with federated SSO / OIDC-vended short-lived credentials. See §11.</w:t>
      </w:r>
    </w:p>
    <w:p>
      <w:pPr>
        <w:pStyle w:val="Heading2"/>
        <w:spacing w:after="120" w:before="240"/>
      </w:pPr>
      <w:r>
        <w:rPr>
          <w:rFonts w:ascii="Calibri" w:cs="Calibri" w:eastAsia="Calibri" w:hAnsi="Calibri"/>
          <w:b/>
          <w:bCs/>
          <w:color w:val="2E75B6"/>
          <w:sz w:val="28"/>
          <w:szCs w:val="28"/>
        </w:rPr>
        <w:t xml:space="preserve">§164.308(a)(5) Security Awareness and Training</w:t>
      </w:r>
    </w:p>
    <w:p>
      <w:pPr>
        <w:pStyle w:val="ListParagraph"/>
        <w:numPr>
          <w:ilvl w:val="0"/>
          <w:numId w:val="2"/>
        </w:numPr>
        <w:spacing w:after="60"/>
      </w:pPr>
      <w:r>
        <w:rPr>
          <w:rFonts w:ascii="Calibri" w:cs="Calibri" w:eastAsia="Calibri" w:hAnsi="Calibri"/>
          <w:sz w:val="22"/>
          <w:szCs w:val="22"/>
        </w:rPr>
        <w:t xml:space="preserve">Internal training program (not infrastructure-side)</w:t>
      </w:r>
    </w:p>
    <w:p>
      <w:pPr>
        <w:pStyle w:val="ListParagraph"/>
        <w:numPr>
          <w:ilvl w:val="0"/>
          <w:numId w:val="2"/>
        </w:numPr>
        <w:spacing w:after="60"/>
      </w:pPr>
      <w:r>
        <w:rPr>
          <w:rFonts w:ascii="Calibri" w:cs="Calibri" w:eastAsia="Calibri" w:hAnsi="Calibri"/>
          <w:sz w:val="22"/>
          <w:szCs w:val="22"/>
        </w:rPr>
        <w:t xml:space="preserve">Anti-phishing, PHI handling, and incident reporting documented in employee handbook</w:t>
      </w:r>
    </w:p>
    <w:p>
      <w:pPr>
        <w:pStyle w:val="Heading2"/>
        <w:spacing w:after="120" w:before="240"/>
      </w:pPr>
      <w:r>
        <w:rPr>
          <w:rFonts w:ascii="Calibri" w:cs="Calibri" w:eastAsia="Calibri" w:hAnsi="Calibri"/>
          <w:b/>
          <w:bCs/>
          <w:color w:val="2E75B6"/>
          <w:sz w:val="28"/>
          <w:szCs w:val="28"/>
        </w:rPr>
        <w:t xml:space="preserve">§164.308(a)(6) Security Incident Procedures</w:t>
      </w:r>
    </w:p>
    <w:p>
      <w:pPr>
        <w:pStyle w:val="ListParagraph"/>
        <w:numPr>
          <w:ilvl w:val="0"/>
          <w:numId w:val="2"/>
        </w:numPr>
        <w:spacing w:after="60"/>
      </w:pPr>
      <w:r>
        <w:rPr>
          <w:rFonts w:ascii="Calibri" w:cs="Calibri" w:eastAsia="Calibri" w:hAnsi="Calibri"/>
          <w:sz w:val="22"/>
          <w:szCs w:val="22"/>
        </w:rPr>
        <w:t xml:space="preserve">Active alarms on backend 5xx, ECS capacity, Bedrock latency, canary failure, AI call error rate — routed via SNS to developers@vocuone.ai</w:t>
      </w:r>
    </w:p>
    <w:p>
      <w:pPr>
        <w:pStyle w:val="ListParagraph"/>
        <w:numPr>
          <w:ilvl w:val="0"/>
          <w:numId w:val="2"/>
        </w:numPr>
        <w:spacing w:after="60"/>
      </w:pPr>
      <w:r>
        <w:rPr>
          <w:rFonts w:ascii="Calibri" w:cs="Calibri" w:eastAsia="Calibri" w:hAnsi="Calibri"/>
          <w:sz w:val="22"/>
          <w:szCs w:val="22"/>
        </w:rPr>
        <w:t xml:space="preserve">Incident response runbook (to be formalized in runbooks/incident-response.md)</w:t>
      </w:r>
    </w:p>
    <w:p>
      <w:pPr>
        <w:pStyle w:val="ListParagraph"/>
        <w:numPr>
          <w:ilvl w:val="0"/>
          <w:numId w:val="2"/>
        </w:numPr>
        <w:spacing w:after="60"/>
      </w:pPr>
      <w:r>
        <w:rPr>
          <w:rFonts w:ascii="Calibri" w:cs="Calibri" w:eastAsia="Calibri" w:hAnsi="Calibri"/>
          <w:sz w:val="22"/>
          <w:szCs w:val="22"/>
        </w:rPr>
        <w:t xml:space="preserve">CloudTrail provides forensic audit trail; logs retained 7+ years</w:t>
      </w:r>
    </w:p>
    <w:p>
      <w:pPr>
        <w:pStyle w:val="Heading2"/>
        <w:spacing w:after="120" w:before="240"/>
      </w:pPr>
      <w:r>
        <w:rPr>
          <w:rFonts w:ascii="Calibri" w:cs="Calibri" w:eastAsia="Calibri" w:hAnsi="Calibri"/>
          <w:b/>
          <w:bCs/>
          <w:color w:val="2E75B6"/>
          <w:sz w:val="28"/>
          <w:szCs w:val="28"/>
        </w:rPr>
        <w:t xml:space="preserve">§164.308(a)(7) Contingency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Sub-rule</w:t>
            </w:r>
          </w:p>
        </w:tc>
        <w:tc>
          <w:tcPr>
            <w:tcW w:type="dxa" w:w="60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Implementation</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 Data backup plan</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automated backups, 7-day PITR (prod), AWS Backup vault for cross-service</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(ii) Disaster recovery plan</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Multi-AZ RDS (prod), S3 cross-region replication available, infrastructure entirely IaC for rapid rebuild</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(iii) Emergency mode operation plan</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Documented operator runbook; canary alerts on degradation</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(iv) Testing and revision procedures</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Quarterly DR test (recommend formalizing; current state: ad-hoc)</w:t>
            </w:r>
          </w:p>
        </w:tc>
      </w:tr>
      <w:tr>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(v) Applications and data criticality analysis</w:t>
            </w:r>
          </w:p>
        </w:tc>
        <w:tc>
          <w:tcPr>
            <w:tcW w:type="dxa" w:w="6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Tier 1: RDS + Bedrock KB; Tier 2: app logs; Tier 3: CI/CD</w:t>
            </w:r>
          </w:p>
        </w:tc>
      </w:tr>
    </w:tbl>
    <w:p>
      <w:pPr>
        <w:pStyle w:val="Heading2"/>
        <w:spacing w:after="120" w:before="240"/>
      </w:pPr>
      <w:r>
        <w:rPr>
          <w:rFonts w:ascii="Calibri" w:cs="Calibri" w:eastAsia="Calibri" w:hAnsi="Calibri"/>
          <w:b/>
          <w:bCs/>
          <w:color w:val="2E75B6"/>
          <w:sz w:val="28"/>
          <w:szCs w:val="28"/>
        </w:rPr>
        <w:t xml:space="preserve">§164.308(a)(8) Evaluation</w:t>
      </w:r>
    </w:p>
    <w:p>
      <w:pPr>
        <w:pStyle w:val="ListParagraph"/>
        <w:numPr>
          <w:ilvl w:val="0"/>
          <w:numId w:val="2"/>
        </w:numPr>
        <w:spacing w:after="60"/>
      </w:pPr>
      <w:r>
        <w:rPr>
          <w:rFonts w:ascii="Calibri" w:cs="Calibri" w:eastAsia="Calibri" w:hAnsi="Calibri"/>
          <w:sz w:val="22"/>
          <w:szCs w:val="22"/>
        </w:rPr>
        <w:t xml:space="preserve">Self-attestation via this document</w:t>
      </w:r>
    </w:p>
    <w:p>
      <w:pPr>
        <w:pStyle w:val="ListParagraph"/>
        <w:numPr>
          <w:ilvl w:val="0"/>
          <w:numId w:val="2"/>
        </w:numPr>
        <w:spacing w:after="60"/>
      </w:pPr>
      <w:r>
        <w:rPr>
          <w:rFonts w:ascii="Calibri" w:cs="Calibri" w:eastAsia="Calibri" w:hAnsi="Calibri"/>
          <w:sz w:val="22"/>
          <w:szCs w:val="22"/>
        </w:rPr>
        <w:t xml:space="preserve">Continuous verification via scripts/hipaa-encryption-audit.sh</w:t>
      </w:r>
    </w:p>
    <w:p>
      <w:pPr>
        <w:pStyle w:val="ListParagraph"/>
        <w:numPr>
          <w:ilvl w:val="0"/>
          <w:numId w:val="2"/>
        </w:numPr>
        <w:spacing w:after="60"/>
      </w:pPr>
      <w:r>
        <w:rPr>
          <w:rFonts w:ascii="Calibri" w:cs="Calibri" w:eastAsia="Calibri" w:hAnsi="Calibri"/>
          <w:sz w:val="22"/>
          <w:szCs w:val="22"/>
        </w:rPr>
        <w:t xml:space="preserve">Annual third-party HIPAA assessment (recommended; not yet engaged)</w:t>
      </w:r>
    </w:p>
    <w:p>
      <w:pPr>
        <w:pStyle w:val="Heading1"/>
        <w:spacing w:after="180" w:before="360"/>
      </w:pPr>
      <w:r>
        <w:rPr>
          <w:rFonts w:ascii="Calibri" w:cs="Calibri" w:eastAsia="Calibri" w:hAnsi="Calibri"/>
          <w:b/>
          <w:bCs/>
          <w:color w:val="2E75B6"/>
          <w:sz w:val="36"/>
          <w:szCs w:val="36"/>
        </w:rPr>
        <w:t xml:space="preserve">7. Physical Safeguards — 45 CFR §164.310</w:t>
      </w:r>
    </w:p>
    <w:p>
      <w:pPr>
        <w:spacing w:after="120"/>
        <w:jc w:val="left"/>
      </w:pPr>
      <w:r>
        <w:rPr>
          <w:rFonts w:ascii="Calibri" w:cs="Calibri" w:eastAsia="Calibri" w:hAnsi="Calibri"/>
          <w:b w:val="false"/>
          <w:bCs w:val="false"/>
          <w:i w:val="false"/>
          <w:iCs w:val="false"/>
          <w:color w:val="000000"/>
          <w:sz w:val="22"/>
          <w:szCs w:val="22"/>
        </w:rPr>
        <w:t xml:space="preserve">All physical safeguards (§164.310(a)(1) Facility Access Controls, §164.310(b) Workstation Use, §164.310(c) Workstation Security, §164.310(d) Device and Media Controls) for AWS-hosted infrastructure are inherited from AWS via the signed Business Associate Addendum.</w:t>
      </w:r>
    </w:p>
    <w:p>
      <w:pPr>
        <w:spacing w:after="120"/>
        <w:jc w:val="left"/>
      </w:pPr>
      <w:r>
        <w:rPr>
          <w:rFonts w:ascii="Calibri" w:cs="Calibri" w:eastAsia="Calibri" w:hAnsi="Calibri"/>
          <w:b w:val="false"/>
          <w:bCs w:val="false"/>
          <w:i w:val="false"/>
          <w:iCs w:val="false"/>
          <w:color w:val="000000"/>
          <w:sz w:val="22"/>
          <w:szCs w:val="22"/>
        </w:rPr>
        <w:t xml:space="preserve">AWS physical safeguards are independently assessed and documented in:</w:t>
      </w:r>
    </w:p>
    <w:p>
      <w:pPr>
        <w:pStyle w:val="ListParagraph"/>
        <w:numPr>
          <w:ilvl w:val="0"/>
          <w:numId w:val="2"/>
        </w:numPr>
        <w:spacing w:after="60"/>
      </w:pPr>
      <w:r>
        <w:rPr>
          <w:rFonts w:ascii="Calibri" w:cs="Calibri" w:eastAsia="Calibri" w:hAnsi="Calibri"/>
          <w:sz w:val="22"/>
          <w:szCs w:val="22"/>
        </w:rPr>
        <w:t xml:space="preserve">AWS SOC 1, SOC 2, SOC 3 reports (available via AWS Artifact)</w:t>
      </w:r>
    </w:p>
    <w:p>
      <w:pPr>
        <w:pStyle w:val="ListParagraph"/>
        <w:numPr>
          <w:ilvl w:val="0"/>
          <w:numId w:val="2"/>
        </w:numPr>
        <w:spacing w:after="60"/>
      </w:pPr>
      <w:r>
        <w:rPr>
          <w:rFonts w:ascii="Calibri" w:cs="Calibri" w:eastAsia="Calibri" w:hAnsi="Calibri"/>
          <w:sz w:val="22"/>
          <w:szCs w:val="22"/>
        </w:rPr>
        <w:t xml:space="preserve">AWS ISO 27001 / 27017 / 27018 certifications</w:t>
      </w:r>
    </w:p>
    <w:p>
      <w:pPr>
        <w:pStyle w:val="ListParagraph"/>
        <w:numPr>
          <w:ilvl w:val="0"/>
          <w:numId w:val="2"/>
        </w:numPr>
        <w:spacing w:after="60"/>
      </w:pPr>
      <w:r>
        <w:rPr>
          <w:rFonts w:ascii="Calibri" w:cs="Calibri" w:eastAsia="Calibri" w:hAnsi="Calibri"/>
          <w:sz w:val="22"/>
          <w:szCs w:val="22"/>
        </w:rPr>
        <w:t xml:space="preserve">AWS FedRAMP authorization</w:t>
      </w:r>
    </w:p>
    <w:p>
      <w:pPr>
        <w:pStyle w:val="ListParagraph"/>
        <w:numPr>
          <w:ilvl w:val="0"/>
          <w:numId w:val="2"/>
        </w:numPr>
        <w:spacing w:after="60"/>
      </w:pPr>
      <w:r>
        <w:rPr>
          <w:rFonts w:ascii="Calibri" w:cs="Calibri" w:eastAsia="Calibri" w:hAnsi="Calibri"/>
          <w:sz w:val="22"/>
          <w:szCs w:val="22"/>
        </w:rPr>
        <w:t xml:space="preserve">AWS HIPAA whitepaper "Architecting for HIPAA Security and Compliance on Amazon Web Services"</w:t>
      </w:r>
    </w:p>
    <w:p>
      <w:pPr>
        <w:spacing w:after="120"/>
        <w:jc w:val="left"/>
      </w:pPr>
      <w:r>
        <w:rPr>
          <w:rFonts w:ascii="Calibri" w:cs="Calibri" w:eastAsia="Calibri" w:hAnsi="Calibri"/>
          <w:b w:val="false"/>
          <w:bCs w:val="false"/>
          <w:i/>
          <w:iCs/>
          <w:color w:val="000000"/>
          <w:sz w:val="22"/>
          <w:szCs w:val="22"/>
        </w:rPr>
        <w:t xml:space="preserve">Customer responsibility: Endpoints (developer laptops) running AWS CLI / browser access — managed under separate device management policy (not infrastructure-side).</w:t>
      </w:r>
    </w:p>
    <w:p>
      <w:pPr>
        <w:pStyle w:val="Heading1"/>
        <w:spacing w:after="180" w:before="360"/>
      </w:pPr>
      <w:r>
        <w:rPr>
          <w:rFonts w:ascii="Calibri" w:cs="Calibri" w:eastAsia="Calibri" w:hAnsi="Calibri"/>
          <w:b/>
          <w:bCs/>
          <w:color w:val="2E75B6"/>
          <w:sz w:val="36"/>
          <w:szCs w:val="36"/>
        </w:rPr>
        <w:t xml:space="preserve">8. Organizational Requirements — 45 CFR §164.314</w:t>
      </w:r>
    </w:p>
    <w:p>
      <w:pPr>
        <w:pStyle w:val="Heading2"/>
        <w:spacing w:after="120" w:before="240"/>
      </w:pPr>
      <w:r>
        <w:rPr>
          <w:rFonts w:ascii="Calibri" w:cs="Calibri" w:eastAsia="Calibri" w:hAnsi="Calibri"/>
          <w:b/>
          <w:bCs/>
          <w:color w:val="2E75B6"/>
          <w:sz w:val="28"/>
          <w:szCs w:val="28"/>
        </w:rPr>
        <w:t xml:space="preserve">§164.314(a) Business Associate Contracts</w:t>
      </w:r>
    </w:p>
    <w:p>
      <w:pPr>
        <w:pStyle w:val="ListParagraph"/>
        <w:numPr>
          <w:ilvl w:val="0"/>
          <w:numId w:val="2"/>
        </w:numPr>
        <w:spacing w:after="60"/>
      </w:pPr>
      <w:r>
        <w:rPr>
          <w:rFonts w:ascii="Calibri" w:cs="Calibri" w:eastAsia="Calibri" w:hAnsi="Calibri"/>
          <w:sz w:val="22"/>
          <w:szCs w:val="22"/>
        </w:rPr>
        <w:t xml:space="preserve">AWS BAA: Signed via AWS Artifact (verify in https://console.aws.amazon.com/artifact/home#/agreements). AWS BAA covers all HIPAA-eligible services listed in §4.</w:t>
      </w:r>
    </w:p>
    <w:p>
      <w:pPr>
        <w:pStyle w:val="ListParagraph"/>
        <w:numPr>
          <w:ilvl w:val="0"/>
          <w:numId w:val="2"/>
        </w:numPr>
        <w:spacing w:after="60"/>
      </w:pPr>
      <w:r>
        <w:rPr>
          <w:rFonts w:ascii="Calibri" w:cs="Calibri" w:eastAsia="Calibri" w:hAnsi="Calibri"/>
          <w:sz w:val="22"/>
          <w:szCs w:val="22"/>
        </w:rPr>
        <w:t xml:space="preserve">Subcontractor BAAs: All third-party SaaS vendors that touch PHI must have a BAA. Currently no third-party PHI processors are in use (Sentry, SendGrid configured for non-PHI events only; Google Calendar disabled).</w:t>
      </w:r>
    </w:p>
    <w:p>
      <w:pPr>
        <w:pStyle w:val="Heading2"/>
        <w:spacing w:after="120" w:before="240"/>
      </w:pPr>
      <w:r>
        <w:rPr>
          <w:rFonts w:ascii="Calibri" w:cs="Calibri" w:eastAsia="Calibri" w:hAnsi="Calibri"/>
          <w:b/>
          <w:bCs/>
          <w:color w:val="2E75B6"/>
          <w:sz w:val="28"/>
          <w:szCs w:val="28"/>
        </w:rPr>
        <w:t xml:space="preserve">§164.314(b) Group Health Plan Requirements</w:t>
      </w:r>
    </w:p>
    <w:p>
      <w:pPr>
        <w:spacing w:after="120"/>
        <w:jc w:val="left"/>
      </w:pPr>
      <w:r>
        <w:rPr>
          <w:rFonts w:ascii="Calibri" w:cs="Calibri" w:eastAsia="Calibri" w:hAnsi="Calibri"/>
          <w:b w:val="false"/>
          <w:bCs w:val="false"/>
          <w:i w:val="false"/>
          <w:iCs w:val="false"/>
          <w:color w:val="000000"/>
          <w:sz w:val="22"/>
          <w:szCs w:val="22"/>
        </w:rPr>
        <w:t xml:space="preserve">N/A — vocuone is not a group health plan.</w:t>
      </w:r>
    </w:p>
    <w:p>
      <w:pPr>
        <w:pStyle w:val="Heading1"/>
        <w:spacing w:after="180" w:before="360"/>
      </w:pPr>
      <w:r>
        <w:rPr>
          <w:rFonts w:ascii="Calibri" w:cs="Calibri" w:eastAsia="Calibri" w:hAnsi="Calibri"/>
          <w:b/>
          <w:bCs/>
          <w:color w:val="2E75B6"/>
          <w:sz w:val="36"/>
          <w:szCs w:val="36"/>
        </w:rPr>
        <w:t xml:space="preserve">9. Documentation and Retention — 45 CFR §164.316, §164.530(j)(2)</w:t>
      </w:r>
    </w:p>
    <w:p>
      <w:pPr>
        <w:pStyle w:val="Heading2"/>
        <w:spacing w:after="120" w:before="240"/>
      </w:pPr>
      <w:r>
        <w:rPr>
          <w:rFonts w:ascii="Calibri" w:cs="Calibri" w:eastAsia="Calibri" w:hAnsi="Calibri"/>
          <w:b/>
          <w:bCs/>
          <w:color w:val="2E75B6"/>
          <w:sz w:val="28"/>
          <w:szCs w:val="28"/>
        </w:rPr>
        <w:t xml:space="preserve">§164.316 Policies and procedures</w:t>
      </w:r>
    </w:p>
    <w:p>
      <w:pPr>
        <w:pStyle w:val="ListParagraph"/>
        <w:numPr>
          <w:ilvl w:val="0"/>
          <w:numId w:val="2"/>
        </w:numPr>
        <w:spacing w:after="60"/>
      </w:pPr>
      <w:r>
        <w:rPr>
          <w:rFonts w:ascii="Calibri" w:cs="Calibri" w:eastAsia="Calibri" w:hAnsi="Calibri"/>
          <w:sz w:val="22"/>
          <w:szCs w:val="22"/>
        </w:rPr>
        <w:t xml:space="preserve">This document constitutes the security policy attestation</w:t>
      </w:r>
    </w:p>
    <w:p>
      <w:pPr>
        <w:pStyle w:val="ListParagraph"/>
        <w:numPr>
          <w:ilvl w:val="0"/>
          <w:numId w:val="2"/>
        </w:numPr>
        <w:spacing w:after="60"/>
      </w:pPr>
      <w:r>
        <w:rPr>
          <w:rFonts w:ascii="Calibri" w:cs="Calibri" w:eastAsia="Calibri" w:hAnsi="Calibri"/>
          <w:sz w:val="22"/>
          <w:szCs w:val="22"/>
        </w:rPr>
        <w:t xml:space="preserve">Infrastructure-as-code (Terraform) provides authoritative reference for technical controls</w:t>
      </w:r>
    </w:p>
    <w:p>
      <w:pPr>
        <w:pStyle w:val="ListParagraph"/>
        <w:numPr>
          <w:ilvl w:val="0"/>
          <w:numId w:val="2"/>
        </w:numPr>
        <w:spacing w:after="60"/>
      </w:pPr>
      <w:r>
        <w:rPr>
          <w:rFonts w:ascii="Calibri" w:cs="Calibri" w:eastAsia="Calibri" w:hAnsi="Calibri"/>
          <w:sz w:val="22"/>
          <w:szCs w:val="22"/>
        </w:rPr>
        <w:t xml:space="preserve">Git history provides audit trail of all infrastructure changes</w:t>
      </w:r>
    </w:p>
    <w:p>
      <w:pPr>
        <w:pStyle w:val="Heading2"/>
        <w:spacing w:after="120" w:before="240"/>
      </w:pPr>
      <w:r>
        <w:rPr>
          <w:rFonts w:ascii="Calibri" w:cs="Calibri" w:eastAsia="Calibri" w:hAnsi="Calibri"/>
          <w:b/>
          <w:bCs/>
          <w:color w:val="2E75B6"/>
          <w:sz w:val="28"/>
          <w:szCs w:val="28"/>
        </w:rPr>
        <w:t xml:space="preserve">§164.530(j)(2) Six-year retention</w:t>
      </w:r>
    </w:p>
    <w:p>
      <w:pPr>
        <w:spacing w:after="120"/>
        <w:jc w:val="left"/>
      </w:pPr>
      <w:r>
        <w:rPr>
          <w:rFonts w:ascii="Calibri" w:cs="Calibri" w:eastAsia="Calibri" w:hAnsi="Calibri"/>
          <w:b w:val="false"/>
          <w:bCs w:val="false"/>
          <w:i w:val="false"/>
          <w:iCs w:val="false"/>
          <w:color w:val="000000"/>
          <w:sz w:val="22"/>
          <w:szCs w:val="22"/>
        </w:rPr>
        <w:t xml:space="preserve">All PHI-bearing audit logs retain for 7 years (2557 days):</w:t>
      </w:r>
    </w:p>
    <w:p>
      <w:pPr>
        <w:pStyle w:val="ListParagraph"/>
        <w:numPr>
          <w:ilvl w:val="0"/>
          <w:numId w:val="2"/>
        </w:numPr>
        <w:spacing w:after="60"/>
      </w:pPr>
      <w:r>
        <w:rPr>
          <w:rFonts w:ascii="Calibri" w:cs="Calibri" w:eastAsia="Calibri" w:hAnsi="Calibri"/>
          <w:sz w:val="22"/>
          <w:szCs w:val="22"/>
        </w:rPr>
        <w:t xml:space="preserve">/ecs/${env}-app (Spring Boot logs)</w:t>
      </w:r>
    </w:p>
    <w:p>
      <w:pPr>
        <w:pStyle w:val="ListParagraph"/>
        <w:numPr>
          <w:ilvl w:val="0"/>
          <w:numId w:val="2"/>
        </w:numPr>
        <w:spacing w:after="60"/>
      </w:pPr>
      <w:r>
        <w:rPr>
          <w:rFonts w:ascii="Calibri" w:cs="Calibri" w:eastAsia="Calibri" w:hAnsi="Calibri"/>
          <w:sz w:val="22"/>
          <w:szCs w:val="22"/>
        </w:rPr>
        <w:t xml:space="preserve">/aws/bedrock/vocuone-invocations (LLM input/output)</w:t>
      </w:r>
    </w:p>
    <w:p>
      <w:pPr>
        <w:pStyle w:val="ListParagraph"/>
        <w:numPr>
          <w:ilvl w:val="0"/>
          <w:numId w:val="2"/>
        </w:numPr>
        <w:spacing w:after="60"/>
      </w:pPr>
      <w:r>
        <w:rPr>
          <w:rFonts w:ascii="Calibri" w:cs="Calibri" w:eastAsia="Calibri" w:hAnsi="Calibri"/>
          <w:sz w:val="22"/>
          <w:szCs w:val="22"/>
        </w:rPr>
        <w:t xml:space="preserve">/aws/rds/instance/${env}-db/postgresql (DB audit)</w:t>
      </w:r>
    </w:p>
    <w:p>
      <w:pPr>
        <w:pStyle w:val="ListParagraph"/>
        <w:numPr>
          <w:ilvl w:val="0"/>
          <w:numId w:val="2"/>
        </w:numPr>
        <w:spacing w:after="60"/>
      </w:pPr>
      <w:r>
        <w:rPr>
          <w:rFonts w:ascii="Calibri" w:cs="Calibri" w:eastAsia="Calibri" w:hAnsi="Calibri"/>
          <w:sz w:val="22"/>
          <w:szCs w:val="22"/>
        </w:rPr>
        <w:t xml:space="preserve">/aws/rds/instance/${env}-db/upgrade</w:t>
      </w:r>
    </w:p>
    <w:p>
      <w:pPr>
        <w:pStyle w:val="ListParagraph"/>
        <w:numPr>
          <w:ilvl w:val="0"/>
          <w:numId w:val="2"/>
        </w:numPr>
        <w:spacing w:after="60"/>
      </w:pPr>
      <w:r>
        <w:rPr>
          <w:rFonts w:ascii="Calibri" w:cs="Calibri" w:eastAsia="Calibri" w:hAnsi="Calibri"/>
          <w:sz w:val="22"/>
          <w:szCs w:val="22"/>
        </w:rPr>
        <w:t xml:space="preserve">CloudTrail logs (S3, no expiry)</w:t>
      </w:r>
    </w:p>
    <w:p>
      <w:pPr>
        <w:spacing w:after="120"/>
        <w:jc w:val="left"/>
      </w:pPr>
      <w:r>
        <w:rPr>
          <w:rFonts w:ascii="Calibri" w:cs="Calibri" w:eastAsia="Calibri" w:hAnsi="Calibri"/>
          <w:b w:val="false"/>
          <w:bCs w:val="false"/>
          <w:i/>
          <w:iCs/>
          <w:color w:val="000000"/>
          <w:sz w:val="22"/>
          <w:szCs w:val="22"/>
        </w:rPr>
        <w:t xml:space="preserve">Non-PHI audit logs (VPC flow logs, CloudTrail CWL tail) retain 365 days, as they contain network metadata only, not PHI.</w:t>
      </w:r>
    </w:p>
    <w:p>
      <w:pPr>
        <w:pStyle w:val="Heading1"/>
        <w:spacing w:after="180" w:before="360"/>
      </w:pPr>
      <w:r>
        <w:rPr>
          <w:rFonts w:ascii="Calibri" w:cs="Calibri" w:eastAsia="Calibri" w:hAnsi="Calibri"/>
          <w:b/>
          <w:bCs/>
          <w:color w:val="2E75B6"/>
          <w:sz w:val="36"/>
          <w:szCs w:val="36"/>
        </w:rPr>
        <w:t xml:space="preserve">10. Continuous Compliance Verification</w:t>
      </w:r>
    </w:p>
    <w:p>
      <w:pPr>
        <w:pStyle w:val="Heading2"/>
        <w:spacing w:after="120" w:before="240"/>
      </w:pPr>
      <w:r>
        <w:rPr>
          <w:rFonts w:ascii="Calibri" w:cs="Calibri" w:eastAsia="Calibri" w:hAnsi="Calibri"/>
          <w:b/>
          <w:bCs/>
          <w:color w:val="2E75B6"/>
          <w:sz w:val="28"/>
          <w:szCs w:val="28"/>
        </w:rPr>
        <w:t xml:space="preserve">scripts/hipaa-encryption-audit.sh</w:t>
      </w:r>
    </w:p>
    <w:p>
      <w:pPr>
        <w:spacing w:after="120"/>
        <w:jc w:val="left"/>
      </w:pPr>
      <w:r>
        <w:rPr>
          <w:rFonts w:ascii="Calibri" w:cs="Calibri" w:eastAsia="Calibri" w:hAnsi="Calibri"/>
          <w:b w:val="false"/>
          <w:bCs w:val="false"/>
          <w:i w:val="false"/>
          <w:iCs w:val="false"/>
          <w:color w:val="000000"/>
          <w:sz w:val="22"/>
          <w:szCs w:val="22"/>
        </w:rPr>
        <w:t xml:space="preserve">A self-service audit script in the repository enumerates every PHI-handling resource and verifies its encryption state. Usage:</w:t>
      </w:r>
    </w:p>
    <w:p>
      <w:pPr>
        <w:shd w:fill="F2F2F2" w:val="clear"/>
        <w:spacing w:after="80"/>
      </w:pPr>
      <w:r>
        <w:rPr>
          <w:rFonts w:ascii="Consolas" w:cs="Consolas" w:eastAsia="Consolas" w:hAnsi="Consolas"/>
          <w:sz w:val="18"/>
          <w:szCs w:val="18"/>
        </w:rPr>
        <w:t xml:space="preserve">bash scripts/hipaa-encryption-audit.sh stage    # or prod</w:t>
      </w:r>
    </w:p>
    <w:p>
      <w:pPr>
        <w:spacing w:after="80"/>
      </w:pPr>
      <w:r>
        <w:rPr>
          <w:rFonts w:ascii="Calibri" w:cs="Calibri" w:eastAsia="Calibri" w:hAnsi="Calibri"/>
          <w:sz w:val="22"/>
          <w:szCs w:val="22"/>
        </w:rPr>
        <w:t xml:space="preserve"> </w:t>
      </w:r>
    </w:p>
    <w:p>
      <w:pPr>
        <w:spacing w:after="120"/>
        <w:jc w:val="left"/>
      </w:pPr>
      <w:r>
        <w:rPr>
          <w:rFonts w:ascii="Calibri" w:cs="Calibri" w:eastAsia="Calibri" w:hAnsi="Calibri"/>
          <w:b w:val="false"/>
          <w:bCs w:val="false"/>
          <w:i w:val="false"/>
          <w:iCs w:val="false"/>
          <w:color w:val="000000"/>
          <w:sz w:val="22"/>
          <w:szCs w:val="22"/>
        </w:rPr>
        <w:t xml:space="preserve">The script checks:</w:t>
      </w:r>
    </w:p>
    <w:p>
      <w:pPr>
        <w:pStyle w:val="ListParagraph"/>
        <w:numPr>
          <w:ilvl w:val="0"/>
          <w:numId w:val="2"/>
        </w:numPr>
        <w:spacing w:after="60"/>
      </w:pPr>
      <w:r>
        <w:rPr>
          <w:rFonts w:ascii="Calibri" w:cs="Calibri" w:eastAsia="Calibri" w:hAnsi="Calibri"/>
          <w:sz w:val="22"/>
          <w:szCs w:val="22"/>
        </w:rPr>
        <w:t xml:space="preserve">RDS storage, Performance Insights, snapshots, in-transit TLS (rds.force_ssl)</w:t>
      </w:r>
    </w:p>
    <w:p>
      <w:pPr>
        <w:pStyle w:val="ListParagraph"/>
        <w:numPr>
          <w:ilvl w:val="0"/>
          <w:numId w:val="2"/>
        </w:numPr>
        <w:spacing w:after="60"/>
      </w:pPr>
      <w:r>
        <w:rPr>
          <w:rFonts w:ascii="Calibri" w:cs="Calibri" w:eastAsia="Calibri" w:hAnsi="Calibri"/>
          <w:sz w:val="22"/>
          <w:szCs w:val="22"/>
        </w:rPr>
        <w:t xml:space="preserve">S3 buckets matching ${project}-${env}-*</w:t>
      </w:r>
    </w:p>
    <w:p>
      <w:pPr>
        <w:pStyle w:val="ListParagraph"/>
        <w:numPr>
          <w:ilvl w:val="0"/>
          <w:numId w:val="2"/>
        </w:numPr>
        <w:spacing w:after="60"/>
      </w:pPr>
      <w:r>
        <w:rPr>
          <w:rFonts w:ascii="Calibri" w:cs="Calibri" w:eastAsia="Calibri" w:hAnsi="Calibri"/>
          <w:sz w:val="22"/>
          <w:szCs w:val="22"/>
        </w:rPr>
        <w:t xml:space="preserve">EBS volumes attached to ECS instances</w:t>
      </w:r>
    </w:p>
    <w:p>
      <w:pPr>
        <w:pStyle w:val="ListParagraph"/>
        <w:numPr>
          <w:ilvl w:val="0"/>
          <w:numId w:val="2"/>
        </w:numPr>
        <w:spacing w:after="60"/>
      </w:pPr>
      <w:r>
        <w:rPr>
          <w:rFonts w:ascii="Calibri" w:cs="Calibri" w:eastAsia="Calibri" w:hAnsi="Calibri"/>
          <w:sz w:val="22"/>
          <w:szCs w:val="22"/>
        </w:rPr>
        <w:t xml:space="preserve">CloudWatch Log Groups (encryption + 7-year retention for PHI groups)</w:t>
      </w:r>
    </w:p>
    <w:p>
      <w:pPr>
        <w:pStyle w:val="ListParagraph"/>
        <w:numPr>
          <w:ilvl w:val="0"/>
          <w:numId w:val="2"/>
        </w:numPr>
        <w:spacing w:after="60"/>
      </w:pPr>
      <w:r>
        <w:rPr>
          <w:rFonts w:ascii="Calibri" w:cs="Calibri" w:eastAsia="Calibri" w:hAnsi="Calibri"/>
          <w:sz w:val="22"/>
          <w:szCs w:val="22"/>
        </w:rPr>
        <w:t xml:space="preserve">CloudTrail (encryption, log validation)</w:t>
      </w:r>
    </w:p>
    <w:p>
      <w:pPr>
        <w:pStyle w:val="ListParagraph"/>
        <w:numPr>
          <w:ilvl w:val="0"/>
          <w:numId w:val="2"/>
        </w:numPr>
        <w:spacing w:after="60"/>
      </w:pPr>
      <w:r>
        <w:rPr>
          <w:rFonts w:ascii="Calibri" w:cs="Calibri" w:eastAsia="Calibri" w:hAnsi="Calibri"/>
          <w:sz w:val="22"/>
          <w:szCs w:val="22"/>
        </w:rPr>
        <w:t xml:space="preserve">Secrets Manager (encryption presence)</w:t>
      </w:r>
    </w:p>
    <w:p>
      <w:pPr>
        <w:pStyle w:val="ListParagraph"/>
        <w:numPr>
          <w:ilvl w:val="0"/>
          <w:numId w:val="2"/>
        </w:numPr>
        <w:spacing w:after="60"/>
      </w:pPr>
      <w:r>
        <w:rPr>
          <w:rFonts w:ascii="Calibri" w:cs="Calibri" w:eastAsia="Calibri" w:hAnsi="Calibri"/>
          <w:sz w:val="22"/>
          <w:szCs w:val="22"/>
        </w:rPr>
        <w:t xml:space="preserve">ALB listeners (HTTPS / redirect / WAF-gated HTTP)</w:t>
      </w:r>
    </w:p>
    <w:p>
      <w:pPr>
        <w:pStyle w:val="ListParagraph"/>
        <w:numPr>
          <w:ilvl w:val="0"/>
          <w:numId w:val="2"/>
        </w:numPr>
        <w:spacing w:after="60"/>
      </w:pPr>
      <w:r>
        <w:rPr>
          <w:rFonts w:ascii="Calibri" w:cs="Calibri" w:eastAsia="Calibri" w:hAnsi="Calibri"/>
          <w:sz w:val="22"/>
          <w:szCs w:val="22"/>
        </w:rPr>
        <w:t xml:space="preserve">CloudFront (TLS minimum version, viewer protocol policy)</w:t>
      </w:r>
    </w:p>
    <w:p>
      <w:pPr>
        <w:pStyle w:val="ListParagraph"/>
        <w:numPr>
          <w:ilvl w:val="0"/>
          <w:numId w:val="2"/>
        </w:numPr>
        <w:spacing w:after="60"/>
      </w:pPr>
      <w:r>
        <w:rPr>
          <w:rFonts w:ascii="Calibri" w:cs="Calibri" w:eastAsia="Calibri" w:hAnsi="Calibri"/>
          <w:sz w:val="22"/>
          <w:szCs w:val="22"/>
        </w:rPr>
        <w:t xml:space="preserve">Bedrock invocation logging (encryption + retention)</w:t>
      </w:r>
    </w:p>
    <w:p>
      <w:pPr>
        <w:spacing w:after="120"/>
        <w:jc w:val="left"/>
      </w:pPr>
      <w:r>
        <w:rPr>
          <w:rFonts w:ascii="Calibri" w:cs="Calibri" w:eastAsia="Calibri" w:hAnsi="Calibri"/>
          <w:b w:val="false"/>
          <w:bCs w:val="false"/>
          <w:i w:val="false"/>
          <w:iCs w:val="false"/>
          <w:color w:val="000000"/>
          <w:sz w:val="22"/>
          <w:szCs w:val="22"/>
        </w:rPr>
        <w:t xml:space="preserve">Exit code is non-zero if any check fails, suitable for periodic CI verification.</w:t>
      </w:r>
    </w:p>
    <w:p>
      <w:pPr>
        <w:pStyle w:val="Heading2"/>
        <w:spacing w:after="120" w:before="240"/>
      </w:pPr>
      <w:r>
        <w:rPr>
          <w:rFonts w:ascii="Calibri" w:cs="Calibri" w:eastAsia="Calibri" w:hAnsi="Calibri"/>
          <w:b/>
          <w:bCs/>
          <w:color w:val="2E75B6"/>
          <w:sz w:val="28"/>
          <w:szCs w:val="28"/>
        </w:rPr>
        <w:t xml:space="preserve">Active monitoring (CloudWatch alarms → SNS →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Alarm category</w:t>
            </w:r>
          </w:p>
        </w:tc>
        <w:tc>
          <w:tcPr>
            <w:tcW w:type="dxa" w:w="30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Source</w:t>
            </w:r>
          </w:p>
        </w:tc>
        <w:tc>
          <w:tcPr>
            <w:tcW w:type="dxa" w:w="33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Code reference</w:t>
            </w:r>
          </w:p>
        </w:tc>
      </w:tr>
      <w:tr>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ECS CPU/Memory</w:t>
            </w:r>
          </w:p>
        </w:tc>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AWS/ECS metrics</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Backend HTTP 5xx (target + ELB layer)</w:t>
            </w:r>
          </w:p>
        </w:tc>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AWS/ApplicationELB metrics</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deployments/ecs/${env}/backend-health-alarms.tf</w:t>
            </w:r>
          </w:p>
        </w:tc>
      </w:tr>
      <w:tr>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Synthetics canary failure</w:t>
            </w:r>
          </w:p>
        </w:tc>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CloudWatchSynthetics SuccessPercent</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modules/synthetics/main.tf</w:t>
            </w:r>
          </w:p>
        </w:tc>
      </w:tr>
      <w:tr>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Bedrock invocation rate, latency p95, throttling, errors</w:t>
            </w:r>
          </w:p>
        </w:tc>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AWS/Bedrock metrics</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deployments/ecs/${env}/observability-alarms.tf</w:t>
            </w:r>
          </w:p>
        </w:tc>
      </w:tr>
      <w:tr>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AI call error rate (app-level metric filter)</w:t>
            </w:r>
          </w:p>
        </w:tc>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metric filter</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deployments/ecs/${env}/observability-alarms.tf</w:t>
            </w:r>
          </w:p>
        </w:tc>
      </w:tr>
      <w:tr>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performance (planned)</w:t>
            </w:r>
          </w:p>
        </w:tc>
        <w:tc>
          <w:tcPr>
            <w:tcW w:type="dxa" w:w="3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AWS/RDS metrics</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To be added</w:t>
            </w:r>
          </w:p>
        </w:tc>
      </w:tr>
    </w:tbl>
    <w:p>
      <w:pPr>
        <w:pStyle w:val="Heading1"/>
        <w:pageBreakBefore/>
        <w:spacing w:after="180" w:before="360"/>
      </w:pPr>
      <w:r>
        <w:rPr>
          <w:rFonts w:ascii="Calibri" w:cs="Calibri" w:eastAsia="Calibri" w:hAnsi="Calibri"/>
          <w:b/>
          <w:bCs/>
          <w:color w:val="2E75B6"/>
          <w:sz w:val="36"/>
          <w:szCs w:val="36"/>
        </w:rPr>
        <w:t xml:space="preserve">11. Known Gaps and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360"/>
        <w:gridCol w:w="1600"/>
        <w:gridCol w:w="1000"/>
        <w:gridCol w:w="1200"/>
        <w:gridCol w:w="1800"/>
      </w:tblGrid>
      <w:tr>
        <w:trPr>
          <w:tblHeader/>
        </w:trPr>
        <w:tc>
          <w:tcPr>
            <w:tcW w:type="dxa" w:w="4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w:t>
            </w:r>
          </w:p>
        </w:tc>
        <w:tc>
          <w:tcPr>
            <w:tcW w:type="dxa" w:w="33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Item</w:t>
            </w:r>
          </w:p>
        </w:tc>
        <w:tc>
          <w:tcPr>
            <w:tcW w:type="dxa" w:w="16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HIPAA citation</w:t>
            </w:r>
          </w:p>
        </w:tc>
        <w:tc>
          <w:tcPr>
            <w:tcW w:type="dxa" w:w="10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Severity</w:t>
            </w:r>
          </w:p>
        </w:tc>
        <w:tc>
          <w:tcPr>
            <w:tcW w:type="dxa" w:w="12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Status</w:t>
            </w:r>
          </w:p>
        </w:tc>
        <w:tc>
          <w:tcPr>
            <w:tcW w:type="dxa" w:w="18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Target</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Replace vocuone-prod-developer + vocuone-stage-developer long-lived IAM users with federated SSO / OIDC short-lived credentials</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§164.308(a)(4)</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Medium</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Planned</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Before prod cutover with hospital customers</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Tighten CI/CD policy from &lt;service&gt;:* + Resource = "*" to per-resource scoping</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§164.308(a)(4) (defense-in-depth)</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Low</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Planned</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Q3 follow-up sprint</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3</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Pin transcribe:* and comprehendmedical:* task-role permissions to specific output ARN</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§164.308(a)(4)</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Low</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Planned</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Same sprint as #2</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4</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Pin RDS rds-db:connect to specific dbuser instead of dbuser:*/*</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§164.308(a)(4)</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Low</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Planned</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Same sprint as #2</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5</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Enable AWS Config for continuous compliance recording</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§164.308(a)(1)(ii)(D)</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Low</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Recommended</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Backlog</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6</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Formalize incident response runbook in runbooks/incident-response.md</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§164.308(a)(6)</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Low</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Planned</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Q3</w:t>
            </w:r>
          </w:p>
        </w:tc>
      </w:tr>
      <w:tr>
        <w:tc>
          <w:tcPr>
            <w:tcW w:type="dxa" w:w="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7</w:t>
            </w:r>
          </w:p>
        </w:tc>
        <w:tc>
          <w:tcPr>
            <w:tcW w:type="dxa" w:w="33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Annual third-party HIPAA assessment engagement</w:t>
            </w:r>
          </w:p>
        </w:tc>
        <w:tc>
          <w:tcPr>
            <w:tcW w:type="dxa" w:w="1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§164.308(a)(8)</w:t>
            </w:r>
          </w:p>
        </w:tc>
        <w:tc>
          <w:tcPr>
            <w:tcW w:type="dxa" w:w="1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Recommended</w:t>
            </w:r>
          </w:p>
        </w:tc>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Pending leadership decision</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TBD</w:t>
            </w:r>
          </w:p>
        </w:tc>
      </w:tr>
    </w:tbl>
    <w:p>
      <w:pPr>
        <w:spacing w:after="80"/>
      </w:pPr>
      <w:r>
        <w:rPr>
          <w:rFonts w:ascii="Calibri" w:cs="Calibri" w:eastAsia="Calibri" w:hAnsi="Calibri"/>
          <w:sz w:val="22"/>
          <w:szCs w:val="22"/>
        </w:rPr>
        <w:t xml:space="preserve"> </w:t>
      </w:r>
    </w:p>
    <w:p>
      <w:pPr>
        <w:spacing w:after="120"/>
        <w:jc w:val="left"/>
      </w:pPr>
      <w:r>
        <w:rPr>
          <w:rFonts w:ascii="Calibri" w:cs="Calibri" w:eastAsia="Calibri" w:hAnsi="Calibri"/>
          <w:b w:val="false"/>
          <w:bCs w:val="false"/>
          <w:i w:val="false"/>
          <w:iCs w:val="false"/>
          <w:color w:val="000000"/>
          <w:sz w:val="22"/>
          <w:szCs w:val="22"/>
        </w:rPr>
        <w:t xml:space="preserve">None of the gaps prevent BAA-bar compliance per the AWS HIPAA Shared Responsibility Model. Items 1–4 are tracked for hardening prior to onboarding the first hospital / insurer customer who issues a security questionnaire.</w:t>
      </w:r>
    </w:p>
    <w:p>
      <w:pPr>
        <w:pStyle w:val="Heading1"/>
        <w:spacing w:after="180" w:before="360"/>
      </w:pPr>
      <w:r>
        <w:rPr>
          <w:rFonts w:ascii="Calibri" w:cs="Calibri" w:eastAsia="Calibri" w:hAnsi="Calibri"/>
          <w:b/>
          <w:bCs/>
          <w:color w:val="2E75B6"/>
          <w:sz w:val="36"/>
          <w:szCs w:val="36"/>
        </w:rPr>
        <w:t xml:space="preserve">12. Cryptographic Key Inventory</w:t>
      </w:r>
    </w:p>
    <w:p>
      <w:pPr>
        <w:spacing w:after="120"/>
        <w:jc w:val="left"/>
      </w:pPr>
      <w:r>
        <w:rPr>
          <w:rFonts w:ascii="Calibri" w:cs="Calibri" w:eastAsia="Calibri" w:hAnsi="Calibri"/>
          <w:b w:val="false"/>
          <w:bCs w:val="false"/>
          <w:i w:val="false"/>
          <w:iCs w:val="false"/>
          <w:color w:val="000000"/>
          <w:sz w:val="22"/>
          <w:szCs w:val="22"/>
        </w:rPr>
        <w:t xml:space="preserve">All Customer Master Keys (CMKs) used to protect PHI, with rotation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Key alias</w:t>
            </w:r>
          </w:p>
        </w:tc>
        <w:tc>
          <w:tcPr>
            <w:tcW w:type="dxa" w:w="36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Purpose</w:t>
            </w:r>
          </w:p>
        </w:tc>
        <w:tc>
          <w:tcPr>
            <w:tcW w:type="dxa" w:w="25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Code reference</w:t>
            </w:r>
          </w:p>
        </w:tc>
      </w:tr>
      <w:tr>
        <w:tc>
          <w:tcPr>
            <w:tcW w:type="dxa" w:w="3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alias/vocuone-${env}-logs</w:t>
            </w:r>
          </w:p>
        </w:tc>
        <w:tc>
          <w:tcPr>
            <w:tcW w:type="dxa" w:w="3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CloudWatch Logs, CloudTrail, SNS, EBS, ECR image</w:t>
            </w:r>
          </w:p>
        </w:tc>
        <w:tc>
          <w:tcPr>
            <w:tcW w:type="dxa" w:w="25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3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alias/vocuone-${env}-rds</w:t>
            </w:r>
          </w:p>
        </w:tc>
        <w:tc>
          <w:tcPr>
            <w:tcW w:type="dxa" w:w="3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RDS storage, Performance Insights</w:t>
            </w:r>
          </w:p>
        </w:tc>
        <w:tc>
          <w:tcPr>
            <w:tcW w:type="dxa" w:w="25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3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alias/vocuone-${env}-secrets</w:t>
            </w:r>
          </w:p>
        </w:tc>
        <w:tc>
          <w:tcPr>
            <w:tcW w:type="dxa" w:w="3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Secrets Manager (PHI-related secrets)</w:t>
            </w:r>
          </w:p>
        </w:tc>
        <w:tc>
          <w:tcPr>
            <w:tcW w:type="dxa" w:w="25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3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alias/vocuone-${env}-ecr</w:t>
            </w:r>
          </w:p>
        </w:tc>
        <w:tc>
          <w:tcPr>
            <w:tcW w:type="dxa" w:w="3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ECR image encryption</w:t>
            </w:r>
          </w:p>
        </w:tc>
        <w:tc>
          <w:tcPr>
            <w:tcW w:type="dxa" w:w="25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3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alias/vocuone-${env}-backup</w:t>
            </w:r>
          </w:p>
        </w:tc>
        <w:tc>
          <w:tcPr>
            <w:tcW w:type="dxa" w:w="3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AWS Backup vault</w:t>
            </w:r>
          </w:p>
        </w:tc>
        <w:tc>
          <w:tcPr>
            <w:tcW w:type="dxa" w:w="25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deployments/ecs/${env}/main.tf</w:t>
            </w:r>
          </w:p>
        </w:tc>
      </w:tr>
      <w:tr>
        <w:tc>
          <w:tcPr>
            <w:tcW w:type="dxa" w:w="3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alias/vocuone-bedrock-invocations</w:t>
            </w:r>
          </w:p>
        </w:tc>
        <w:tc>
          <w:tcPr>
            <w:tcW w:type="dxa" w:w="36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Bedrock invocation log group (account-wide singleton)</w:t>
            </w:r>
          </w:p>
        </w:tc>
        <w:tc>
          <w:tcPr>
            <w:tcW w:type="dxa" w:w="25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deployments/shared/bedrock-logging/main.tf</w:t>
            </w:r>
          </w:p>
        </w:tc>
      </w:tr>
    </w:tbl>
    <w:p>
      <w:pPr>
        <w:spacing w:after="80"/>
      </w:pPr>
      <w:r>
        <w:rPr>
          <w:rFonts w:ascii="Calibri" w:cs="Calibri" w:eastAsia="Calibri" w:hAnsi="Calibri"/>
          <w:sz w:val="22"/>
          <w:szCs w:val="22"/>
        </w:rPr>
        <w:t xml:space="preserve"> </w:t>
      </w:r>
    </w:p>
    <w:p>
      <w:pPr>
        <w:spacing w:after="120"/>
        <w:jc w:val="left"/>
      </w:pPr>
      <w:r>
        <w:rPr>
          <w:rFonts w:ascii="Calibri" w:cs="Calibri" w:eastAsia="Calibri" w:hAnsi="Calibri"/>
          <w:b w:val="false"/>
          <w:bCs w:val="false"/>
          <w:i w:val="false"/>
          <w:iCs w:val="false"/>
          <w:color w:val="000000"/>
          <w:sz w:val="22"/>
          <w:szCs w:val="22"/>
        </w:rPr>
        <w:t xml:space="preserve">All keys have enable_key_rotation = true (annual automatic AWS key rotation) and deletion_window_in_days = 30 (no accidental immediate deletion).</w:t>
      </w:r>
    </w:p>
    <w:p>
      <w:pPr>
        <w:pStyle w:val="Heading1"/>
        <w:pageBreakBefore/>
        <w:spacing w:after="180" w:before="360"/>
      </w:pPr>
      <w:r>
        <w:rPr>
          <w:rFonts w:ascii="Calibri" w:cs="Calibri" w:eastAsia="Calibri" w:hAnsi="Calibri"/>
          <w:b/>
          <w:bCs/>
          <w:color w:val="2E75B6"/>
          <w:sz w:val="36"/>
          <w:szCs w:val="36"/>
        </w:rPr>
        <w:t xml:space="preserve">13. Acceptance and Sign-off</w:t>
      </w:r>
    </w:p>
    <w:p>
      <w:pPr>
        <w:spacing w:after="120"/>
        <w:jc w:val="left"/>
      </w:pPr>
      <w:r>
        <w:rPr>
          <w:rFonts w:ascii="Calibri" w:cs="Calibri" w:eastAsia="Calibri" w:hAnsi="Calibri"/>
          <w:b w:val="false"/>
          <w:bCs w:val="false"/>
          <w:i w:val="false"/>
          <w:iCs w:val="false"/>
          <w:color w:val="000000"/>
          <w:sz w:val="22"/>
          <w:szCs w:val="22"/>
        </w:rPr>
        <w:t xml:space="preserve">This document attests that the AWS infrastructure described herein has been designed and implemented to comply with the HIPAA Security Rule (45 CFR Part 164, Subpart C). The undersigned acknowledges:</w:t>
      </w:r>
    </w:p>
    <w:p>
      <w:pPr>
        <w:pStyle w:val="ListParagraph"/>
        <w:numPr>
          <w:ilvl w:val="0"/>
          <w:numId w:val="2"/>
        </w:numPr>
        <w:spacing w:after="60"/>
      </w:pPr>
      <w:r>
        <w:rPr>
          <w:rFonts w:ascii="Calibri" w:cs="Calibri" w:eastAsia="Calibri" w:hAnsi="Calibri"/>
          <w:sz w:val="22"/>
          <w:szCs w:val="22"/>
        </w:rPr>
        <w:t xml:space="preserve">1. The implementation of administrative, physical, and technical safeguards as described</w:t>
      </w:r>
    </w:p>
    <w:p>
      <w:pPr>
        <w:pStyle w:val="ListParagraph"/>
        <w:numPr>
          <w:ilvl w:val="0"/>
          <w:numId w:val="2"/>
        </w:numPr>
        <w:spacing w:after="60"/>
      </w:pPr>
      <w:r>
        <w:rPr>
          <w:rFonts w:ascii="Calibri" w:cs="Calibri" w:eastAsia="Calibri" w:hAnsi="Calibri"/>
          <w:sz w:val="22"/>
          <w:szCs w:val="22"/>
        </w:rPr>
        <w:t xml:space="preserve">2. The signed AWS Business Associate Addendum covering all HIPAA-eligible services in use</w:t>
      </w:r>
    </w:p>
    <w:p>
      <w:pPr>
        <w:pStyle w:val="ListParagraph"/>
        <w:numPr>
          <w:ilvl w:val="0"/>
          <w:numId w:val="2"/>
        </w:numPr>
        <w:spacing w:after="60"/>
      </w:pPr>
      <w:r>
        <w:rPr>
          <w:rFonts w:ascii="Calibri" w:cs="Calibri" w:eastAsia="Calibri" w:hAnsi="Calibri"/>
          <w:sz w:val="22"/>
          <w:szCs w:val="22"/>
        </w:rPr>
        <w:t xml:space="preserve">3. The known gaps listed in §11 and the remediation timeline</w:t>
      </w:r>
    </w:p>
    <w:p>
      <w:pPr>
        <w:pStyle w:val="ListParagraph"/>
        <w:numPr>
          <w:ilvl w:val="0"/>
          <w:numId w:val="2"/>
        </w:numPr>
        <w:spacing w:after="60"/>
      </w:pPr>
      <w:r>
        <w:rPr>
          <w:rFonts w:ascii="Calibri" w:cs="Calibri" w:eastAsia="Calibri" w:hAnsi="Calibri"/>
          <w:sz w:val="22"/>
          <w:szCs w:val="22"/>
        </w:rPr>
        <w:t xml:space="preserve">4. The continuous verification mechanisms (audit script, CloudWatch alarms) that ensure ongoing compliance</w:t>
      </w:r>
    </w:p>
    <w:p>
      <w:pPr>
        <w:pStyle w:val="ListParagraph"/>
        <w:numPr>
          <w:ilvl w:val="0"/>
          <w:numId w:val="2"/>
        </w:numPr>
        <w:spacing w:after="60"/>
      </w:pPr>
      <w:r>
        <w:rPr>
          <w:rFonts w:ascii="Calibri" w:cs="Calibri" w:eastAsia="Calibri" w:hAnsi="Calibri"/>
          <w:sz w:val="22"/>
          <w:szCs w:val="22"/>
        </w:rPr>
        <w:t xml:space="preserve">5. The commitment to update this document with material changes to the infrastructure</w:t>
      </w:r>
    </w:p>
    <w:p>
      <w:pPr>
        <w:spacing w:after="80"/>
      </w:pPr>
      <w:r>
        <w:rPr>
          <w:rFonts w:ascii="Calibri" w:cs="Calibri" w:eastAsia="Calibri" w:hAnsi="Calibri"/>
          <w:sz w:val="22"/>
          <w:szCs w:val="22"/>
        </w:rPr>
        <w:t xml:space="preserve"> </w:t>
      </w:r>
    </w:p>
    <w:p>
      <w:pPr>
        <w:spacing w:after="80"/>
      </w:pPr>
      <w:r>
        <w:rPr>
          <w:rFonts w:ascii="Calibri" w:cs="Calibri" w:eastAsia="Calibri" w:hAnsi="Calibri"/>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60"/>
        <w:gridCol w:w="2400"/>
        <w:gridCol w:w="2000"/>
      </w:tblGrid>
      <w:tr>
        <w:trPr>
          <w:tblHeader/>
        </w:trPr>
        <w:tc>
          <w:tcPr>
            <w:tcW w:type="dxa" w:w="28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Role</w:t>
            </w:r>
          </w:p>
        </w:tc>
        <w:tc>
          <w:tcPr>
            <w:tcW w:type="dxa" w:w="21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Name</w:t>
            </w:r>
          </w:p>
        </w:tc>
        <w:tc>
          <w:tcPr>
            <w:tcW w:type="dxa" w:w="24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Signature</w:t>
            </w:r>
          </w:p>
        </w:tc>
        <w:tc>
          <w:tcPr>
            <w:tcW w:type="dxa" w:w="20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Date</w:t>
            </w:r>
          </w:p>
        </w:tc>
      </w:tr>
      <w:tr>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Security Officer (DevOps Lead)</w:t>
            </w:r>
          </w:p>
        </w:tc>
        <w:tc>
          <w:tcPr>
            <w:tcW w:type="dxa" w:w="21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Dhrumil Mehta</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c>
          <w:tcPr>
            <w:tcW w:type="dxa" w:w="2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r>
      <w:tr>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Privacy Officer</w:t>
            </w:r>
          </w:p>
        </w:tc>
        <w:tc>
          <w:tcPr>
            <w:tcW w:type="dxa" w:w="21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c>
          <w:tcPr>
            <w:tcW w:type="dxa" w:w="2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r>
      <w:tr>
        <w:tc>
          <w:tcPr>
            <w:tcW w:type="dxa" w:w="2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CTO / Engineering Lead</w:t>
            </w:r>
          </w:p>
        </w:tc>
        <w:tc>
          <w:tcPr>
            <w:tcW w:type="dxa" w:w="21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c>
          <w:tcPr>
            <w:tcW w:type="dxa" w:w="20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
            </w:r>
          </w:p>
        </w:tc>
      </w:tr>
    </w:tbl>
    <w:p>
      <w:pPr>
        <w:pStyle w:val="Heading1"/>
        <w:pageBreakBefore/>
        <w:spacing w:after="180" w:before="360"/>
      </w:pPr>
      <w:r>
        <w:rPr>
          <w:rFonts w:ascii="Calibri" w:cs="Calibri" w:eastAsia="Calibri" w:hAnsi="Calibri"/>
          <w:b/>
          <w:bCs/>
          <w:color w:val="2E75B6"/>
          <w:sz w:val="36"/>
          <w:szCs w:val="36"/>
        </w:rPr>
        <w:t xml:space="preserve">Appendix A — References</w:t>
      </w:r>
    </w:p>
    <w:p>
      <w:pPr>
        <w:pStyle w:val="ListParagraph"/>
        <w:numPr>
          <w:ilvl w:val="0"/>
          <w:numId w:val="2"/>
        </w:numPr>
        <w:spacing w:after="60"/>
      </w:pPr>
      <w:r>
        <w:rPr>
          <w:rFonts w:ascii="Calibri" w:cs="Calibri" w:eastAsia="Calibri" w:hAnsi="Calibri"/>
          <w:sz w:val="22"/>
          <w:szCs w:val="22"/>
        </w:rPr>
        <w:t xml:space="preserve">45 CFR §160, §162, §164 — HIPAA Administrative Simplification Rules</w:t>
      </w:r>
    </w:p>
    <w:p>
      <w:pPr>
        <w:pStyle w:val="ListParagraph"/>
        <w:numPr>
          <w:ilvl w:val="0"/>
          <w:numId w:val="2"/>
        </w:numPr>
        <w:spacing w:after="60"/>
      </w:pPr>
      <w:r>
        <w:rPr>
          <w:rFonts w:ascii="Calibri" w:cs="Calibri" w:eastAsia="Calibri" w:hAnsi="Calibri"/>
          <w:sz w:val="22"/>
          <w:szCs w:val="22"/>
        </w:rPr>
        <w:t xml:space="preserve">NIST SP 800-66 Rev. 2 — Implementing the HIPAA Security Rule</w:t>
      </w:r>
    </w:p>
    <w:p>
      <w:pPr>
        <w:pStyle w:val="ListParagraph"/>
        <w:numPr>
          <w:ilvl w:val="0"/>
          <w:numId w:val="2"/>
        </w:numPr>
        <w:spacing w:after="60"/>
      </w:pPr>
      <w:r>
        <w:rPr>
          <w:rFonts w:ascii="Calibri" w:cs="Calibri" w:eastAsia="Calibri" w:hAnsi="Calibri"/>
          <w:sz w:val="22"/>
          <w:szCs w:val="22"/>
        </w:rPr>
        <w:t xml:space="preserve">NIST SP 800-53 Rev. 5 — Security and Privacy Controls</w:t>
      </w:r>
    </w:p>
    <w:p>
      <w:pPr>
        <w:pStyle w:val="ListParagraph"/>
        <w:numPr>
          <w:ilvl w:val="0"/>
          <w:numId w:val="2"/>
        </w:numPr>
        <w:spacing w:after="60"/>
      </w:pPr>
      <w:r>
        <w:rPr>
          <w:rFonts w:ascii="Calibri" w:cs="Calibri" w:eastAsia="Calibri" w:hAnsi="Calibri"/>
          <w:sz w:val="22"/>
          <w:szCs w:val="22"/>
        </w:rPr>
        <w:t xml:space="preserve">AWS HIPAA Compliance — https://aws.amazon.com/compliance/hipaa-compliance/</w:t>
      </w:r>
    </w:p>
    <w:p>
      <w:pPr>
        <w:pStyle w:val="ListParagraph"/>
        <w:numPr>
          <w:ilvl w:val="0"/>
          <w:numId w:val="2"/>
        </w:numPr>
        <w:spacing w:after="60"/>
      </w:pPr>
      <w:r>
        <w:rPr>
          <w:rFonts w:ascii="Calibri" w:cs="Calibri" w:eastAsia="Calibri" w:hAnsi="Calibri"/>
          <w:sz w:val="22"/>
          <w:szCs w:val="22"/>
        </w:rPr>
        <w:t xml:space="preserve">AWS HIPAA Eligible Services Reference — https://aws.amazon.com/compliance/hipaa-eligible-services-reference/</w:t>
      </w:r>
    </w:p>
    <w:p>
      <w:pPr>
        <w:pStyle w:val="ListParagraph"/>
        <w:numPr>
          <w:ilvl w:val="0"/>
          <w:numId w:val="2"/>
        </w:numPr>
        <w:spacing w:after="60"/>
      </w:pPr>
      <w:r>
        <w:rPr>
          <w:rFonts w:ascii="Calibri" w:cs="Calibri" w:eastAsia="Calibri" w:hAnsi="Calibri"/>
          <w:sz w:val="22"/>
          <w:szCs w:val="22"/>
        </w:rPr>
        <w:t xml:space="preserve">AWS Architecting for HIPAA Security and Compliance Whitepaper — https://docs.aws.amazon.com/whitepapers/latest/architecting-hipaa-security-and-compliance-on-aws/</w:t>
      </w:r>
    </w:p>
    <w:p>
      <w:pPr>
        <w:pStyle w:val="ListParagraph"/>
        <w:numPr>
          <w:ilvl w:val="0"/>
          <w:numId w:val="2"/>
        </w:numPr>
        <w:spacing w:after="60"/>
      </w:pPr>
      <w:r>
        <w:rPr>
          <w:rFonts w:ascii="Calibri" w:cs="Calibri" w:eastAsia="Calibri" w:hAnsi="Calibri"/>
          <w:sz w:val="22"/>
          <w:szCs w:val="22"/>
        </w:rPr>
        <w:t xml:space="preserve">HHS Guidance on HIPAA &amp; Cloud Computing — https://www.hhs.gov/hipaa/for-professionals/special-topics/health-information-technology/cloud-computing/index.html</w:t>
      </w:r>
    </w:p>
    <w:p>
      <w:pPr>
        <w:pStyle w:val="Heading1"/>
        <w:spacing w:after="180" w:before="360"/>
      </w:pPr>
      <w:r>
        <w:rPr>
          <w:rFonts w:ascii="Calibri" w:cs="Calibri" w:eastAsia="Calibri" w:hAnsi="Calibri"/>
          <w:b/>
          <w:bCs/>
          <w:color w:val="2E75B6"/>
          <w:sz w:val="36"/>
          <w:szCs w:val="36"/>
        </w:rPr>
        <w:t xml:space="preserve">Appendix B — Repository Layout</w:t>
      </w:r>
    </w:p>
    <w:p>
      <w:pPr>
        <w:shd w:fill="F2F2F2" w:val="clear"/>
        <w:spacing w:after="80"/>
      </w:pPr>
      <w:r>
        <w:rPr>
          <w:rFonts w:ascii="Consolas" w:cs="Consolas" w:eastAsia="Consolas" w:hAnsi="Consolas"/>
          <w:sz w:val="18"/>
          <w:szCs w:val="18"/>
        </w:rPr>
        <w:t xml:space="preserve">deployments/</w:t>
      </w:r>
    </w:p>
    <w:p>
      <w:pPr>
        <w:shd w:fill="F2F2F2" w:val="clear"/>
        <w:spacing w:after="80"/>
      </w:pPr>
      <w:r>
        <w:rPr>
          <w:rFonts w:ascii="Consolas" w:cs="Consolas" w:eastAsia="Consolas" w:hAnsi="Consolas"/>
          <w:sz w:val="18"/>
          <w:szCs w:val="18"/>
        </w:rPr>
        <w:t xml:space="preserve">  ecs/{stage,prod}/                        Main application stack</w:t>
      </w:r>
    </w:p>
    <w:p>
      <w:pPr>
        <w:shd w:fill="F2F2F2" w:val="clear"/>
        <w:spacing w:after="80"/>
      </w:pPr>
      <w:r>
        <w:rPr>
          <w:rFonts w:ascii="Consolas" w:cs="Consolas" w:eastAsia="Consolas" w:hAnsi="Consolas"/>
          <w:sz w:val="18"/>
          <w:szCs w:val="18"/>
        </w:rPr>
        <w:t xml:space="preserve">    main.tf                                ECS service, KMS, ALB, RDS, CloudTrail</w:t>
      </w:r>
    </w:p>
    <w:p>
      <w:pPr>
        <w:shd w:fill="F2F2F2" w:val="clear"/>
        <w:spacing w:after="80"/>
      </w:pPr>
      <w:r>
        <w:rPr>
          <w:rFonts w:ascii="Consolas" w:cs="Consolas" w:eastAsia="Consolas" w:hAnsi="Consolas"/>
          <w:sz w:val="18"/>
          <w:szCs w:val="18"/>
        </w:rPr>
        <w:t xml:space="preserve">    backend-health-alarms.tf               ALB 5xx alarms</w:t>
      </w:r>
    </w:p>
    <w:p>
      <w:pPr>
        <w:shd w:fill="F2F2F2" w:val="clear"/>
        <w:spacing w:after="80"/>
      </w:pPr>
      <w:r>
        <w:rPr>
          <w:rFonts w:ascii="Consolas" w:cs="Consolas" w:eastAsia="Consolas" w:hAnsi="Consolas"/>
          <w:sz w:val="18"/>
          <w:szCs w:val="18"/>
        </w:rPr>
        <w:t xml:space="preserve">    observability-alarms.tf                Bedrock / AI / Comprehend alarms</w:t>
      </w:r>
    </w:p>
    <w:p>
      <w:pPr>
        <w:shd w:fill="F2F2F2" w:val="clear"/>
        <w:spacing w:after="80"/>
      </w:pPr>
      <w:r>
        <w:rPr>
          <w:rFonts w:ascii="Consolas" w:cs="Consolas" w:eastAsia="Consolas" w:hAnsi="Consolas"/>
          <w:sz w:val="18"/>
          <w:szCs w:val="18"/>
        </w:rPr>
        <w:t xml:space="preserve">  bedrock/{stage,prod}/                    Bedrock KB + Agent stack</w:t>
      </w:r>
    </w:p>
    <w:p>
      <w:pPr>
        <w:shd w:fill="F2F2F2" w:val="clear"/>
        <w:spacing w:after="80"/>
      </w:pPr>
      <w:r>
        <w:rPr>
          <w:rFonts w:ascii="Consolas" w:cs="Consolas" w:eastAsia="Consolas" w:hAnsi="Consolas"/>
          <w:sz w:val="18"/>
          <w:szCs w:val="18"/>
        </w:rPr>
        <w:t xml:space="preserve">  shared/</w:t>
      </w:r>
    </w:p>
    <w:p>
      <w:pPr>
        <w:shd w:fill="F2F2F2" w:val="clear"/>
        <w:spacing w:after="80"/>
      </w:pPr>
      <w:r>
        <w:rPr>
          <w:rFonts w:ascii="Consolas" w:cs="Consolas" w:eastAsia="Consolas" w:hAnsi="Consolas"/>
          <w:sz w:val="18"/>
          <w:szCs w:val="18"/>
        </w:rPr>
        <w:t xml:space="preserve">    iam/                                   OIDC roles, CI/CD policy</w:t>
      </w:r>
    </w:p>
    <w:p>
      <w:pPr>
        <w:shd w:fill="F2F2F2" w:val="clear"/>
        <w:spacing w:after="80"/>
      </w:pPr>
      <w:r>
        <w:rPr>
          <w:rFonts w:ascii="Consolas" w:cs="Consolas" w:eastAsia="Consolas" w:hAnsi="Consolas"/>
          <w:sz w:val="18"/>
          <w:szCs w:val="18"/>
        </w:rPr>
        <w:t xml:space="preserve">    iam-{stage,prod}/                      Developer access (remediation pending)</w:t>
      </w:r>
    </w:p>
    <w:p>
      <w:pPr>
        <w:shd w:fill="F2F2F2" w:val="clear"/>
        <w:spacing w:after="80"/>
      </w:pPr>
      <w:r>
        <w:rPr>
          <w:rFonts w:ascii="Consolas" w:cs="Consolas" w:eastAsia="Consolas" w:hAnsi="Consolas"/>
          <w:sz w:val="18"/>
          <w:szCs w:val="18"/>
        </w:rPr>
        <w:t xml:space="preserve">    bedrock-logging/                       Account-wide Bedrock invocation logging</w:t>
      </w:r>
    </w:p>
    <w:p>
      <w:pPr>
        <w:shd w:fill="F2F2F2" w:val="clear"/>
        <w:spacing w:after="80"/>
      </w:pPr>
      <w:r>
        <w:rPr>
          <w:rFonts w:ascii="Consolas" w:cs="Consolas" w:eastAsia="Consolas" w:hAnsi="Consolas"/>
          <w:sz w:val="18"/>
          <w:szCs w:val="18"/>
        </w:rPr>
        <w:t xml:space="preserve">modules/</w:t>
      </w:r>
    </w:p>
    <w:p>
      <w:pPr>
        <w:shd w:fill="F2F2F2" w:val="clear"/>
        <w:spacing w:after="80"/>
      </w:pPr>
      <w:r>
        <w:rPr>
          <w:rFonts w:ascii="Consolas" w:cs="Consolas" w:eastAsia="Consolas" w:hAnsi="Consolas"/>
          <w:sz w:val="18"/>
          <w:szCs w:val="18"/>
        </w:rPr>
        <w:t xml:space="preserve">  alb/                                     ALB + WAF gating</w:t>
      </w:r>
    </w:p>
    <w:p>
      <w:pPr>
        <w:shd w:fill="F2F2F2" w:val="clear"/>
        <w:spacing w:after="80"/>
      </w:pPr>
      <w:r>
        <w:rPr>
          <w:rFonts w:ascii="Consolas" w:cs="Consolas" w:eastAsia="Consolas" w:hAnsi="Consolas"/>
          <w:sz w:val="18"/>
          <w:szCs w:val="18"/>
        </w:rPr>
        <w:t xml:space="preserve">  bedrock-kb/                              KB + S3 buckets</w:t>
      </w:r>
    </w:p>
    <w:p>
      <w:pPr>
        <w:shd w:fill="F2F2F2" w:val="clear"/>
        <w:spacing w:after="80"/>
      </w:pPr>
      <w:r>
        <w:rPr>
          <w:rFonts w:ascii="Consolas" w:cs="Consolas" w:eastAsia="Consolas" w:hAnsi="Consolas"/>
          <w:sz w:val="18"/>
          <w:szCs w:val="18"/>
        </w:rPr>
        <w:t xml:space="preserve">  cicd/                                    CodePipeline + CodeDeploy</w:t>
      </w:r>
    </w:p>
    <w:p>
      <w:pPr>
        <w:shd w:fill="F2F2F2" w:val="clear"/>
        <w:spacing w:after="80"/>
      </w:pPr>
      <w:r>
        <w:rPr>
          <w:rFonts w:ascii="Consolas" w:cs="Consolas" w:eastAsia="Consolas" w:hAnsi="Consolas"/>
          <w:sz w:val="18"/>
          <w:szCs w:val="18"/>
        </w:rPr>
        <w:t xml:space="preserve">  cloudtrail/                              Audit trail</w:t>
      </w:r>
    </w:p>
    <w:p>
      <w:pPr>
        <w:shd w:fill="F2F2F2" w:val="clear"/>
        <w:spacing w:after="80"/>
      </w:pPr>
      <w:r>
        <w:rPr>
          <w:rFonts w:ascii="Consolas" w:cs="Consolas" w:eastAsia="Consolas" w:hAnsi="Consolas"/>
          <w:sz w:val="18"/>
          <w:szCs w:val="18"/>
        </w:rPr>
        <w:t xml:space="preserve">  codedeploy/                              Blue/green deployments</w:t>
      </w:r>
    </w:p>
    <w:p>
      <w:pPr>
        <w:shd w:fill="F2F2F2" w:val="clear"/>
        <w:spacing w:after="80"/>
      </w:pPr>
      <w:r>
        <w:rPr>
          <w:rFonts w:ascii="Consolas" w:cs="Consolas" w:eastAsia="Consolas" w:hAnsi="Consolas"/>
          <w:sz w:val="18"/>
          <w:szCs w:val="18"/>
        </w:rPr>
        <w:t xml:space="preserve">  ecs-cluster/                             ECS cluster + ASG + launch template</w:t>
      </w:r>
    </w:p>
    <w:p>
      <w:pPr>
        <w:shd w:fill="F2F2F2" w:val="clear"/>
        <w:spacing w:after="80"/>
      </w:pPr>
      <w:r>
        <w:rPr>
          <w:rFonts w:ascii="Consolas" w:cs="Consolas" w:eastAsia="Consolas" w:hAnsi="Consolas"/>
          <w:sz w:val="18"/>
          <w:szCs w:val="18"/>
        </w:rPr>
        <w:t xml:space="preserve">  ecs-service/                             ECS task definitions + IAM</w:t>
      </w:r>
    </w:p>
    <w:p>
      <w:pPr>
        <w:shd w:fill="F2F2F2" w:val="clear"/>
        <w:spacing w:after="80"/>
      </w:pPr>
      <w:r>
        <w:rPr>
          <w:rFonts w:ascii="Consolas" w:cs="Consolas" w:eastAsia="Consolas" w:hAnsi="Consolas"/>
          <w:sz w:val="18"/>
          <w:szCs w:val="18"/>
        </w:rPr>
        <w:t xml:space="preserve">  kms/                                     KMS module</w:t>
      </w:r>
    </w:p>
    <w:p>
      <w:pPr>
        <w:shd w:fill="F2F2F2" w:val="clear"/>
        <w:spacing w:after="80"/>
      </w:pPr>
      <w:r>
        <w:rPr>
          <w:rFonts w:ascii="Consolas" w:cs="Consolas" w:eastAsia="Consolas" w:hAnsi="Consolas"/>
          <w:sz w:val="18"/>
          <w:szCs w:val="18"/>
        </w:rPr>
        <w:t xml:space="preserve">  rds/                                     PostgreSQL + parameter group + log groups</w:t>
      </w:r>
    </w:p>
    <w:p>
      <w:pPr>
        <w:shd w:fill="F2F2F2" w:val="clear"/>
        <w:spacing w:after="80"/>
      </w:pPr>
      <w:r>
        <w:rPr>
          <w:rFonts w:ascii="Consolas" w:cs="Consolas" w:eastAsia="Consolas" w:hAnsi="Consolas"/>
          <w:sz w:val="18"/>
          <w:szCs w:val="18"/>
        </w:rPr>
        <w:t xml:space="preserve">  s3-frontend/                             Frontend bucket + CloudFront OAC</w:t>
      </w:r>
    </w:p>
    <w:p>
      <w:pPr>
        <w:shd w:fill="F2F2F2" w:val="clear"/>
        <w:spacing w:after="80"/>
      </w:pPr>
      <w:r>
        <w:rPr>
          <w:rFonts w:ascii="Consolas" w:cs="Consolas" w:eastAsia="Consolas" w:hAnsi="Consolas"/>
          <w:sz w:val="18"/>
          <w:szCs w:val="18"/>
        </w:rPr>
        <w:t xml:space="preserve">  security-groups/                         VPC SGs</w:t>
      </w:r>
    </w:p>
    <w:p>
      <w:pPr>
        <w:shd w:fill="F2F2F2" w:val="clear"/>
        <w:spacing w:after="80"/>
      </w:pPr>
      <w:r>
        <w:rPr>
          <w:rFonts w:ascii="Consolas" w:cs="Consolas" w:eastAsia="Consolas" w:hAnsi="Consolas"/>
          <w:sz w:val="18"/>
          <w:szCs w:val="18"/>
        </w:rPr>
        <w:t xml:space="preserve">  synthetics/                              Canary</w:t>
      </w:r>
    </w:p>
    <w:p>
      <w:pPr>
        <w:shd w:fill="F2F2F2" w:val="clear"/>
        <w:spacing w:after="80"/>
      </w:pPr>
      <w:r>
        <w:rPr>
          <w:rFonts w:ascii="Consolas" w:cs="Consolas" w:eastAsia="Consolas" w:hAnsi="Consolas"/>
          <w:sz w:val="18"/>
          <w:szCs w:val="18"/>
        </w:rPr>
        <w:t xml:space="preserve">  vpc/                                     VPC, subnets, NAT, flow logs</w:t>
      </w:r>
    </w:p>
    <w:p>
      <w:pPr>
        <w:shd w:fill="F2F2F2" w:val="clear"/>
        <w:spacing w:after="80"/>
      </w:pPr>
      <w:r>
        <w:rPr>
          <w:rFonts w:ascii="Consolas" w:cs="Consolas" w:eastAsia="Consolas" w:hAnsi="Consolas"/>
          <w:sz w:val="18"/>
          <w:szCs w:val="18"/>
        </w:rPr>
        <w:t xml:space="preserve">scripts/</w:t>
      </w:r>
    </w:p>
    <w:p>
      <w:pPr>
        <w:shd w:fill="F2F2F2" w:val="clear"/>
        <w:spacing w:after="80"/>
      </w:pPr>
      <w:r>
        <w:rPr>
          <w:rFonts w:ascii="Consolas" w:cs="Consolas" w:eastAsia="Consolas" w:hAnsi="Consolas"/>
          <w:sz w:val="18"/>
          <w:szCs w:val="18"/>
        </w:rPr>
        <w:t xml:space="preserve">  hipaa-encryption-audit.sh                Self-service compliance check</w:t>
      </w:r>
    </w:p>
    <w:p>
      <w:pPr>
        <w:shd w:fill="F2F2F2" w:val="clear"/>
        <w:spacing w:after="80"/>
      </w:pPr>
      <w:r>
        <w:rPr>
          <w:rFonts w:ascii="Consolas" w:cs="Consolas" w:eastAsia="Consolas" w:hAnsi="Consolas"/>
          <w:sz w:val="18"/>
          <w:szCs w:val="18"/>
        </w:rPr>
        <w:t xml:space="preserve">docs/</w:t>
      </w:r>
    </w:p>
    <w:p>
      <w:pPr>
        <w:shd w:fill="F2F2F2" w:val="clear"/>
        <w:spacing w:after="80"/>
      </w:pPr>
      <w:r>
        <w:rPr>
          <w:rFonts w:ascii="Consolas" w:cs="Consolas" w:eastAsia="Consolas" w:hAnsi="Consolas"/>
          <w:sz w:val="18"/>
          <w:szCs w:val="18"/>
        </w:rPr>
        <w:t xml:space="preserve">  HIPAA-COMPLIANCE.md                      Markdown source for this document</w:t>
      </w:r>
    </w:p>
    <w:p>
      <w:pPr>
        <w:shd w:fill="F2F2F2" w:val="clear"/>
        <w:spacing w:after="80"/>
      </w:pPr>
      <w:r>
        <w:rPr>
          <w:rFonts w:ascii="Consolas" w:cs="Consolas" w:eastAsia="Consolas" w:hAnsi="Consolas"/>
          <w:sz w:val="18"/>
          <w:szCs w:val="18"/>
        </w:rPr>
        <w:t xml:space="preserve">  HIPAA-COMPLIANCE.docx                    This Word document</w:t>
      </w:r>
    </w:p>
    <w:p>
      <w:pPr>
        <w:pStyle w:val="Heading1"/>
        <w:spacing w:after="180" w:before="360"/>
      </w:pPr>
      <w:r>
        <w:rPr>
          <w:rFonts w:ascii="Calibri" w:cs="Calibri" w:eastAsia="Calibri" w:hAnsi="Calibri"/>
          <w:b/>
          <w:bCs/>
          <w:color w:val="2E75B6"/>
          <w:sz w:val="36"/>
          <w:szCs w:val="36"/>
        </w:rPr>
        <w:t xml:space="preserve">Appendix C — 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400"/>
        <w:gridCol w:w="3960"/>
      </w:tblGrid>
      <w:tr>
        <w:trPr>
          <w:tblHeader/>
        </w:trPr>
        <w:tc>
          <w:tcPr>
            <w:tcW w:type="dxa" w:w="12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Version</w:t>
            </w:r>
          </w:p>
        </w:tc>
        <w:tc>
          <w:tcPr>
            <w:tcW w:type="dxa" w:w="18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Date</w:t>
            </w:r>
          </w:p>
        </w:tc>
        <w:tc>
          <w:tcPr>
            <w:tcW w:type="dxa" w:w="240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Author</w:t>
            </w:r>
          </w:p>
        </w:tc>
        <w:tc>
          <w:tcPr>
            <w:tcW w:type="dxa" w:w="3960"/>
            <w:tcBorders>
              <w:top w:val="single" w:color="8C8C8C" w:sz="6"/>
              <w:left w:val="single" w:color="8C8C8C" w:sz="6"/>
              <w:bottom w:val="single" w:color="8C8C8C" w:sz="6"/>
              <w:right w:val="single" w:color="8C8C8C" w:sz="6"/>
            </w:tcBorders>
            <w:shd w:fill="2E75B6" w:val="clear"/>
            <w:tcMar>
              <w:top w:type="dxa" w:w="100"/>
              <w:left w:type="dxa" w:w="140"/>
              <w:bottom w:type="dxa" w:w="100"/>
              <w:right w:type="dxa" w:w="140"/>
            </w:tcMar>
          </w:tcPr>
          <w:p>
            <w:pPr>
              <w:spacing w:after="0"/>
            </w:pPr>
            <w:r>
              <w:rPr>
                <w:rFonts w:ascii="Calibri" w:cs="Calibri" w:eastAsia="Calibri" w:hAnsi="Calibri"/>
                <w:b/>
                <w:bCs/>
                <w:color w:val="FFFFFF"/>
                <w:sz w:val="20"/>
                <w:szCs w:val="20"/>
              </w:rPr>
              <w:t xml:space="preserve">Changes</w:t>
            </w:r>
          </w:p>
        </w:tc>
      </w:tr>
      <w:tr>
        <w:tc>
          <w:tcPr>
            <w:tcW w:type="dxa" w:w="12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1.0</w:t>
            </w:r>
          </w:p>
        </w:tc>
        <w:tc>
          <w:tcPr>
            <w:tcW w:type="dxa" w:w="18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2026-05-19</w:t>
            </w:r>
          </w:p>
        </w:tc>
        <w:tc>
          <w:tcPr>
            <w:tcW w:type="dxa" w:w="240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Dhrumil Mehta</w:t>
            </w:r>
          </w:p>
        </w:tc>
        <w:tc>
          <w:tcPr>
            <w:tcW w:type="dxa" w:w="3960"/>
            <w:tcBorders>
              <w:top w:val="single" w:color="8C8C8C" w:sz="6"/>
              <w:left w:val="single" w:color="8C8C8C" w:sz="6"/>
              <w:bottom w:val="single" w:color="8C8C8C" w:sz="6"/>
              <w:right w:val="single" w:color="8C8C8C" w:sz="6"/>
            </w:tcBorders>
            <w:tcMar>
              <w:top w:type="dxa" w:w="100"/>
              <w:left w:type="dxa" w:w="140"/>
              <w:bottom w:type="dxa" w:w="100"/>
              <w:right w:type="dxa" w:w="140"/>
            </w:tcMar>
          </w:tcPr>
          <w:p>
            <w:pPr>
              <w:spacing w:after="0"/>
            </w:pPr>
            <w:r>
              <w:rPr>
                <w:rFonts w:ascii="Calibri" w:cs="Calibri" w:eastAsia="Calibri" w:hAnsi="Calibri"/>
                <w:b w:val="false"/>
                <w:bCs w:val="false"/>
                <w:color w:val="000000"/>
                <w:sz w:val="20"/>
                <w:szCs w:val="20"/>
              </w:rPr>
              <w:t xml:space="preserve">Initial attestation document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rFonts w:ascii="Calibri" w:cs="Calibri" w:eastAsia="Calibri" w:hAnsi="Calibri"/>
        <w:color w:val="808080"/>
        <w:sz w:val="16"/>
        <w:szCs w:val="16"/>
      </w:rPr>
      <w:t xml:space="preserve">vocuone — HIPAA Compliance Attestation — Confidential</w:t>
    </w:r>
    <w:r>
      <w:rPr>
        <w:rFonts w:ascii="Calibri" w:cs="Calibri" w:eastAsia="Calibri" w:hAnsi="Calibri"/>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r>
      <w:rPr>
        <w:rFonts w:ascii="Calibri" w:cs="Calibri" w:eastAsia="Calibri" w:hAnsi="Calibri"/>
        <w:sz w:val="16"/>
        <w:szCs w:val="16"/>
      </w:rPr>
      <w:t xml:space="preserve">	</w:t>
    </w:r>
    <w:r>
      <w:rPr>
        <w:rFonts w:ascii="Calibri" w:cs="Calibri" w:eastAsia="Calibri" w:hAnsi="Calibri"/>
        <w:color w:val="808080"/>
        <w:sz w:val="16"/>
        <w:szCs w:val="16"/>
      </w:rPr>
      <w:t xml:space="preserve">v1.0 — 2026-05-19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2E75B6"/>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00" w:before="18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Compliance Attestation — vocuone / vocanote-ai Production Infrastructure</dc:title>
  <dc:creator>Dhrumil Mehta / vocuone DevOps</dc:creator>
  <dc:description>HIPAA Security Rule attestation for AWS infrastructure</dc:description>
  <cp:lastModifiedBy>Un-named</cp:lastModifiedBy>
  <cp:revision>1</cp:revision>
  <dcterms:created xsi:type="dcterms:W3CDTF">2026-05-18T18:57:49.591Z</dcterms:created>
  <dcterms:modified xsi:type="dcterms:W3CDTF">2026-05-18T18:57:49.592Z</dcterms:modified>
</cp:coreProperties>
</file>

<file path=docProps/custom.xml><?xml version="1.0" encoding="utf-8"?>
<Properties xmlns="http://schemas.openxmlformats.org/officeDocument/2006/custom-properties" xmlns:vt="http://schemas.openxmlformats.org/officeDocument/2006/docPropsVTypes"/>
</file>