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2400"/>
        <w:jc w:val="center"/>
      </w:pPr>
      <w:r>
        <w:rPr>
          <w:rFonts w:ascii="Calibri" w:cs="Calibri" w:eastAsia="Calibri" w:hAnsi="Calibri"/>
          <w:b/>
          <w:bCs/>
          <w:color w:val="2E75B6"/>
          <w:sz w:val="56"/>
          <w:szCs w:val="56"/>
        </w:rPr>
        <w:t xml:space="preserve">HIPAA Compliance Attestation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404040"/>
          <w:sz w:val="36"/>
          <w:szCs w:val="36"/>
        </w:rPr>
        <w:t xml:space="preserve">vocuone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6720"/>
      </w:tblGrid>
      <w:tr>
        <w:trPr>
          <w:tblHeader/>
        </w:trP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2026-05-19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Owner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Draft for review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account 499290259511, region us-east-1, envs stage + prod</w:t>
            </w:r>
          </w:p>
        </w:tc>
      </w:tr>
      <w:tr>
        <w:tc>
          <w:tcPr>
            <w:tcW w:type="dxa" w:w="264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Standards</w:t>
            </w:r>
          </w:p>
        </w:tc>
        <w:tc>
          <w:tcPr>
            <w:tcW w:type="dxa" w:w="67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HIPAA Security Rule (45 CFR §164.302–.318), §164.530(j)(2), AWS HIPAA Shared Responsibility Model, NIST SP 800-66</w:t>
            </w:r>
          </w:p>
        </w:tc>
      </w:tr>
    </w:tbl>
    <w:p>
      <w:pPr>
        <w:spacing w:before="1200"/>
        <w:jc w:val="center"/>
      </w:pPr>
      <w:r>
        <w:rPr>
          <w:rFonts w:ascii="Calibri" w:cs="Calibri" w:eastAsia="Calibri" w:hAnsi="Calibri"/>
          <w:i/>
          <w:iCs/>
          <w:color w:val="808080"/>
          <w:sz w:val="20"/>
          <w:szCs w:val="20"/>
        </w:rPr>
        <w:t xml:space="preserve">Confidential — Internal compliance documentation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1. Executive Summary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vocuone runs a clinical case-companion app processing PHI exclusively on HIPAA-eligible AWS services under a signed BAA. All technical safeguards are implemented as code in this Terraform repository and continuously verified by scripts/hipaa-encryption-audit.sh.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HIPAA Section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§164.308 Administrative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§164.310 Physical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Inherited from AWS via BAA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§164.312 Technical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§164.314 Organizational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BAA in force</w:t>
            </w:r>
          </w:p>
        </w:tc>
      </w:tr>
      <w:tr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§164.316 / §164.530(j)(2) Docs + 7yr retention</w:t>
            </w:r>
          </w:p>
        </w:tc>
        <w:tc>
          <w:tcPr>
            <w:tcW w:type="dxa" w:w="46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Compliant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2. Scope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 scope: AWS account 499290259511, us-east-1, stage + prod environments. Traffic path: client → CloudFront → API Gateway → ALB → ECS task → RDS / Bedrock / S3.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Out of scope: Application code (separate review), endpoint security, AWS physical security (BAA-inherited).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3. Architecture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[Browser] —TLS1.2+→ [CloudFront] —TLS→ [ALB :443]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[Browser] —TLS1.2+→ [API Gateway] —HTTP*→ [ALB :80] —HTTP→ [ECS task]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┌──────────────────────────────────────────────────────┤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▼                ▼                ▼                    ▼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[RDS Postgres]   [Bedrock KB]    [Secrets Mgr]      [CloudWatch Logs]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(CMK, TLS)      (SSE-S3)         (CMK)             (CMK, 7yr ret.)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│                                                      ▲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└──► Automated backups + AWS Backup vault (CMK)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                          │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[All API calls] ────────────────────► [CloudTrail S3 (CMK) + CWL tail]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* API Gateway → ALB :80 hop is plaintext on AWS-internal network only;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6"/>
          <w:szCs w:val="16"/>
        </w:rPr>
        <w:t xml:space="preserve">  gated by WAF requiring X-Gateway-Secret header. Direct-to-ALB blocked.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Key properties: every PHI store uses AES-256 (CMK where customer-managed); all public-facing TLS 1.2+; ECS tasks in private subnets with no public IP; RDS reachable only from ECS security group with rds.force_ssl=1; WAF gates the ALB; CloudTrail log file validation on.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4. AWS Services &amp; HIPAA Eligibility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service handling PHI is on the current AWS HIPAA Eligible Services Reference 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4560"/>
        <w:gridCol w:w="1920"/>
      </w:tblGrid>
      <w:tr>
        <w:trPr>
          <w:tblHeader/>
        </w:trP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PHI?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EC2 + ECS + EBS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App compute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Transient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PostgreSQL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Primary patient DB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(KB buckets)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KB documents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+ Bedrock Agents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LLM inference, KB retrieval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 + retrieval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CloudFront + API Gateway + ALB + WAF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Public ingress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In-flight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Lambda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CodeDeploy hook, Synthetics canary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+ CloudTrail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Audit + logs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(audit)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DB creds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Creds only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KMS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Encryption keys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(keys)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Cross-service backup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Durable (snapshots)</w:t>
            </w:r>
          </w:p>
        </w:tc>
      </w:tr>
      <w:tr>
        <w:tc>
          <w:tcPr>
            <w:tcW w:type="dxa" w:w="28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VPC, Route 53, ACM, Inspector, SSM, EventBridge, SNS, Synthetics, CodePipeline/Deploy/Build</w:t>
            </w:r>
          </w:p>
        </w:tc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Supporting</w:t>
            </w:r>
          </w:p>
        </w:tc>
        <w:tc>
          <w:tcPr>
            <w:tcW w:type="dxa" w:w="192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No / N/A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confirms only HIPAA-eligible services are touched.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5. Technical Safeguards (§164.312)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at rest (§164.312(a)(2)(iv))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Every PHI store is AES-256 encrypted: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rPr>
          <w:tblHeader/>
        </w:trP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Store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 + automated snapshots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alias/vocuone-${env}-rds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EBS — ECS root volumes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Bedrock KB / ALB logs / pipeline / canary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AES-256 SSE-S3 (BAA-acceptable)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S3 —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SSE-KMS, CMK alias/vocuone-${env}-logs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CWL — app, Bedrock, RDS postgresql, VPC flow, CloudTrail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alias/vocuone-${env}-logs (Bedrock has dedicated CMK)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(PHI-bearing)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alias/vocuone-${env}-secrets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alias/vocuone-${env}-backup</w:t>
            </w:r>
          </w:p>
        </w:tc>
      </w:tr>
      <w:tr>
        <w:tc>
          <w:tcPr>
            <w:tcW w:type="dxa" w:w="45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images</w:t>
            </w:r>
          </w:p>
        </w:tc>
        <w:tc>
          <w:tcPr>
            <w:tcW w:type="dxa" w:w="4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CMK alias/vocuone-${env}-ecr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 have key rotation enabled and a 30-day deletion window. Continuous verification: bash scripts/hipaa-encryption-audit.sh ${env}.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Encryption in transit (§164.312(e))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Protection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Browser → CloudFront → ALB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(ACM certs, ELBSecurityPolicy-TLS13-1-2-2021-06)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Client → API Gateway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1.2+ (AWS-managed)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API Gateway → ALB :80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on AWS regional network; WAF gate (X-Gateway-Secret); compensating control per AWS HIPAA reference architecture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ALB → ECS task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 intra-VPC private subnet; SG-restricted; AWS-standard pattern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RDS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TLS enforced (rds.force_ssl=1)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ECS → AWS services (Bedrock, S3, Secrets Mgr, CloudWatch)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HTTPS by default (AWS SDK)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Access control (§164.312(a)(1))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Apps: ECS task IAM roles with per-task credentials via IMDSv2; RDS IAM database auth + Secrets Manager-vended password (dual auth).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CI/CD: GitHub Actions OIDC sts:AssumeRoleWithWebIdentity, sub/aud claims pinned to repo + branch + environment. No long-lived CI keys.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Operators: SSM Session Manager (no SSH); MFA on console; CloudTrail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Service-to-service: trust policies with aws:SourceAccount + aws:SourceArn confused-deputy guards.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Audit controls + integrity (§164.312(b), (c))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CloudTrail (all API events + KB S3 data events) → S3 (no expiry) + CWL tail (365d); log file validation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App/Bedrock/RDS audit log groups: CMK + 2557d (7yr) retention per §164.530(j)(2).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KMS key rotation, S3 versioning on KB buckets, RDS PITR.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Authentication (§164.312(d))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JWT for end users; OIDC for CI; IAM roles for services; MFA + SSM for operators.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6. Administrative Safeguards (§164.308)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rPr>
          <w:tblHeader/>
        </w:trP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Sub-section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(a)(1) Security mgmt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Risk analysis = this doc + audit script; quarterly review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(a)(2) Security Officer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DevOps Lead (named in Sign-off)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(a)(3) Workforce security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IAM access via Terraform; termination removes IAM identity ≤24h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(a)(4) Min necessary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Per-role IAM policies; access changes via PR + OIDC apply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(a)(6) Incident procedures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alarms → SNS → on-call; CloudTrail for forensics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(a)(7) Contingency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Multi-AZ RDS (prod), PITR 7d, AWS Backup vault, full IaC for rebuild</w:t>
            </w:r>
          </w:p>
        </w:tc>
      </w:tr>
      <w:tr>
        <w:tc>
          <w:tcPr>
            <w:tcW w:type="dxa" w:w="33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(a)(8) Evaluation</w:t>
            </w:r>
          </w:p>
        </w:tc>
        <w:tc>
          <w:tcPr>
            <w:tcW w:type="dxa" w:w="6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Self-attestation + continuous audit script; third-party assessment planned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7. Physical Safeguards (§164.310)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Inherited from AWS via the signed BAA. AWS SOC 1/2/3, ISO 27001/17/18, FedRAMP authorizations cover facility access, workstation use, device/media controls for the underlying infrastructure. Customer-side endpoint security under separate device-management policy.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8. Organizational Requirements (§164.314)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AWS BAA signed via AWS Artifact, covering all HIPAA-eligible services in use. No subcontractor BAAs currently needed — Sentry/SendGrid/Google Calendar are configured for non-PHI events only.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9. Documentation &amp; Retention (§164.316, §164.530(j)(2))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Policy: this document + Terraform code as source of truth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PHI-bearing audit logs: 2557d (7 years) retention — app, Bedrock, RDS postgres, CloudTrail S3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Non-PHI logs (VPC flow, CT tail): 365d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Git history = full audit trail of infrastructure changes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10. Continuous Verification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Audit script (scripts/hipaa-encryption-audit.sh): enumerates every PHI-handling resource, verifies encryption + retention; non-zero exit on failure; CI-runnable.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Active monitoring (CloudWatch alarms → SNS → email):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Backend HTTP 5xx (ALB target + ELB layer)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ECS CPU / 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Bedrock latency p95, invocation throttling, errors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Synthetics canary failures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App-level AI call error rate (metric filter on /ecs/${env}-app)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11. KMS Key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5280"/>
      </w:tblGrid>
      <w:tr>
        <w:trPr>
          <w:tblHeader/>
        </w:trP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alias/vocuone-${env}-logs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CloudWatch Logs, CloudTrail, SNS, EBS, ECR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alias/vocuone-${env}-rds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RDS storage + Perf Insights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alias/vocuone-${env}-secrets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Secrets Manager (PHI)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alias/vocuone-${env}-ecr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ECR image layers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alias/vocuone-${env}-backup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AWS Backup vault</w:t>
            </w:r>
          </w:p>
        </w:tc>
      </w:tr>
      <w:tr>
        <w:tc>
          <w:tcPr>
            <w:tcW w:type="dxa" w:w="40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alias/vocuone-bedrock-invocations</w:t>
            </w:r>
          </w:p>
        </w:tc>
        <w:tc>
          <w:tcPr>
            <w:tcW w:type="dxa" w:w="528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Bedrock invocation logs (account-wide singleton)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All CMKs: rotation enabled, 30-day deletion window.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12. Sign-off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The undersigned acknowledges the safeguards described, the signed AWS BAA, and the continuous-verification mechanism.</w:t>
      </w:r>
    </w:p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160"/>
        <w:gridCol w:w="24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Security Officer (DevOps Lead)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Privacy Officer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CTO / Engineering Lead</w:t>
            </w:r>
          </w:p>
        </w:tc>
        <w:tc>
          <w:tcPr>
            <w:tcW w:type="dxa" w:w="216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8C8C8C" w:sz="6"/>
              <w:left w:val="single" w:color="8C8C8C" w:sz="6"/>
              <w:bottom w:val="single" w:color="8C8C8C" w:sz="6"/>
              <w:right w:val="single" w:color="8C8C8C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2E75B6"/>
          <w:sz w:val="36"/>
          <w:szCs w:val="36"/>
        </w:rPr>
        <w:t xml:space="preserve">Appendix —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45 CFR §160, §162, §164 — HIPAA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NIST SP 800-66 Rev. 2 — HIPAA implementation guide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Compliance — https://aws.amazon.com/compliance/hipaa-compliance/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AWS HIPAA Eligible Services Reference — https://aws.amazon.com/compliance/hipaa-eligible-services-reference/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HHS Guidance on HIPAA &amp; Cloud Computing — https://www.hhs.gov/hipaa/for-professionals/special-topics/health-information-technology/cloud-computing/index.html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680"/>
        <w:tab w:val="right" w:pos="9360"/>
      </w:tabs>
    </w:pPr>
    <w:r>
      <w:rPr>
        <w:rFonts w:ascii="Calibri" w:cs="Calibri" w:eastAsia="Calibri" w:hAnsi="Calibri"/>
        <w:color w:val="808080"/>
        <w:sz w:val="16"/>
        <w:szCs w:val="16"/>
      </w:rPr>
      <w:t xml:space="preserve">vocuone — HIPAA Compliance Attestation — Confidential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v1.0 — 2026-05-19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2E75B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Compliance Attestation — vocuone</dc:title>
  <dc:creator>vocuone DevOps</dc:creator>
  <cp:lastModifiedBy>Un-named</cp:lastModifiedBy>
  <cp:revision>1</cp:revision>
  <dcterms:created xsi:type="dcterms:W3CDTF">2026-05-28T12:09:53.452Z</dcterms:created>
  <dcterms:modified xsi:type="dcterms:W3CDTF">2026-05-28T12:09:53.453Z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