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0"/>
        <w:jc w:val="center"/>
      </w:pPr>
      <w:r>
        <w:rPr>
          <w:rFonts w:ascii="Calibri" w:cs="Calibri" w:eastAsia="Calibri" w:hAnsi="Calibri"/>
          <w:b/>
          <w:bCs/>
          <w:color w:val="2E75B6"/>
          <w:sz w:val="56"/>
          <w:szCs w:val="56"/>
        </w:rPr>
        <w:t xml:space="preserve">HIPAA Compliance Attestation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04040"/>
          <w:sz w:val="36"/>
          <w:szCs w:val="36"/>
        </w:rPr>
        <w:t xml:space="preserve">vocuone / vocanote-ai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rPr>
          <w:tblHeader/>
        </w:trPr>
        <w:tc>
          <w:tcPr>
            <w:tcW w:type="dxa" w:w="26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7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dxa" w:w="26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7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Dhrumil Mehta (DevOps Lead)</w:t>
            </w:r>
          </w:p>
        </w:tc>
      </w:tr>
      <w:tr>
        <w:tc>
          <w:tcPr>
            <w:tcW w:type="dxa" w:w="26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7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6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7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AWS account 499290259511, region us-east-1, envs stage + prod</w:t>
            </w:r>
          </w:p>
        </w:tc>
      </w:tr>
      <w:tr>
        <w:tc>
          <w:tcPr>
            <w:tcW w:type="dxa" w:w="26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Standards</w:t>
            </w:r>
          </w:p>
        </w:tc>
        <w:tc>
          <w:tcPr>
            <w:tcW w:type="dxa" w:w="67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HIPAA Security Rule (45 CFR §164.302–.318), §164.530(j)(2), AWS HIPAA Shared Responsibility Model, NIST SP 800-66</w:t>
            </w:r>
          </w:p>
        </w:tc>
      </w:tr>
    </w:tbl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Confidential — Internal compliance documentation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vocuone runs a clinical case-companion app processing PHI exclusively on HIPAA-eligible AWS services under a signed BAA. All technical safeguards are implemented as code in this Terraform repository and continuously verified by scripts/hipaa-encryption-audit.sh.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HIPAA Section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§164.308 Administrative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Compliant, one tracked remediation item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§164.310 Physical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Inherited from AWS via BAA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§164.312 Technical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§164.314 Organizational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AWS BAA in force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§164.316 / §164.530(j)(2) Docs + 7yr retention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Compliant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One open item before customer onboarding: Replace two long-lived developer IAM access keys with federated SSO / OIDC (see §11).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2. Scope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 scope: AWS account 499290259511, us-east-1, stage + prod environments. Traffic path: client → CloudFront → API Gateway → ALB → ECS task → RDS / Bedrock / S3.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Out of scope: Application code (separate review), endpoint security, AWS physical security (BAA-inherited).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3. Architecture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[Browser] —TLS1.2+→ [CloudFront] —TLS→ [ALB :443]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[Browser] —TLS1.2+→ [API Gateway] —HTTP*→ [ALB :80] —HTTP→ [ECS task]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     ▼                ▼                ▼                    ▼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[RDS Postgres]   [Bedrock KB]    [Secrets Mgr]      [CloudWatch Logs]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 (CMK, TLS)      (SSE-S3)         (CMK)             (CMK, 7yr ret.)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     │                                                      ▲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     └──► Automated backups + AWS Backup vault (CMK)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[All API calls] ────────────────────► [CloudTrail S3 (CMK) + CWL tail]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* API Gateway → ALB :80 hop is plaintext on AWS-internal network only;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  gated by WAF requiring X-Gateway-Secret header. Direct-to-ALB blocked.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Key properties: every PHI store uses AES-256 (CMK where customer-managed); all public-facing TLS 1.2+; ECS tasks in private subnets with no public IP; RDS reachable only from ECS security group with rds.force_ssl=1; WAF gates the ALB; CloudTrail log file validation on.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4. AWS Services &amp; HIPAA Eligibility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Every service handling PHI is on the current AWS HIPAA Eligible Services Reference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560"/>
        <w:gridCol w:w="1920"/>
      </w:tblGrid>
      <w:tr>
        <w:trPr>
          <w:tblHeader/>
        </w:trP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PHI?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EC2 + ECS + EBS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 compute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Transient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Primary patient DB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Durable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S3 (KB buckets)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KB documents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Durable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Bedrock + Bedrock Agents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LLM inference, KB retrieval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In-flight + retrieval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CloudFront + API Gateway + ALB + WAF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Public ingress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In-flight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Lambda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CodeDeploy hook, Synthetics canary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CloudWatch + CloudTrail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Audit + logs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Durable (audit)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DB creds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Creds only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KMS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Encryption keys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(keys)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AWS Backup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Cross-service backup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Durable (snapshots)</w:t>
            </w:r>
          </w:p>
        </w:tc>
      </w:tr>
      <w:tr>
        <w:tc>
          <w:tcPr>
            <w:tcW w:type="dxa" w:w="28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VPC, Route 53, ACM, Inspector, SSM, EventBridge, SNS, Synthetics, CodePipeline/Deploy/Build</w:t>
            </w:r>
          </w:p>
        </w:tc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Supporting</w:t>
            </w:r>
          </w:p>
        </w:tc>
        <w:tc>
          <w:tcPr>
            <w:tcW w:type="dxa" w:w="19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 / N/A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Audit script confirms only HIPAA-eligible services are touched.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5. Technical Safeguards (§164.312)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Encryption at rest (§164.312(a)(2)(iv))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Every PHI store is AES-256 encrypted: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RDS storage + Perf Insights + automated snapshots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CMK alias/vocuone-${env}-rds</w:t>
            </w:r>
          </w:p>
        </w:tc>
      </w:tr>
      <w:t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EBS — ECS root volumes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CMK alias/vocuone-${env}-logs</w:t>
            </w:r>
          </w:p>
        </w:tc>
      </w:tr>
      <w:t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S3 — Bedrock KB / ALB logs / pipeline / canary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AES-256 SSE-S3 (BAA-acceptable)</w:t>
            </w:r>
          </w:p>
        </w:tc>
      </w:tr>
      <w:t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S3 — CloudTrail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SSE-KMS, CMK alias/vocuone-${env}-logs</w:t>
            </w:r>
          </w:p>
        </w:tc>
      </w:tr>
      <w:t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CWL — app, Bedrock, RDS postgresql, VPC flow, CloudTrail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CMK alias/vocuone-${env}-logs (Bedrock has dedicated CMK)</w:t>
            </w:r>
          </w:p>
        </w:tc>
      </w:tr>
      <w:t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Secrets Manager (PHI-bearing)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CMK alias/vocuone-${env}-secrets</w:t>
            </w:r>
          </w:p>
        </w:tc>
      </w:tr>
      <w:t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AWS Backup vault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CMK alias/vocuone-${env}-backup</w:t>
            </w:r>
          </w:p>
        </w:tc>
      </w:tr>
      <w:tr>
        <w:tc>
          <w:tcPr>
            <w:tcW w:type="dxa" w:w="4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ECR images</w:t>
            </w:r>
          </w:p>
        </w:tc>
        <w:tc>
          <w:tcPr>
            <w:tcW w:type="dxa" w:w="4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CMK alias/vocuone-${env}-ecr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CMKs have key rotation enabled and a 30-day deletion window. Continuous verification: bash scripts/hipaa-encryption-audit.sh ${env}.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Encryption in transit (§164.312(e))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Browser → CloudFront → ALB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TLS 1.2+ (ACM certs, ELBSecurityPolicy-TLS13-1-2-2021-06)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Client → API Gateway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TLS 1.2+ (AWS-managed)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API Gateway → ALB :80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HTTP on AWS regional network; WAF gate (X-Gateway-Secret); compensating control per AWS HIPAA reference architecture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ALB → ECS task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HTTP intra-VPC private subnet; SG-restricted; AWS-standard pattern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ECS → RDS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TLS enforced (rds.force_ssl=1)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ECS → AWS services (Bedrock, S3, Secrets Mgr, CloudWatch)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HTTPS by default (AWS SDK)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Access control (§164.312(a)(1))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Apps: ECS task IAM roles with per-task credentials via IMDSv2; RDS IAM database auth + Secrets Manager-vended password (dual auth).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CI/CD: GitHub Actions OIDC sts:AssumeRoleWithWebIdentity, sub/aud claims pinned to repo + branch + environment. No long-lived CI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Operators: SSM Session Manager (no SSH); MFA on console; CloudTrail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Service-to-service: trust policies with aws:SourceAccount + aws:SourceArn confused-deputy guards.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Audit controls + integrity (§164.312(b), (c))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CloudTrail (all API events + KB S3 data events) → S3 (no expiry) + CWL tail (365d); log file validation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App/Bedrock/RDS audit log groups: CMK + 2557d (7yr) retention per §164.530(j)(2).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KMS key rotation, S3 versioning on KB buckets, RDS PITR.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Authentication (§164.312(d))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JWT for end users; OIDC for CI; IAM roles for services; MFA + SSM for operators.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6. Administrative Safeguards (§164.308)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(a)(1) Security mgmt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Risk analysis = this doc + audit script; quarterly review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(a)(2) Security Officer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Dhrumil Mehta (DevOps)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(a)(3) Workforce security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IAM access via Terraform; termination removes IAM identity ≤24h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(a)(4) Min necessary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Per-role IAM policies; access changes via PR + OIDC apply; one open remediation (§11)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(a)(6) Incident procedures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CloudWatch alarms → SNS → on-call; CloudTrail for forensics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(a)(7) Contingency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Multi-AZ RDS (prod), PITR 7d, AWS Backup vault, full IaC for rebuild</w:t>
            </w:r>
          </w:p>
        </w:tc>
      </w:tr>
      <w:tr>
        <w:tc>
          <w:tcPr>
            <w:tcW w:type="dxa" w:w="33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(a)(8) Evaluation</w:t>
            </w:r>
          </w:p>
        </w:tc>
        <w:tc>
          <w:tcPr>
            <w:tcW w:type="dxa" w:w="6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Self-attestation + continuous audit script; third-party assessment planned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7. Physical Safeguards (§164.310)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Inherited from AWS via the signed BAA. AWS SOC 1/2/3, ISO 27001/17/18, FedRAMP authorizations cover facility access, workstation use, device/media controls for the underlying infrastructure. Customer-side endpoint security under separate device-management policy.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8. Organizational Requirements (§164.314)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AWS BAA signed via AWS Artifact, covering all HIPAA-eligible services in use. No subcontractor BAAs currently needed — Sentry/SendGrid/Google Calendar are configured for non-PHI events only.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9. Documentation &amp; Retention (§164.316, §164.530(j)(2))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Policy: this document + Terraform code as source of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PHI-bearing audit logs: 2557d (7 years) retention — app, Bedrock, RDS postgres, CloudTrail 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Non-PHI logs (VPC flow, CT tail): 365d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history = full audit trail of infrastructure changes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10. Continuous Verification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Audit script (scripts/hipaa-encryption-audit.sh): enumerates every PHI-handling resource, verifies encryption + retention; non-zero exit on failure; CI-runnable.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Active monitoring (CloudWatch alarms → SNS → email):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HTTP 5xx (ALB target + ELB 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ECS CPU /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Bedrock latency p95, invocation throttling,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Synthetics canary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App-level AI call error rate (metric filter on /ecs/${env}-app)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11. Known Gaps &amp;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60"/>
        <w:gridCol w:w="1600"/>
        <w:gridCol w:w="1200"/>
        <w:gridCol w:w="2400"/>
      </w:tblGrid>
      <w:tr>
        <w:trPr>
          <w:tblHeader/>
        </w:trPr>
        <w:tc>
          <w:tcPr>
            <w:tcW w:type="dxa" w:w="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Citation</w:t>
            </w:r>
          </w:p>
        </w:tc>
        <w:tc>
          <w:tcPr>
            <w:tcW w:type="dxa" w:w="1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Replace vocuone-{prod,stage}-developer long-lived IAM users with federated SSO / OIDC</w:t>
            </w:r>
          </w:p>
        </w:tc>
        <w:tc>
          <w:tcPr>
            <w:tcW w:type="dxa" w:w="1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§164.308(a)(4)</w:t>
            </w:r>
          </w:p>
        </w:tc>
        <w:tc>
          <w:tcPr>
            <w:tcW w:type="dxa" w:w="1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Before first hospital customer</w:t>
            </w:r>
          </w:p>
        </w:tc>
      </w:tr>
      <w:tr>
        <w:tc>
          <w:tcPr>
            <w:tcW w:type="dxa" w:w="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Tighten CI/CD policy from &lt;svc&gt;:* + Resource = "*" to per-resource scoping</w:t>
            </w:r>
          </w:p>
        </w:tc>
        <w:tc>
          <w:tcPr>
            <w:tcW w:type="dxa" w:w="1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§164.308(a)(4)</w:t>
            </w:r>
          </w:p>
        </w:tc>
        <w:tc>
          <w:tcPr>
            <w:tcW w:type="dxa" w:w="1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Pin transcribe:* / comprehendmedical:* task perms to specific output ARN</w:t>
            </w:r>
          </w:p>
        </w:tc>
        <w:tc>
          <w:tcPr>
            <w:tcW w:type="dxa" w:w="1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§164.308(a)(4)</w:t>
            </w:r>
          </w:p>
        </w:tc>
        <w:tc>
          <w:tcPr>
            <w:tcW w:type="dxa" w:w="1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Pin RDS rds-db:connect to specific dbuser</w:t>
            </w:r>
          </w:p>
        </w:tc>
        <w:tc>
          <w:tcPr>
            <w:tcW w:type="dxa" w:w="1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§164.308(a)(4)</w:t>
            </w:r>
          </w:p>
        </w:tc>
        <w:tc>
          <w:tcPr>
            <w:tcW w:type="dxa" w:w="1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Enable AWS Config for continuous compliance recording</w:t>
            </w:r>
          </w:p>
        </w:tc>
        <w:tc>
          <w:tcPr>
            <w:tcW w:type="dxa" w:w="1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§164.308(a)(1)</w:t>
            </w:r>
          </w:p>
        </w:tc>
        <w:tc>
          <w:tcPr>
            <w:tcW w:type="dxa" w:w="1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Formalize runbooks/incident-response.md</w:t>
            </w:r>
          </w:p>
        </w:tc>
        <w:tc>
          <w:tcPr>
            <w:tcW w:type="dxa" w:w="1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§164.308(a)(6)</w:t>
            </w:r>
          </w:p>
        </w:tc>
        <w:tc>
          <w:tcPr>
            <w:tcW w:type="dxa" w:w="1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Annual third-party HIPAA assessment</w:t>
            </w:r>
          </w:p>
        </w:tc>
        <w:tc>
          <w:tcPr>
            <w:tcW w:type="dxa" w:w="1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§164.308(a)(8)</w:t>
            </w:r>
          </w:p>
        </w:tc>
        <w:tc>
          <w:tcPr>
            <w:tcW w:type="dxa" w:w="1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Leadership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None block BAA compliance. Items 1–4 hardening is gated to first hospital/insurer customer onboarding.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12. KMS Key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280"/>
      </w:tblGrid>
      <w:tr>
        <w:trPr>
          <w:tblHeader/>
        </w:trPr>
        <w:tc>
          <w:tcPr>
            <w:tcW w:type="dxa" w:w="40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  <w:tc>
          <w:tcPr>
            <w:tcW w:type="dxa" w:w="52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alias/vocuone-${env}-logs</w:t>
            </w:r>
          </w:p>
        </w:tc>
        <w:tc>
          <w:tcPr>
            <w:tcW w:type="dxa" w:w="52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CloudWatch Logs, CloudTrail, SNS, EBS, ECR</w:t>
            </w:r>
          </w:p>
        </w:tc>
      </w:tr>
      <w:tr>
        <w:tc>
          <w:tcPr>
            <w:tcW w:type="dxa" w:w="40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alias/vocuone-${env}-rds</w:t>
            </w:r>
          </w:p>
        </w:tc>
        <w:tc>
          <w:tcPr>
            <w:tcW w:type="dxa" w:w="52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RDS storage + Perf Insights</w:t>
            </w:r>
          </w:p>
        </w:tc>
      </w:tr>
      <w:tr>
        <w:tc>
          <w:tcPr>
            <w:tcW w:type="dxa" w:w="40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alias/vocuone-${env}-secrets</w:t>
            </w:r>
          </w:p>
        </w:tc>
        <w:tc>
          <w:tcPr>
            <w:tcW w:type="dxa" w:w="52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Secrets Manager (PHI)</w:t>
            </w:r>
          </w:p>
        </w:tc>
      </w:tr>
      <w:tr>
        <w:tc>
          <w:tcPr>
            <w:tcW w:type="dxa" w:w="40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alias/vocuone-${env}-ecr</w:t>
            </w:r>
          </w:p>
        </w:tc>
        <w:tc>
          <w:tcPr>
            <w:tcW w:type="dxa" w:w="52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ECR image layers</w:t>
            </w:r>
          </w:p>
        </w:tc>
      </w:tr>
      <w:tr>
        <w:tc>
          <w:tcPr>
            <w:tcW w:type="dxa" w:w="40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alias/vocuone-${env}-backup</w:t>
            </w:r>
          </w:p>
        </w:tc>
        <w:tc>
          <w:tcPr>
            <w:tcW w:type="dxa" w:w="52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AWS Backup vault</w:t>
            </w:r>
          </w:p>
        </w:tc>
      </w:tr>
      <w:tr>
        <w:tc>
          <w:tcPr>
            <w:tcW w:type="dxa" w:w="40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alias/vocuone-bedrock-invocations</w:t>
            </w:r>
          </w:p>
        </w:tc>
        <w:tc>
          <w:tcPr>
            <w:tcW w:type="dxa" w:w="52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Bedrock invocation logs (account-wide singleton)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CMKs: rotation enabled, 30-day deletion window.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13. Sign-off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undersigned acknowledges the safeguards described, the signed AWS BAA, the gap-remediation timeline, and the continuous-verification mechanism.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24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Security Officer (DevOps Lead)</w:t>
            </w:r>
          </w:p>
        </w:tc>
        <w:tc>
          <w:tcPr>
            <w:tcW w:type="dxa" w:w="2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Dhrumil Mehta</w:t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Privacy Officer</w:t>
            </w:r>
          </w:p>
        </w:tc>
        <w:tc>
          <w:tcPr>
            <w:tcW w:type="dxa" w:w="2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CTO / Engineering Lead</w:t>
            </w:r>
          </w:p>
        </w:tc>
        <w:tc>
          <w:tcPr>
            <w:tcW w:type="dxa" w:w="2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Appendix —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45 CFR §160, §162, §164 — HIPAA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NIST SP 800-66 Rev. 2 — HIPAA implementation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AWS HIPAA Compliance — https://aws.amazon.com/compliance/hipaa-compliance/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AWS HIPAA Eligible Services Reference — https://aws.amazon.com/compliance/hipaa-eligible-services-reference/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HHS Guidance on HIPAA &amp; Cloud Computing — https://www.hhs.gov/hipaa/for-professionals/special-topics/health-information-technology/cloud-computing/index.html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rFonts w:ascii="Calibri" w:cs="Calibri" w:eastAsia="Calibri" w:hAnsi="Calibri"/>
        <w:color w:val="808080"/>
        <w:sz w:val="16"/>
        <w:szCs w:val="16"/>
      </w:rPr>
      <w:t xml:space="preserve">vocuone — HIPAA Compliance Attestation — Confidential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08080"/>
        <w:sz w:val="16"/>
        <w:szCs w:val="16"/>
      </w:rPr>
      <w:t xml:space="preserve">v1.0 — 2026-05-19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HIPAA Compliance Attestation — vocuone / vocanote-ai</dc:title>
  <dc:creator>Dhrumil Mehta / vocuone DevOps</dc:creator>
  <cp:lastModifiedBy>Un-named</cp:lastModifiedBy>
  <cp:revision>1</cp:revision>
  <dcterms:created xsi:type="dcterms:W3CDTF">2026-05-28T11:58:21.053Z</dcterms:created>
  <dcterms:modified xsi:type="dcterms:W3CDTF">2026-05-28T11:58:21.054Z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