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1AF" w:rsidRDefault="00D6523F" w:rsidP="00D6523F">
      <w:pPr>
        <w:pStyle w:val="Title"/>
      </w:pPr>
      <w:r>
        <w:t>Detectors for particles</w:t>
      </w:r>
    </w:p>
    <w:p w:rsidR="00075FCC" w:rsidRPr="000E5872" w:rsidRDefault="00D6523F" w:rsidP="00075FCC">
      <w:pPr>
        <w:pStyle w:val="ListParagraph"/>
        <w:numPr>
          <w:ilvl w:val="0"/>
          <w:numId w:val="2"/>
        </w:numPr>
        <w:rPr>
          <w:sz w:val="24"/>
          <w:szCs w:val="24"/>
        </w:rPr>
      </w:pPr>
      <w:r w:rsidRPr="000E5872">
        <w:rPr>
          <w:sz w:val="24"/>
          <w:szCs w:val="24"/>
        </w:rPr>
        <w:t xml:space="preserve">REPTILE - </w:t>
      </w:r>
      <w:proofErr w:type="spellStart"/>
      <w:r w:rsidRPr="000E5872">
        <w:rPr>
          <w:sz w:val="24"/>
          <w:szCs w:val="24"/>
        </w:rPr>
        <w:t>REPtile</w:t>
      </w:r>
      <w:proofErr w:type="spellEnd"/>
      <w:r w:rsidRPr="000E5872">
        <w:rPr>
          <w:sz w:val="24"/>
          <w:szCs w:val="24"/>
        </w:rPr>
        <w:t xml:space="preserve"> was built by students at university of Colorado</w:t>
      </w:r>
      <w:r w:rsidR="00075FCC" w:rsidRPr="000E5872">
        <w:rPr>
          <w:sz w:val="24"/>
          <w:szCs w:val="24"/>
        </w:rPr>
        <w:t xml:space="preserve"> (used o</w:t>
      </w:r>
      <w:r w:rsidRPr="000E5872">
        <w:rPr>
          <w:sz w:val="24"/>
          <w:szCs w:val="24"/>
        </w:rPr>
        <w:t>n CSSWE</w:t>
      </w:r>
      <w:r w:rsidR="00075FCC" w:rsidRPr="000E5872">
        <w:rPr>
          <w:sz w:val="24"/>
          <w:szCs w:val="24"/>
        </w:rPr>
        <w:t>)</w:t>
      </w:r>
    </w:p>
    <w:p w:rsidR="00075FCC" w:rsidRPr="000E5872" w:rsidRDefault="00075FCC" w:rsidP="00075FCC">
      <w:pPr>
        <w:pStyle w:val="ListParagraph"/>
        <w:numPr>
          <w:ilvl w:val="0"/>
          <w:numId w:val="2"/>
        </w:numPr>
        <w:rPr>
          <w:sz w:val="24"/>
          <w:szCs w:val="24"/>
        </w:rPr>
      </w:pPr>
      <w:r w:rsidRPr="000E5872">
        <w:rPr>
          <w:sz w:val="24"/>
          <w:szCs w:val="24"/>
        </w:rPr>
        <w:t xml:space="preserve">EPT (energetic particle detector) – Designed with collaboration between BIRA-IASB (Belgian Institute for Space </w:t>
      </w:r>
      <w:proofErr w:type="spellStart"/>
      <w:r w:rsidRPr="000E5872">
        <w:rPr>
          <w:sz w:val="24"/>
          <w:szCs w:val="24"/>
        </w:rPr>
        <w:t>Aeronomy</w:t>
      </w:r>
      <w:proofErr w:type="spellEnd"/>
      <w:r w:rsidRPr="000E5872">
        <w:rPr>
          <w:sz w:val="24"/>
          <w:szCs w:val="24"/>
        </w:rPr>
        <w:t>) and UCL (</w:t>
      </w:r>
      <w:proofErr w:type="spellStart"/>
      <w:r w:rsidRPr="000E5872">
        <w:rPr>
          <w:sz w:val="24"/>
          <w:szCs w:val="24"/>
        </w:rPr>
        <w:t>Université</w:t>
      </w:r>
      <w:proofErr w:type="spellEnd"/>
      <w:r w:rsidRPr="000E5872">
        <w:rPr>
          <w:sz w:val="24"/>
          <w:szCs w:val="24"/>
        </w:rPr>
        <w:t xml:space="preserve"> </w:t>
      </w:r>
      <w:proofErr w:type="spellStart"/>
      <w:r w:rsidRPr="000E5872">
        <w:rPr>
          <w:sz w:val="24"/>
          <w:szCs w:val="24"/>
        </w:rPr>
        <w:t>Catholique</w:t>
      </w:r>
      <w:proofErr w:type="spellEnd"/>
      <w:r w:rsidRPr="000E5872">
        <w:rPr>
          <w:sz w:val="24"/>
          <w:szCs w:val="24"/>
        </w:rPr>
        <w:t xml:space="preserve"> de Louvain-La-</w:t>
      </w:r>
      <w:proofErr w:type="spellStart"/>
      <w:r w:rsidRPr="000E5872">
        <w:rPr>
          <w:sz w:val="24"/>
          <w:szCs w:val="24"/>
        </w:rPr>
        <w:t>Neuve</w:t>
      </w:r>
      <w:proofErr w:type="spellEnd"/>
      <w:r w:rsidRPr="000E5872">
        <w:rPr>
          <w:sz w:val="24"/>
          <w:szCs w:val="24"/>
        </w:rPr>
        <w:t>) (used on PROBA-V)</w:t>
      </w:r>
    </w:p>
    <w:p w:rsidR="00075FCC" w:rsidRPr="000E5872" w:rsidRDefault="00075FCC" w:rsidP="00075FCC">
      <w:pPr>
        <w:pStyle w:val="ListParagraph"/>
        <w:numPr>
          <w:ilvl w:val="0"/>
          <w:numId w:val="2"/>
        </w:numPr>
        <w:rPr>
          <w:sz w:val="24"/>
          <w:szCs w:val="24"/>
        </w:rPr>
      </w:pPr>
      <w:r w:rsidRPr="000E5872">
        <w:rPr>
          <w:sz w:val="24"/>
          <w:szCs w:val="24"/>
        </w:rPr>
        <w:t>DEMETER(name of satellite) – LPCE (</w:t>
      </w:r>
      <w:proofErr w:type="spellStart"/>
      <w:r w:rsidRPr="000E5872">
        <w:rPr>
          <w:sz w:val="24"/>
          <w:szCs w:val="24"/>
        </w:rPr>
        <w:t>Laboratoire</w:t>
      </w:r>
      <w:proofErr w:type="spellEnd"/>
      <w:r w:rsidRPr="000E5872">
        <w:rPr>
          <w:sz w:val="24"/>
          <w:szCs w:val="24"/>
        </w:rPr>
        <w:t xml:space="preserve"> de Physique et de </w:t>
      </w:r>
      <w:proofErr w:type="spellStart"/>
      <w:r w:rsidRPr="000E5872">
        <w:rPr>
          <w:sz w:val="24"/>
          <w:szCs w:val="24"/>
        </w:rPr>
        <w:t>Chimie</w:t>
      </w:r>
      <w:proofErr w:type="spellEnd"/>
      <w:r w:rsidRPr="000E5872">
        <w:rPr>
          <w:sz w:val="24"/>
          <w:szCs w:val="24"/>
        </w:rPr>
        <w:t xml:space="preserve"> de </w:t>
      </w:r>
      <w:proofErr w:type="spellStart"/>
      <w:r w:rsidRPr="000E5872">
        <w:rPr>
          <w:sz w:val="24"/>
          <w:szCs w:val="24"/>
        </w:rPr>
        <w:t>l'Environnement</w:t>
      </w:r>
      <w:proofErr w:type="spellEnd"/>
      <w:r w:rsidRPr="000E5872">
        <w:rPr>
          <w:sz w:val="24"/>
          <w:szCs w:val="24"/>
        </w:rPr>
        <w:t xml:space="preserve"> </w:t>
      </w:r>
      <w:proofErr w:type="spellStart"/>
      <w:r w:rsidRPr="000E5872">
        <w:rPr>
          <w:sz w:val="24"/>
          <w:szCs w:val="24"/>
        </w:rPr>
        <w:t>d'Orléans</w:t>
      </w:r>
      <w:proofErr w:type="spellEnd"/>
      <w:r w:rsidRPr="000E5872">
        <w:rPr>
          <w:sz w:val="24"/>
          <w:szCs w:val="24"/>
        </w:rPr>
        <w:t>) designed all payloads:</w:t>
      </w:r>
    </w:p>
    <w:p w:rsidR="000E5872" w:rsidRPr="000E5872" w:rsidRDefault="000E5872" w:rsidP="000E5872">
      <w:pPr>
        <w:pStyle w:val="ListParagraph"/>
        <w:numPr>
          <w:ilvl w:val="1"/>
          <w:numId w:val="2"/>
        </w:numPr>
        <w:rPr>
          <w:sz w:val="24"/>
          <w:szCs w:val="24"/>
        </w:rPr>
      </w:pPr>
      <w:r w:rsidRPr="000E5872">
        <w:rPr>
          <w:sz w:val="24"/>
          <w:szCs w:val="24"/>
        </w:rPr>
        <w:t xml:space="preserve">IAP (Instrument </w:t>
      </w:r>
      <w:proofErr w:type="spellStart"/>
      <w:r w:rsidRPr="000E5872">
        <w:rPr>
          <w:sz w:val="24"/>
          <w:szCs w:val="24"/>
        </w:rPr>
        <w:t>Analyseur</w:t>
      </w:r>
      <w:proofErr w:type="spellEnd"/>
      <w:r w:rsidRPr="000E5872">
        <w:rPr>
          <w:sz w:val="24"/>
          <w:szCs w:val="24"/>
        </w:rPr>
        <w:t xml:space="preserve"> de Plasma): an ion analyzer of CNRS/CEPT - IAP is a two-analyzer spectrometer </w:t>
      </w:r>
      <w:proofErr w:type="spellStart"/>
      <w:r w:rsidRPr="000E5872">
        <w:rPr>
          <w:sz w:val="24"/>
          <w:szCs w:val="24"/>
        </w:rPr>
        <w:t>measurering</w:t>
      </w:r>
      <w:proofErr w:type="spellEnd"/>
      <w:r w:rsidRPr="000E5872">
        <w:rPr>
          <w:sz w:val="24"/>
          <w:szCs w:val="24"/>
        </w:rPr>
        <w:t xml:space="preserve"> the ion density, composition, temperature and flow velocity of major ions H</w:t>
      </w:r>
      <w:r w:rsidRPr="000E5872">
        <w:rPr>
          <w:sz w:val="24"/>
          <w:szCs w:val="24"/>
          <w:vertAlign w:val="superscript"/>
        </w:rPr>
        <w:t>+</w:t>
      </w:r>
      <w:r w:rsidRPr="000E5872">
        <w:rPr>
          <w:sz w:val="24"/>
          <w:szCs w:val="24"/>
        </w:rPr>
        <w:t>, He</w:t>
      </w:r>
      <w:r w:rsidRPr="000E5872">
        <w:rPr>
          <w:sz w:val="24"/>
          <w:szCs w:val="24"/>
          <w:vertAlign w:val="superscript"/>
        </w:rPr>
        <w:t>+</w:t>
      </w:r>
      <w:r w:rsidRPr="000E5872">
        <w:rPr>
          <w:sz w:val="24"/>
          <w:szCs w:val="24"/>
        </w:rPr>
        <w:t>, O</w:t>
      </w:r>
      <w:r w:rsidRPr="000E5872">
        <w:rPr>
          <w:sz w:val="24"/>
          <w:szCs w:val="24"/>
          <w:vertAlign w:val="superscript"/>
        </w:rPr>
        <w:t>+</w:t>
      </w:r>
      <w:r w:rsidRPr="000E5872">
        <w:rPr>
          <w:sz w:val="24"/>
          <w:szCs w:val="24"/>
        </w:rPr>
        <w:t xml:space="preserve"> at the satellite altitude.</w:t>
      </w:r>
    </w:p>
    <w:p w:rsidR="000E5872" w:rsidRPr="000E5872" w:rsidRDefault="000E5872" w:rsidP="000E5872">
      <w:pPr>
        <w:pStyle w:val="ListParagraph"/>
        <w:numPr>
          <w:ilvl w:val="1"/>
          <w:numId w:val="2"/>
        </w:numPr>
        <w:rPr>
          <w:sz w:val="24"/>
          <w:szCs w:val="24"/>
        </w:rPr>
      </w:pPr>
      <w:r w:rsidRPr="000E5872">
        <w:rPr>
          <w:sz w:val="24"/>
          <w:szCs w:val="24"/>
        </w:rPr>
        <w:t xml:space="preserve"> </w:t>
      </w:r>
      <w:proofErr w:type="spellStart"/>
      <w:r w:rsidRPr="000E5872">
        <w:rPr>
          <w:sz w:val="24"/>
          <w:szCs w:val="24"/>
        </w:rPr>
        <w:t>IDP</w:t>
      </w:r>
      <w:proofErr w:type="spellEnd"/>
      <w:r w:rsidRPr="000E5872">
        <w:rPr>
          <w:sz w:val="24"/>
          <w:szCs w:val="24"/>
        </w:rPr>
        <w:t xml:space="preserve"> (Instrument </w:t>
      </w:r>
      <w:proofErr w:type="spellStart"/>
      <w:r w:rsidRPr="000E5872">
        <w:rPr>
          <w:sz w:val="24"/>
          <w:szCs w:val="24"/>
        </w:rPr>
        <w:t>Detecteur</w:t>
      </w:r>
      <w:proofErr w:type="spellEnd"/>
      <w:r w:rsidRPr="000E5872">
        <w:rPr>
          <w:sz w:val="24"/>
          <w:szCs w:val="24"/>
        </w:rPr>
        <w:t xml:space="preserve"> de Plasma): an energetic </w:t>
      </w:r>
      <w:hyperlink r:id="rId5" w:tooltip="Particle detector" w:history="1">
        <w:r w:rsidRPr="000E5872">
          <w:rPr>
            <w:rStyle w:val="Hyperlink"/>
            <w:color w:val="auto"/>
            <w:sz w:val="24"/>
            <w:szCs w:val="24"/>
            <w:u w:val="none"/>
          </w:rPr>
          <w:t>particle detector</w:t>
        </w:r>
      </w:hyperlink>
      <w:r w:rsidRPr="000E5872">
        <w:rPr>
          <w:sz w:val="24"/>
          <w:szCs w:val="24"/>
        </w:rPr>
        <w:t xml:space="preserve"> of CNRS/CESR - The objective is to measure the energy spectrum of electrons, at right angles to the magnetic field, in the energy range of 30 </w:t>
      </w:r>
      <w:proofErr w:type="spellStart"/>
      <w:r w:rsidRPr="000E5872">
        <w:rPr>
          <w:sz w:val="24"/>
          <w:szCs w:val="24"/>
        </w:rPr>
        <w:t>keV</w:t>
      </w:r>
      <w:proofErr w:type="spellEnd"/>
      <w:r w:rsidRPr="000E5872">
        <w:rPr>
          <w:sz w:val="24"/>
          <w:szCs w:val="24"/>
        </w:rPr>
        <w:t xml:space="preserve"> to 10 </w:t>
      </w:r>
      <w:proofErr w:type="spellStart"/>
      <w:r w:rsidRPr="000E5872">
        <w:rPr>
          <w:sz w:val="24"/>
          <w:szCs w:val="24"/>
        </w:rPr>
        <w:t>MeV</w:t>
      </w:r>
      <w:proofErr w:type="spellEnd"/>
    </w:p>
    <w:p w:rsidR="00BD47DC" w:rsidRDefault="00BD47DC" w:rsidP="00BD47DC">
      <w:pPr>
        <w:pStyle w:val="class7"/>
        <w:numPr>
          <w:ilvl w:val="0"/>
          <w:numId w:val="2"/>
        </w:numPr>
      </w:pPr>
      <w:r w:rsidRPr="00BD47DC">
        <w:t>ICARE-(</w:t>
      </w:r>
      <w:r w:rsidRPr="00BD47DC">
        <w:rPr>
          <w:rFonts w:ascii="Arial" w:hAnsi="Arial" w:cs="Arial"/>
        </w:rPr>
        <w:t>Influence of Space Radiation on Advanced Components) built by CNES</w:t>
      </w:r>
      <w:r w:rsidRPr="00BD47DC">
        <w:t xml:space="preserve"> ICARE is developed by the French Space Agency in collaboration with ONERA/DESP and CESR. (</w:t>
      </w:r>
      <w:proofErr w:type="gramStart"/>
      <w:r w:rsidRPr="00BD47DC">
        <w:t>used</w:t>
      </w:r>
      <w:proofErr w:type="gramEnd"/>
      <w:r w:rsidRPr="00BD47DC">
        <w:t xml:space="preserve"> on SAC-C )</w:t>
      </w:r>
      <w:r>
        <w:t xml:space="preserve"> . Commercially available – Delivery in 1 year. Cost – 4.5 </w:t>
      </w:r>
      <w:proofErr w:type="spellStart"/>
      <w:r>
        <w:t>lakhs</w:t>
      </w:r>
      <w:proofErr w:type="spellEnd"/>
    </w:p>
    <w:p w:rsidR="008D799D" w:rsidRPr="008D799D" w:rsidRDefault="00927285" w:rsidP="008D799D">
      <w:pPr>
        <w:pStyle w:val="ListParagraph"/>
        <w:numPr>
          <w:ilvl w:val="0"/>
          <w:numId w:val="2"/>
        </w:numPr>
        <w:rPr>
          <w:sz w:val="24"/>
          <w:szCs w:val="24"/>
        </w:rPr>
      </w:pPr>
      <w:r w:rsidRPr="00EA7A21">
        <w:rPr>
          <w:sz w:val="24"/>
          <w:szCs w:val="24"/>
        </w:rPr>
        <w:t>CLUSTER(19000 – 119000 km) – 3 instruments on the satellite</w:t>
      </w:r>
      <w:r w:rsidR="008D799D">
        <w:rPr>
          <w:sz w:val="24"/>
          <w:szCs w:val="24"/>
        </w:rPr>
        <w:t xml:space="preserve"> ( only 2 suitable for our use)</w:t>
      </w:r>
    </w:p>
    <w:p w:rsidR="00EA7A21" w:rsidRPr="00EA7A21" w:rsidRDefault="00927285" w:rsidP="00EA7A21">
      <w:pPr>
        <w:pStyle w:val="ListParagraph"/>
        <w:ind w:left="360"/>
        <w:rPr>
          <w:sz w:val="24"/>
          <w:szCs w:val="24"/>
        </w:rPr>
      </w:pPr>
      <w:proofErr w:type="gramStart"/>
      <w:r w:rsidRPr="00EA7A21">
        <w:rPr>
          <w:sz w:val="24"/>
          <w:szCs w:val="24"/>
        </w:rPr>
        <w:t>a)</w:t>
      </w:r>
      <w:proofErr w:type="gramEnd"/>
      <w:r w:rsidRPr="00EA7A21">
        <w:rPr>
          <w:sz w:val="24"/>
          <w:szCs w:val="24"/>
        </w:rPr>
        <w:t>RAPID spectrometer (Research with Adaptive Particle Imaging Detectors) –</w:t>
      </w:r>
      <w:r w:rsidR="00EA7A21" w:rsidRPr="00EA7A21">
        <w:rPr>
          <w:sz w:val="24"/>
          <w:szCs w:val="24"/>
        </w:rPr>
        <w:t xml:space="preserve"> </w:t>
      </w:r>
      <w:hyperlink r:id="rId6" w:history="1">
        <w:r w:rsidR="00EA7A21" w:rsidRPr="00EA7A21">
          <w:rPr>
            <w:rStyle w:val="Hyperlink"/>
            <w:sz w:val="24"/>
            <w:szCs w:val="24"/>
          </w:rPr>
          <w:t>Patrick Daly</w:t>
        </w:r>
      </w:hyperlink>
      <w:r w:rsidR="00EA7A21" w:rsidRPr="00EA7A21">
        <w:rPr>
          <w:sz w:val="24"/>
          <w:szCs w:val="24"/>
        </w:rPr>
        <w:t>, MPS, Germany was chief investigator.</w:t>
      </w:r>
      <w:r w:rsidRPr="00EA7A21">
        <w:rPr>
          <w:sz w:val="24"/>
          <w:szCs w:val="24"/>
        </w:rPr>
        <w:t xml:space="preserve"> It also consists of 2 instruments</w:t>
      </w:r>
      <w:r w:rsidR="00EA7A21" w:rsidRPr="00EA7A21">
        <w:rPr>
          <w:sz w:val="24"/>
          <w:szCs w:val="24"/>
        </w:rPr>
        <w:t>:</w:t>
      </w:r>
    </w:p>
    <w:p w:rsidR="00EA7A21" w:rsidRPr="00D936B3" w:rsidRDefault="00EA7A21" w:rsidP="00EA7A2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A7A21">
        <w:rPr>
          <w:rFonts w:ascii="Times New Roman" w:hAnsi="Times New Roman" w:cs="Times New Roman"/>
          <w:sz w:val="24"/>
          <w:szCs w:val="24"/>
        </w:rPr>
        <w:t>• IIMS</w:t>
      </w:r>
      <w:r w:rsidRPr="00D936B3">
        <w:rPr>
          <w:rFonts w:ascii="Times New Roman" w:hAnsi="Times New Roman" w:cs="Times New Roman"/>
          <w:sz w:val="24"/>
          <w:szCs w:val="24"/>
        </w:rPr>
        <w:t xml:space="preserve"> (Imaging Ion Mass Spectrometer) for ion distribution. IIMS is a position-sensitive instrument with solid state detectors and TOF (Time-of-Flight) electronics. FOV= 3º x 180º</w:t>
      </w:r>
    </w:p>
    <w:p w:rsidR="00EA7A21" w:rsidRDefault="00EA7A21" w:rsidP="00EA7A21">
      <w:pPr>
        <w:pStyle w:val="class7"/>
        <w:rPr>
          <w:rFonts w:ascii="TimesNewRoman" w:hAnsi="TimesNewRoman" w:cs="TimesNewRoman"/>
        </w:rPr>
      </w:pPr>
      <w:r>
        <w:rPr>
          <w:rFonts w:eastAsia="Times New Roman"/>
        </w:rPr>
        <w:t xml:space="preserve">      </w:t>
      </w:r>
      <w:r w:rsidRPr="00D936B3">
        <w:rPr>
          <w:rFonts w:eastAsia="Times New Roman"/>
        </w:rPr>
        <w:t>•</w:t>
      </w:r>
      <w:r w:rsidRPr="00EA7A21">
        <w:rPr>
          <w:rFonts w:eastAsia="Times New Roman"/>
        </w:rPr>
        <w:t xml:space="preserve"> IES</w:t>
      </w:r>
      <w:r w:rsidRPr="00D936B3">
        <w:rPr>
          <w:rFonts w:eastAsia="Times New Roman"/>
        </w:rPr>
        <w:t xml:space="preserve"> (Imaging Electron Spectrometer) for measuring energetic electrons. IES has a position-sensitive solid state detector. FOV = 17.5º x 180º.</w:t>
      </w:r>
      <w:r>
        <w:rPr>
          <w:rFonts w:eastAsia="Times New Roman"/>
        </w:rPr>
        <w:t xml:space="preserve"> </w:t>
      </w:r>
      <w:r>
        <w:t xml:space="preserve">IES - </w:t>
      </w:r>
      <w:r w:rsidRPr="00BE0CDA">
        <w:rPr>
          <w:rFonts w:ascii="TimesNewRoman" w:hAnsi="TimesNewRoman" w:cs="TimesNewRoman"/>
        </w:rPr>
        <w:t>pixel resolution was 10</w:t>
      </w:r>
      <w:r w:rsidRPr="00BE0CDA">
        <w:rPr>
          <w:rFonts w:ascii="Calibri" w:hAnsi="Calibri" w:cs="Calibri"/>
        </w:rPr>
        <w:t xml:space="preserve">° by 20° </w:t>
      </w:r>
      <w:r w:rsidRPr="00BE0CDA">
        <w:rPr>
          <w:rFonts w:ascii="TimesNewRoman" w:hAnsi="TimesNewRoman" w:cs="TimesNewRoman"/>
        </w:rPr>
        <w:t>and the instrument suffered from channel stability over temperature</w:t>
      </w:r>
      <w:r>
        <w:rPr>
          <w:rFonts w:ascii="TimesNewRoman" w:hAnsi="TimesNewRoman" w:cs="TimesNewRoman"/>
        </w:rPr>
        <w:t xml:space="preserve"> (its disadvantage that was removed in FSH)</w:t>
      </w:r>
    </w:p>
    <w:p w:rsidR="006F3409" w:rsidRDefault="006F3409" w:rsidP="006F3409">
      <w:pPr>
        <w:pStyle w:val="ListParagraph"/>
        <w:numPr>
          <w:ilvl w:val="0"/>
          <w:numId w:val="9"/>
        </w:numPr>
        <w:spacing w:before="100" w:beforeAutospacing="1" w:after="100" w:afterAutospacing="1" w:line="240" w:lineRule="auto"/>
        <w:rPr>
          <w:rFonts w:ascii="Times New Roman" w:hAnsi="Times New Roman" w:cs="Times New Roman"/>
          <w:sz w:val="24"/>
          <w:szCs w:val="24"/>
        </w:rPr>
      </w:pPr>
      <w:r w:rsidRPr="006F3409">
        <w:rPr>
          <w:rFonts w:ascii="Times New Roman" w:hAnsi="Times New Roman" w:cs="Times New Roman"/>
          <w:sz w:val="24"/>
          <w:szCs w:val="24"/>
        </w:rPr>
        <w:t xml:space="preserve">PEACE: A PLASMA ELECTRON AND CURRENT EXPERIMENT – A. </w:t>
      </w:r>
      <w:proofErr w:type="spellStart"/>
      <w:r w:rsidRPr="006F3409">
        <w:rPr>
          <w:rFonts w:ascii="Times New Roman" w:hAnsi="Times New Roman" w:cs="Times New Roman"/>
          <w:sz w:val="24"/>
          <w:szCs w:val="24"/>
        </w:rPr>
        <w:t>Fazakerley</w:t>
      </w:r>
      <w:proofErr w:type="spellEnd"/>
      <w:r w:rsidRPr="006F3409">
        <w:rPr>
          <w:rFonts w:ascii="Times New Roman" w:hAnsi="Times New Roman" w:cs="Times New Roman"/>
          <w:sz w:val="24"/>
          <w:szCs w:val="24"/>
        </w:rPr>
        <w:t xml:space="preserve"> (MSSL, UK) was chief investigator.</w:t>
      </w:r>
    </w:p>
    <w:p w:rsidR="00F30BC6" w:rsidRDefault="008D799D" w:rsidP="00F30BC6">
      <w:pPr>
        <w:pStyle w:val="class7"/>
        <w:numPr>
          <w:ilvl w:val="0"/>
          <w:numId w:val="2"/>
        </w:numPr>
      </w:pPr>
      <w:r>
        <w:t xml:space="preserve">SATRAM - The instrument was designed and constructed by </w:t>
      </w:r>
      <w:hyperlink r:id="rId7" w:tgtFrame="new" w:history="1">
        <w:r>
          <w:rPr>
            <w:rStyle w:val="Hyperlink"/>
          </w:rPr>
          <w:t>CSRC</w:t>
        </w:r>
      </w:hyperlink>
      <w:r>
        <w:t>, Brno with the Institute of Experimental and Applied Physics (</w:t>
      </w:r>
      <w:hyperlink r:id="rId8" w:tgtFrame="new" w:history="1">
        <w:r>
          <w:rPr>
            <w:rStyle w:val="Hyperlink"/>
          </w:rPr>
          <w:t>UTEF</w:t>
        </w:r>
      </w:hyperlink>
      <w:r>
        <w:t>) of the Czech Technical University (</w:t>
      </w:r>
      <w:hyperlink r:id="rId9" w:tgtFrame="new" w:history="1">
        <w:r>
          <w:rPr>
            <w:rStyle w:val="Hyperlink"/>
          </w:rPr>
          <w:t>CTU</w:t>
        </w:r>
      </w:hyperlink>
      <w:r>
        <w:t>) in Prague</w:t>
      </w:r>
    </w:p>
    <w:p w:rsidR="008D799D" w:rsidRPr="00F30BC6" w:rsidRDefault="008D799D" w:rsidP="00F30BC6">
      <w:pPr>
        <w:pStyle w:val="class7"/>
        <w:numPr>
          <w:ilvl w:val="0"/>
          <w:numId w:val="2"/>
        </w:numPr>
      </w:pPr>
      <w:r w:rsidRPr="00F30BC6">
        <w:rPr>
          <w:rFonts w:ascii="TimesNewRoman" w:hAnsi="TimesNewRoman" w:cs="TimesNewRoman"/>
        </w:rPr>
        <w:t xml:space="preserve"> EPHIN (Electron Proton Helium Instrument) </w:t>
      </w:r>
      <w:r w:rsidR="00F30BC6">
        <w:rPr>
          <w:rFonts w:ascii="TimesNewRoman" w:hAnsi="TimesNewRoman" w:cs="TimesNewRoman"/>
        </w:rPr>
        <w:t>-</w:t>
      </w:r>
      <w:r w:rsidRPr="00F30BC6">
        <w:rPr>
          <w:rFonts w:ascii="TimesNewRoman" w:hAnsi="TimesNewRoman" w:cs="TimesNewRoman"/>
        </w:rPr>
        <w:t xml:space="preserve"> measure energy spectra of electrons in the range 250 </w:t>
      </w:r>
      <w:proofErr w:type="spellStart"/>
      <w:r w:rsidRPr="00F30BC6">
        <w:rPr>
          <w:rFonts w:ascii="TimesNewRoman" w:hAnsi="TimesNewRoman" w:cs="TimesNewRoman"/>
        </w:rPr>
        <w:t>keV</w:t>
      </w:r>
      <w:proofErr w:type="spellEnd"/>
      <w:r w:rsidRPr="00F30BC6">
        <w:rPr>
          <w:rFonts w:ascii="TimesNewRoman" w:hAnsi="TimesNewRoman" w:cs="TimesNewRoman"/>
        </w:rPr>
        <w:t xml:space="preserve"> to &gt; 8.7 </w:t>
      </w:r>
      <w:proofErr w:type="spellStart"/>
      <w:r w:rsidRPr="00F30BC6">
        <w:rPr>
          <w:rFonts w:ascii="TimesNewRoman" w:hAnsi="TimesNewRoman" w:cs="TimesNewRoman"/>
        </w:rPr>
        <w:t>MeV</w:t>
      </w:r>
      <w:proofErr w:type="spellEnd"/>
      <w:r w:rsidRPr="00F30BC6">
        <w:rPr>
          <w:rFonts w:ascii="TimesNewRoman" w:hAnsi="TimesNewRoman" w:cs="TimesNewRoman"/>
        </w:rPr>
        <w:t xml:space="preserve">, and of hydrogen and helium isotopes in the range 4 </w:t>
      </w:r>
      <w:proofErr w:type="spellStart"/>
      <w:r w:rsidRPr="00F30BC6">
        <w:rPr>
          <w:rFonts w:ascii="TimesNewRoman" w:hAnsi="TimesNewRoman" w:cs="TimesNewRoman"/>
        </w:rPr>
        <w:t>MeV</w:t>
      </w:r>
      <w:proofErr w:type="spellEnd"/>
      <w:r w:rsidRPr="00F30BC6">
        <w:rPr>
          <w:rFonts w:ascii="TimesNewRoman" w:hAnsi="TimesNewRoman" w:cs="TimesNewRoman"/>
        </w:rPr>
        <w:t xml:space="preserve">/n to &gt; 53 </w:t>
      </w:r>
      <w:proofErr w:type="spellStart"/>
      <w:r w:rsidRPr="00F30BC6">
        <w:rPr>
          <w:rFonts w:ascii="TimesNewRoman" w:hAnsi="TimesNewRoman" w:cs="TimesNewRoman"/>
        </w:rPr>
        <w:t>MeV</w:t>
      </w:r>
      <w:proofErr w:type="spellEnd"/>
      <w:r w:rsidRPr="00F30BC6">
        <w:rPr>
          <w:rFonts w:ascii="TimesNewRoman" w:hAnsi="TimesNewRoman" w:cs="TimesNewRoman"/>
        </w:rPr>
        <w:t>/n</w:t>
      </w:r>
      <w:r w:rsidR="00F30BC6">
        <w:rPr>
          <w:rFonts w:ascii="TimesNewRoman" w:hAnsi="TimesNewRoman" w:cs="TimesNewRoman"/>
        </w:rPr>
        <w:t>.</w:t>
      </w:r>
      <w:r w:rsidR="00F30BC6" w:rsidRPr="00F30BC6">
        <w:rPr>
          <w:rFonts w:ascii="TimesNewRoman" w:hAnsi="TimesNewRoman" w:cs="TimesNewRoman"/>
        </w:rPr>
        <w:t xml:space="preserve"> </w:t>
      </w:r>
    </w:p>
    <w:p w:rsidR="008D799D" w:rsidRDefault="00F30BC6" w:rsidP="008D799D">
      <w:pPr>
        <w:pStyle w:val="class7"/>
        <w:numPr>
          <w:ilvl w:val="0"/>
          <w:numId w:val="2"/>
        </w:numPr>
      </w:pPr>
      <w:proofErr w:type="gramStart"/>
      <w:r w:rsidRPr="0092382E">
        <w:t>HEPS(</w:t>
      </w:r>
      <w:proofErr w:type="gramEnd"/>
      <w:r w:rsidRPr="0092382E">
        <w:t>High Energy Proton Spectr</w:t>
      </w:r>
      <w:r>
        <w:t xml:space="preserve">ometer) - </w:t>
      </w:r>
      <w:r w:rsidRPr="0092382E">
        <w:t xml:space="preserve">developed by </w:t>
      </w:r>
      <w:proofErr w:type="spellStart"/>
      <w:r w:rsidRPr="0092382E">
        <w:t>Amptek</w:t>
      </w:r>
      <w:proofErr w:type="spellEnd"/>
      <w:r w:rsidRPr="0092382E">
        <w:t xml:space="preserve"> Inc. The objective is to measure protons with energies between 15 and 440 </w:t>
      </w:r>
      <w:proofErr w:type="spellStart"/>
      <w:r w:rsidRPr="0092382E">
        <w:t>MeV</w:t>
      </w:r>
      <w:proofErr w:type="spellEnd"/>
      <w:r w:rsidRPr="0092382E">
        <w:t xml:space="preserve"> and electrons with energies between 1.5 and 20 </w:t>
      </w:r>
      <w:proofErr w:type="spellStart"/>
      <w:r w:rsidRPr="0092382E">
        <w:t>MeV</w:t>
      </w:r>
      <w:proofErr w:type="spellEnd"/>
      <w:r w:rsidRPr="0092382E">
        <w:t>.</w:t>
      </w:r>
      <w:r>
        <w:t xml:space="preserve"> (used o</w:t>
      </w:r>
      <w:r w:rsidRPr="0092382E">
        <w:t>n DSX</w:t>
      </w:r>
      <w:r>
        <w:t>)</w:t>
      </w:r>
    </w:p>
    <w:p w:rsidR="00D63CBE" w:rsidRPr="00F9225D" w:rsidRDefault="00D63CBE" w:rsidP="00F9225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63CBE">
        <w:rPr>
          <w:sz w:val="24"/>
          <w:szCs w:val="24"/>
        </w:rPr>
        <w:lastRenderedPageBreak/>
        <w:t>CEASE 1 (used on DSX) -</w:t>
      </w:r>
      <w:r w:rsidRPr="00D63CBE">
        <w:rPr>
          <w:rFonts w:ascii="Times New Roman" w:hAnsi="Times New Roman" w:cs="Times New Roman"/>
          <w:sz w:val="24"/>
          <w:szCs w:val="24"/>
        </w:rPr>
        <w:t xml:space="preserve"> The CEASE was originally designed and built by </w:t>
      </w:r>
      <w:proofErr w:type="spellStart"/>
      <w:r w:rsidRPr="00D63CBE">
        <w:rPr>
          <w:rFonts w:ascii="Times New Roman" w:hAnsi="Times New Roman" w:cs="Times New Roman"/>
          <w:sz w:val="24"/>
          <w:szCs w:val="24"/>
        </w:rPr>
        <w:t>Amptek</w:t>
      </w:r>
      <w:proofErr w:type="spellEnd"/>
      <w:r w:rsidRPr="00D63CBE">
        <w:rPr>
          <w:rFonts w:ascii="Times New Roman" w:hAnsi="Times New Roman" w:cs="Times New Roman"/>
          <w:sz w:val="24"/>
          <w:szCs w:val="24"/>
        </w:rPr>
        <w:t xml:space="preserve"> Inc. of Bedford MA. However for the DSX mission, a CEASE was reconditioned, tested and calibrated by Assurance Technology Corp. of Carlisle MA.</w:t>
      </w:r>
      <w:r w:rsidRPr="00D63CBE">
        <w:rPr>
          <w:sz w:val="24"/>
          <w:szCs w:val="24"/>
        </w:rPr>
        <w:t xml:space="preserve"> </w:t>
      </w:r>
    </w:p>
    <w:p w:rsidR="00EA7A21" w:rsidRDefault="00EA7A21" w:rsidP="00EA7A21">
      <w:pPr>
        <w:pStyle w:val="ListParagraph"/>
        <w:ind w:left="360"/>
      </w:pPr>
    </w:p>
    <w:tbl>
      <w:tblPr>
        <w:tblStyle w:val="TableGrid"/>
        <w:tblW w:w="0" w:type="auto"/>
        <w:tblLook w:val="04A0"/>
      </w:tblPr>
      <w:tblGrid>
        <w:gridCol w:w="987"/>
        <w:gridCol w:w="2249"/>
        <w:gridCol w:w="1376"/>
        <w:gridCol w:w="900"/>
        <w:gridCol w:w="997"/>
        <w:gridCol w:w="1487"/>
      </w:tblGrid>
      <w:tr w:rsidR="00F9225D" w:rsidTr="00F9225D">
        <w:tc>
          <w:tcPr>
            <w:tcW w:w="987" w:type="dxa"/>
          </w:tcPr>
          <w:p w:rsidR="00F9225D" w:rsidRDefault="00F9225D" w:rsidP="00F9225D">
            <w:r>
              <w:t>EPT</w:t>
            </w:r>
          </w:p>
        </w:tc>
        <w:tc>
          <w:tcPr>
            <w:tcW w:w="2249" w:type="dxa"/>
          </w:tcPr>
          <w:p w:rsidR="00F9225D" w:rsidRDefault="00F9225D" w:rsidP="00F9225D">
            <w:r>
              <w:t>127.5×162×211.5 mm</w:t>
            </w:r>
            <w:r>
              <w:rPr>
                <w:vertAlign w:val="superscript"/>
              </w:rPr>
              <w:t>3</w:t>
            </w:r>
          </w:p>
        </w:tc>
        <w:tc>
          <w:tcPr>
            <w:tcW w:w="1376" w:type="dxa"/>
          </w:tcPr>
          <w:p w:rsidR="00F9225D" w:rsidRDefault="00F9225D" w:rsidP="00F9225D">
            <w:r>
              <w:t>4.6 kg</w:t>
            </w:r>
          </w:p>
        </w:tc>
        <w:tc>
          <w:tcPr>
            <w:tcW w:w="900" w:type="dxa"/>
          </w:tcPr>
          <w:p w:rsidR="00F9225D" w:rsidRDefault="00F9225D" w:rsidP="00F9225D">
            <w:r>
              <w:t>52 deg.</w:t>
            </w:r>
          </w:p>
        </w:tc>
        <w:tc>
          <w:tcPr>
            <w:tcW w:w="997" w:type="dxa"/>
          </w:tcPr>
          <w:p w:rsidR="00F9225D" w:rsidRDefault="00F9225D" w:rsidP="00F9225D"/>
        </w:tc>
        <w:tc>
          <w:tcPr>
            <w:tcW w:w="1487" w:type="dxa"/>
          </w:tcPr>
          <w:p w:rsidR="00F9225D" w:rsidRDefault="00F9225D" w:rsidP="00F9225D"/>
        </w:tc>
      </w:tr>
      <w:tr w:rsidR="00F9225D" w:rsidTr="00F9225D">
        <w:tc>
          <w:tcPr>
            <w:tcW w:w="987" w:type="dxa"/>
          </w:tcPr>
          <w:p w:rsidR="00F9225D" w:rsidRDefault="00F9225D" w:rsidP="00F9225D">
            <w:r>
              <w:t>IDP</w:t>
            </w:r>
          </w:p>
        </w:tc>
        <w:tc>
          <w:tcPr>
            <w:tcW w:w="2249" w:type="dxa"/>
          </w:tcPr>
          <w:p w:rsidR="00F9225D" w:rsidRPr="000E5872" w:rsidRDefault="00F9225D" w:rsidP="00F9225D">
            <w:pPr>
              <w:rPr>
                <w:vertAlign w:val="superscript"/>
              </w:rPr>
            </w:pPr>
            <w:r>
              <w:t>1mm * 490 mm</w:t>
            </w:r>
            <w:r>
              <w:rPr>
                <w:vertAlign w:val="superscript"/>
              </w:rPr>
              <w:t>2</w:t>
            </w:r>
          </w:p>
        </w:tc>
        <w:tc>
          <w:tcPr>
            <w:tcW w:w="1376" w:type="dxa"/>
          </w:tcPr>
          <w:p w:rsidR="00F9225D" w:rsidRDefault="00F9225D" w:rsidP="00F9225D">
            <w:r>
              <w:t>0.525 kg</w:t>
            </w:r>
          </w:p>
        </w:tc>
        <w:tc>
          <w:tcPr>
            <w:tcW w:w="900" w:type="dxa"/>
          </w:tcPr>
          <w:p w:rsidR="00F9225D" w:rsidRDefault="00F9225D" w:rsidP="00F9225D">
            <w:r>
              <w:t>30 deg.</w:t>
            </w:r>
          </w:p>
        </w:tc>
        <w:tc>
          <w:tcPr>
            <w:tcW w:w="997" w:type="dxa"/>
          </w:tcPr>
          <w:p w:rsidR="00F9225D" w:rsidRDefault="00F9225D" w:rsidP="00F9225D">
            <w:r>
              <w:t xml:space="preserve">895 </w:t>
            </w:r>
            <w:proofErr w:type="spellStart"/>
            <w:r>
              <w:t>mW</w:t>
            </w:r>
            <w:proofErr w:type="spellEnd"/>
          </w:p>
        </w:tc>
        <w:tc>
          <w:tcPr>
            <w:tcW w:w="1487" w:type="dxa"/>
          </w:tcPr>
          <w:p w:rsidR="00F9225D" w:rsidRDefault="00F9225D" w:rsidP="00F9225D">
            <w:r>
              <w:t>1.7 Mb/s</w:t>
            </w:r>
          </w:p>
        </w:tc>
      </w:tr>
      <w:tr w:rsidR="00F9225D" w:rsidTr="00F9225D">
        <w:tc>
          <w:tcPr>
            <w:tcW w:w="987" w:type="dxa"/>
          </w:tcPr>
          <w:p w:rsidR="00F9225D" w:rsidRDefault="00F9225D" w:rsidP="00F9225D">
            <w:r>
              <w:t>ICARE</w:t>
            </w:r>
          </w:p>
        </w:tc>
        <w:tc>
          <w:tcPr>
            <w:tcW w:w="2249" w:type="dxa"/>
          </w:tcPr>
          <w:p w:rsidR="00F9225D" w:rsidRPr="00927285" w:rsidRDefault="00F9225D" w:rsidP="00F9225D">
            <w:pPr>
              <w:rPr>
                <w:vertAlign w:val="superscript"/>
              </w:rPr>
            </w:pPr>
            <w:r>
              <w:t>116*202*90 mm</w:t>
            </w:r>
            <w:r>
              <w:rPr>
                <w:vertAlign w:val="superscript"/>
              </w:rPr>
              <w:t>3</w:t>
            </w:r>
          </w:p>
        </w:tc>
        <w:tc>
          <w:tcPr>
            <w:tcW w:w="1376" w:type="dxa"/>
          </w:tcPr>
          <w:p w:rsidR="00F9225D" w:rsidRDefault="00F9225D" w:rsidP="00F9225D">
            <w:r>
              <w:t>2.4 kg</w:t>
            </w:r>
          </w:p>
        </w:tc>
        <w:tc>
          <w:tcPr>
            <w:tcW w:w="900" w:type="dxa"/>
          </w:tcPr>
          <w:p w:rsidR="00F9225D" w:rsidRDefault="00F9225D" w:rsidP="00F9225D"/>
        </w:tc>
        <w:tc>
          <w:tcPr>
            <w:tcW w:w="997" w:type="dxa"/>
          </w:tcPr>
          <w:p w:rsidR="00F9225D" w:rsidRDefault="00F9225D" w:rsidP="00F9225D">
            <w:r>
              <w:t>3W</w:t>
            </w:r>
          </w:p>
        </w:tc>
        <w:tc>
          <w:tcPr>
            <w:tcW w:w="1487" w:type="dxa"/>
          </w:tcPr>
          <w:p w:rsidR="00F9225D" w:rsidRDefault="00F9225D" w:rsidP="00F9225D">
            <w:r>
              <w:t>2.6 kb/s</w:t>
            </w:r>
          </w:p>
        </w:tc>
      </w:tr>
      <w:tr w:rsidR="00F9225D" w:rsidTr="00F9225D">
        <w:tc>
          <w:tcPr>
            <w:tcW w:w="987" w:type="dxa"/>
          </w:tcPr>
          <w:p w:rsidR="00F9225D" w:rsidRDefault="00F9225D" w:rsidP="00F9225D">
            <w:r>
              <w:t>PEACE</w:t>
            </w:r>
          </w:p>
        </w:tc>
        <w:tc>
          <w:tcPr>
            <w:tcW w:w="2249" w:type="dxa"/>
          </w:tcPr>
          <w:p w:rsidR="00F9225D" w:rsidRPr="008D799D" w:rsidRDefault="00F9225D" w:rsidP="00F9225D"/>
        </w:tc>
        <w:tc>
          <w:tcPr>
            <w:tcW w:w="1376" w:type="dxa"/>
          </w:tcPr>
          <w:p w:rsidR="00F9225D" w:rsidRPr="006F3409" w:rsidRDefault="00F9225D" w:rsidP="00F9225D">
            <w:r>
              <w:t>5.49 kg</w:t>
            </w:r>
          </w:p>
        </w:tc>
        <w:tc>
          <w:tcPr>
            <w:tcW w:w="900" w:type="dxa"/>
          </w:tcPr>
          <w:p w:rsidR="00F9225D" w:rsidRPr="006F3409" w:rsidRDefault="00F9225D" w:rsidP="00F9225D">
            <w:pPr>
              <w:spacing w:before="100" w:beforeAutospacing="1" w:after="100" w:afterAutospacing="1"/>
              <w:rPr>
                <w:rFonts w:ascii="Times New Roman" w:hAnsi="Times New Roman" w:cs="Times New Roman"/>
                <w:sz w:val="24"/>
                <w:szCs w:val="24"/>
              </w:rPr>
            </w:pPr>
          </w:p>
        </w:tc>
        <w:tc>
          <w:tcPr>
            <w:tcW w:w="997" w:type="dxa"/>
          </w:tcPr>
          <w:p w:rsidR="00F9225D" w:rsidRPr="00D63CBE" w:rsidRDefault="00F9225D" w:rsidP="00F9225D">
            <w:pPr>
              <w:spacing w:before="100" w:beforeAutospacing="1" w:after="100" w:afterAutospacing="1"/>
              <w:rPr>
                <w:rFonts w:ascii="Times New Roman" w:hAnsi="Times New Roman" w:cs="Times New Roman"/>
              </w:rPr>
            </w:pPr>
            <w:r w:rsidRPr="00D63CBE">
              <w:rPr>
                <w:rFonts w:ascii="Times New Roman" w:hAnsi="Times New Roman" w:cs="Times New Roman"/>
              </w:rPr>
              <w:t>3.299W</w:t>
            </w:r>
          </w:p>
        </w:tc>
        <w:tc>
          <w:tcPr>
            <w:tcW w:w="1487" w:type="dxa"/>
          </w:tcPr>
          <w:p w:rsidR="00F9225D" w:rsidRDefault="00F9225D" w:rsidP="00F9225D"/>
        </w:tc>
      </w:tr>
      <w:tr w:rsidR="00F9225D" w:rsidTr="00F9225D">
        <w:tc>
          <w:tcPr>
            <w:tcW w:w="987" w:type="dxa"/>
          </w:tcPr>
          <w:p w:rsidR="00F9225D" w:rsidRDefault="00F9225D" w:rsidP="00F9225D">
            <w:r>
              <w:t>SATRAM</w:t>
            </w:r>
          </w:p>
        </w:tc>
        <w:tc>
          <w:tcPr>
            <w:tcW w:w="2249" w:type="dxa"/>
          </w:tcPr>
          <w:p w:rsidR="00F9225D" w:rsidRDefault="00F9225D" w:rsidP="00F9225D">
            <w:r>
              <w:t>55.5*62.1*107.1 mm</w:t>
            </w:r>
            <w:r>
              <w:rPr>
                <w:vertAlign w:val="superscript"/>
              </w:rPr>
              <w:t>3</w:t>
            </w:r>
          </w:p>
        </w:tc>
        <w:tc>
          <w:tcPr>
            <w:tcW w:w="1376" w:type="dxa"/>
          </w:tcPr>
          <w:p w:rsidR="00F9225D" w:rsidRDefault="00F9225D" w:rsidP="00F9225D">
            <w:r>
              <w:t>0.380 kg</w:t>
            </w:r>
          </w:p>
        </w:tc>
        <w:tc>
          <w:tcPr>
            <w:tcW w:w="900" w:type="dxa"/>
          </w:tcPr>
          <w:p w:rsidR="00F9225D" w:rsidRDefault="00F9225D" w:rsidP="00F9225D"/>
        </w:tc>
        <w:tc>
          <w:tcPr>
            <w:tcW w:w="997" w:type="dxa"/>
          </w:tcPr>
          <w:p w:rsidR="00F9225D" w:rsidRDefault="00F9225D" w:rsidP="00F9225D"/>
        </w:tc>
        <w:tc>
          <w:tcPr>
            <w:tcW w:w="1487" w:type="dxa"/>
          </w:tcPr>
          <w:p w:rsidR="00F9225D" w:rsidRDefault="00F9225D" w:rsidP="00F9225D"/>
        </w:tc>
      </w:tr>
      <w:tr w:rsidR="00F9225D" w:rsidTr="00F9225D">
        <w:tc>
          <w:tcPr>
            <w:tcW w:w="987" w:type="dxa"/>
          </w:tcPr>
          <w:p w:rsidR="00F9225D" w:rsidRDefault="00F9225D" w:rsidP="00F9225D">
            <w:r>
              <w:t>EPHIN</w:t>
            </w:r>
          </w:p>
        </w:tc>
        <w:tc>
          <w:tcPr>
            <w:tcW w:w="2249" w:type="dxa"/>
          </w:tcPr>
          <w:p w:rsidR="00F9225D" w:rsidRPr="00F30BC6" w:rsidRDefault="00F9225D" w:rsidP="00F9225D">
            <w:pPr>
              <w:rPr>
                <w:vertAlign w:val="superscript"/>
              </w:rPr>
            </w:pPr>
            <w:r>
              <w:t>355*219*191 mm</w:t>
            </w:r>
            <w:r>
              <w:rPr>
                <w:vertAlign w:val="superscript"/>
              </w:rPr>
              <w:t>3</w:t>
            </w:r>
          </w:p>
        </w:tc>
        <w:tc>
          <w:tcPr>
            <w:tcW w:w="1376" w:type="dxa"/>
          </w:tcPr>
          <w:p w:rsidR="00F9225D" w:rsidRDefault="00F9225D" w:rsidP="00F9225D">
            <w:r>
              <w:t>3.55 kg</w:t>
            </w:r>
          </w:p>
        </w:tc>
        <w:tc>
          <w:tcPr>
            <w:tcW w:w="900" w:type="dxa"/>
          </w:tcPr>
          <w:p w:rsidR="00F9225D" w:rsidRDefault="00F9225D" w:rsidP="00F9225D"/>
        </w:tc>
        <w:tc>
          <w:tcPr>
            <w:tcW w:w="997" w:type="dxa"/>
          </w:tcPr>
          <w:p w:rsidR="00F9225D" w:rsidRDefault="00F9225D" w:rsidP="00F9225D">
            <w:r>
              <w:t>1.85W</w:t>
            </w:r>
          </w:p>
        </w:tc>
        <w:tc>
          <w:tcPr>
            <w:tcW w:w="1487" w:type="dxa"/>
          </w:tcPr>
          <w:p w:rsidR="00F9225D" w:rsidRDefault="00F9225D" w:rsidP="00F9225D">
            <w:r>
              <w:t>172 bit/s</w:t>
            </w:r>
          </w:p>
        </w:tc>
      </w:tr>
      <w:tr w:rsidR="00F9225D" w:rsidTr="00F9225D">
        <w:tc>
          <w:tcPr>
            <w:tcW w:w="987" w:type="dxa"/>
          </w:tcPr>
          <w:p w:rsidR="00F9225D" w:rsidRDefault="00F9225D" w:rsidP="00F9225D">
            <w:r>
              <w:t>HEPS</w:t>
            </w:r>
          </w:p>
        </w:tc>
        <w:tc>
          <w:tcPr>
            <w:tcW w:w="2249" w:type="dxa"/>
          </w:tcPr>
          <w:p w:rsidR="00F9225D" w:rsidRPr="00D63CBE" w:rsidRDefault="00F9225D" w:rsidP="00F9225D">
            <w:r w:rsidRPr="00D63CBE">
              <w:rPr>
                <w:rFonts w:ascii="TimesNewRoman" w:hAnsi="TimesNewRoman" w:cs="TimesNewRoman"/>
              </w:rPr>
              <w:t>101x84x76 mm3</w:t>
            </w:r>
            <w:r>
              <w:rPr>
                <w:rFonts w:ascii="TimesNewRoman" w:hAnsi="TimesNewRoman" w:cs="TimesNewRoman"/>
              </w:rPr>
              <w:t xml:space="preserve"> (only sensor box)</w:t>
            </w:r>
          </w:p>
        </w:tc>
        <w:tc>
          <w:tcPr>
            <w:tcW w:w="1376" w:type="dxa"/>
          </w:tcPr>
          <w:p w:rsidR="00F9225D" w:rsidRDefault="00F9225D" w:rsidP="00F9225D">
            <w:r>
              <w:t>1.6 kg (only sensor box)</w:t>
            </w:r>
          </w:p>
        </w:tc>
        <w:tc>
          <w:tcPr>
            <w:tcW w:w="900" w:type="dxa"/>
          </w:tcPr>
          <w:p w:rsidR="00F9225D" w:rsidRDefault="00F9225D" w:rsidP="00F9225D">
            <w:r>
              <w:t>12 deg.</w:t>
            </w:r>
          </w:p>
        </w:tc>
        <w:tc>
          <w:tcPr>
            <w:tcW w:w="997" w:type="dxa"/>
          </w:tcPr>
          <w:p w:rsidR="00F9225D" w:rsidRDefault="00F9225D" w:rsidP="00F9225D"/>
        </w:tc>
        <w:tc>
          <w:tcPr>
            <w:tcW w:w="1487" w:type="dxa"/>
          </w:tcPr>
          <w:p w:rsidR="00F9225D" w:rsidRDefault="00F9225D" w:rsidP="00F9225D"/>
        </w:tc>
      </w:tr>
      <w:tr w:rsidR="00F9225D" w:rsidTr="00F9225D">
        <w:tc>
          <w:tcPr>
            <w:tcW w:w="987" w:type="dxa"/>
          </w:tcPr>
          <w:p w:rsidR="00F9225D" w:rsidRDefault="00F9225D" w:rsidP="00F9225D">
            <w:r>
              <w:t>CEASE</w:t>
            </w:r>
          </w:p>
        </w:tc>
        <w:tc>
          <w:tcPr>
            <w:tcW w:w="2249" w:type="dxa"/>
          </w:tcPr>
          <w:p w:rsidR="00F9225D" w:rsidRPr="00F9225D" w:rsidRDefault="00F9225D" w:rsidP="00F9225D">
            <w:pPr>
              <w:rPr>
                <w:vertAlign w:val="superscript"/>
              </w:rPr>
            </w:pPr>
            <w:r w:rsidRPr="00F9225D">
              <w:rPr>
                <w:rFonts w:ascii="Times New Roman" w:hAnsi="Times New Roman" w:cs="Times New Roman"/>
              </w:rPr>
              <w:t>85.34 x 101.6 x 12.0 mm</w:t>
            </w:r>
            <w:r>
              <w:rPr>
                <w:rFonts w:ascii="Times New Roman" w:hAnsi="Times New Roman" w:cs="Times New Roman"/>
                <w:vertAlign w:val="superscript"/>
              </w:rPr>
              <w:t>3</w:t>
            </w:r>
          </w:p>
        </w:tc>
        <w:tc>
          <w:tcPr>
            <w:tcW w:w="1376" w:type="dxa"/>
          </w:tcPr>
          <w:p w:rsidR="00F9225D" w:rsidRDefault="00F9225D" w:rsidP="00F9225D">
            <w:r>
              <w:t>1 kg</w:t>
            </w:r>
          </w:p>
        </w:tc>
        <w:tc>
          <w:tcPr>
            <w:tcW w:w="900" w:type="dxa"/>
          </w:tcPr>
          <w:p w:rsidR="00F9225D" w:rsidRDefault="00F9225D" w:rsidP="00F9225D"/>
        </w:tc>
        <w:tc>
          <w:tcPr>
            <w:tcW w:w="997" w:type="dxa"/>
          </w:tcPr>
          <w:p w:rsidR="00F9225D" w:rsidRDefault="00F9225D" w:rsidP="00F9225D">
            <w:r>
              <w:t>1.5W</w:t>
            </w:r>
          </w:p>
        </w:tc>
        <w:tc>
          <w:tcPr>
            <w:tcW w:w="1487" w:type="dxa"/>
          </w:tcPr>
          <w:p w:rsidR="00F9225D" w:rsidRDefault="00F9225D" w:rsidP="00F9225D"/>
        </w:tc>
      </w:tr>
    </w:tbl>
    <w:p w:rsidR="00F9225D" w:rsidRDefault="00F9225D" w:rsidP="00D6523F"/>
    <w:p w:rsidR="00075FCC" w:rsidRDefault="00075FCC" w:rsidP="00D6523F">
      <w:r>
        <w:t>For PROBA-V</w:t>
      </w:r>
      <w:r w:rsidR="000E5872">
        <w:t xml:space="preserve"> (Other satellites are also in similar orbit)</w:t>
      </w:r>
    </w:p>
    <w:tbl>
      <w:tblPr>
        <w:tblW w:w="6000" w:type="dxa"/>
        <w:tblCellSpacing w:w="15" w:type="dxa"/>
        <w:tblCellMar>
          <w:top w:w="15" w:type="dxa"/>
          <w:left w:w="15" w:type="dxa"/>
          <w:bottom w:w="15" w:type="dxa"/>
          <w:right w:w="15" w:type="dxa"/>
        </w:tblCellMar>
        <w:tblLook w:val="04A0"/>
      </w:tblPr>
      <w:tblGrid>
        <w:gridCol w:w="2122"/>
        <w:gridCol w:w="3878"/>
      </w:tblGrid>
      <w:tr w:rsidR="00075FCC" w:rsidTr="00564B08">
        <w:trPr>
          <w:tblCellSpacing w:w="15" w:type="dxa"/>
        </w:trPr>
        <w:tc>
          <w:tcPr>
            <w:tcW w:w="0" w:type="auto"/>
            <w:vAlign w:val="center"/>
            <w:hideMark/>
          </w:tcPr>
          <w:p w:rsidR="00075FCC" w:rsidRDefault="00075FCC" w:rsidP="00564B08">
            <w:pPr>
              <w:rPr>
                <w:b/>
                <w:bCs/>
                <w:sz w:val="24"/>
                <w:szCs w:val="24"/>
              </w:rPr>
            </w:pPr>
            <w:r>
              <w:rPr>
                <w:b/>
                <w:bCs/>
              </w:rPr>
              <w:t>Reference system</w:t>
            </w:r>
          </w:p>
        </w:tc>
        <w:tc>
          <w:tcPr>
            <w:tcW w:w="0" w:type="auto"/>
            <w:vAlign w:val="center"/>
            <w:hideMark/>
          </w:tcPr>
          <w:p w:rsidR="00075FCC" w:rsidRDefault="00075FCC" w:rsidP="00564B08">
            <w:pPr>
              <w:rPr>
                <w:sz w:val="24"/>
                <w:szCs w:val="24"/>
              </w:rPr>
            </w:pPr>
            <w:hyperlink r:id="rId10" w:tooltip="Geocentric orbit" w:history="1">
              <w:r>
                <w:rPr>
                  <w:rStyle w:val="Hyperlink"/>
                </w:rPr>
                <w:t>Geocentric</w:t>
              </w:r>
            </w:hyperlink>
          </w:p>
        </w:tc>
      </w:tr>
      <w:tr w:rsidR="00075FCC" w:rsidTr="00564B08">
        <w:trPr>
          <w:tblCellSpacing w:w="15" w:type="dxa"/>
        </w:trPr>
        <w:tc>
          <w:tcPr>
            <w:tcW w:w="0" w:type="auto"/>
            <w:vAlign w:val="center"/>
            <w:hideMark/>
          </w:tcPr>
          <w:p w:rsidR="00075FCC" w:rsidRDefault="00075FCC" w:rsidP="00564B08">
            <w:pPr>
              <w:jc w:val="center"/>
              <w:rPr>
                <w:b/>
                <w:bCs/>
                <w:sz w:val="24"/>
                <w:szCs w:val="24"/>
              </w:rPr>
            </w:pPr>
            <w:r>
              <w:rPr>
                <w:b/>
                <w:bCs/>
              </w:rPr>
              <w:t>Regime</w:t>
            </w:r>
          </w:p>
        </w:tc>
        <w:tc>
          <w:tcPr>
            <w:tcW w:w="0" w:type="auto"/>
            <w:vAlign w:val="center"/>
            <w:hideMark/>
          </w:tcPr>
          <w:p w:rsidR="00075FCC" w:rsidRDefault="00075FCC" w:rsidP="00564B08">
            <w:pPr>
              <w:rPr>
                <w:sz w:val="24"/>
                <w:szCs w:val="24"/>
              </w:rPr>
            </w:pPr>
            <w:hyperlink r:id="rId11" w:tooltip="Sun-synchronous orbit" w:history="1">
              <w:r>
                <w:rPr>
                  <w:rStyle w:val="Hyperlink"/>
                </w:rPr>
                <w:t>Sun-synchronous</w:t>
              </w:r>
            </w:hyperlink>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2" w:tooltip="Semi-major axis" w:history="1">
              <w:r>
                <w:rPr>
                  <w:rStyle w:val="Hyperlink"/>
                  <w:b/>
                  <w:bCs/>
                </w:rPr>
                <w:t>Semi-major axis</w:t>
              </w:r>
            </w:hyperlink>
          </w:p>
        </w:tc>
        <w:tc>
          <w:tcPr>
            <w:tcW w:w="0" w:type="auto"/>
            <w:vAlign w:val="center"/>
            <w:hideMark/>
          </w:tcPr>
          <w:p w:rsidR="00075FCC" w:rsidRDefault="00075FCC" w:rsidP="00564B08">
            <w:pPr>
              <w:rPr>
                <w:sz w:val="24"/>
                <w:szCs w:val="24"/>
              </w:rPr>
            </w:pPr>
            <w:r>
              <w:t xml:space="preserve">7,193.71 </w:t>
            </w:r>
            <w:proofErr w:type="spellStart"/>
            <w:r>
              <w:t>kilometres</w:t>
            </w:r>
            <w:proofErr w:type="spellEnd"/>
            <w:r>
              <w:t xml:space="preserve"> (4,469.96 mi)</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3" w:tooltip="Orbital eccentricity" w:history="1">
              <w:r>
                <w:rPr>
                  <w:rStyle w:val="Hyperlink"/>
                  <w:b/>
                  <w:bCs/>
                </w:rPr>
                <w:t>Eccentricity</w:t>
              </w:r>
            </w:hyperlink>
          </w:p>
        </w:tc>
        <w:tc>
          <w:tcPr>
            <w:tcW w:w="0" w:type="auto"/>
            <w:vAlign w:val="center"/>
            <w:hideMark/>
          </w:tcPr>
          <w:p w:rsidR="00075FCC" w:rsidRDefault="00075FCC" w:rsidP="00564B08">
            <w:pPr>
              <w:rPr>
                <w:sz w:val="24"/>
                <w:szCs w:val="24"/>
              </w:rPr>
            </w:pPr>
            <w:r>
              <w:t>0.0004747</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4" w:tooltip="Apsis" w:history="1">
              <w:r>
                <w:rPr>
                  <w:rStyle w:val="Hyperlink"/>
                  <w:b/>
                  <w:bCs/>
                </w:rPr>
                <w:t>Perigee</w:t>
              </w:r>
            </w:hyperlink>
          </w:p>
        </w:tc>
        <w:tc>
          <w:tcPr>
            <w:tcW w:w="0" w:type="auto"/>
            <w:vAlign w:val="center"/>
            <w:hideMark/>
          </w:tcPr>
          <w:p w:rsidR="00075FCC" w:rsidRDefault="00075FCC" w:rsidP="00564B08">
            <w:pPr>
              <w:rPr>
                <w:sz w:val="24"/>
                <w:szCs w:val="24"/>
              </w:rPr>
            </w:pPr>
            <w:r>
              <w:t xml:space="preserve">819 </w:t>
            </w:r>
            <w:proofErr w:type="spellStart"/>
            <w:r>
              <w:t>kilometres</w:t>
            </w:r>
            <w:proofErr w:type="spellEnd"/>
            <w:r>
              <w:t xml:space="preserve"> (509 mi)</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5" w:tooltip="Apsis" w:history="1">
              <w:r>
                <w:rPr>
                  <w:rStyle w:val="Hyperlink"/>
                  <w:b/>
                  <w:bCs/>
                </w:rPr>
                <w:t>Apogee</w:t>
              </w:r>
            </w:hyperlink>
          </w:p>
        </w:tc>
        <w:tc>
          <w:tcPr>
            <w:tcW w:w="0" w:type="auto"/>
            <w:vAlign w:val="center"/>
            <w:hideMark/>
          </w:tcPr>
          <w:p w:rsidR="00075FCC" w:rsidRDefault="00075FCC" w:rsidP="00564B08">
            <w:pPr>
              <w:rPr>
                <w:sz w:val="24"/>
                <w:szCs w:val="24"/>
              </w:rPr>
            </w:pPr>
            <w:r>
              <w:t xml:space="preserve">826 </w:t>
            </w:r>
            <w:proofErr w:type="spellStart"/>
            <w:r>
              <w:t>kilometres</w:t>
            </w:r>
            <w:proofErr w:type="spellEnd"/>
            <w:r>
              <w:t xml:space="preserve"> (513 mi)</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6" w:tooltip="Orbital inclination" w:history="1">
              <w:r>
                <w:rPr>
                  <w:rStyle w:val="Hyperlink"/>
                  <w:b/>
                  <w:bCs/>
                </w:rPr>
                <w:t>Inclination</w:t>
              </w:r>
            </w:hyperlink>
          </w:p>
        </w:tc>
        <w:tc>
          <w:tcPr>
            <w:tcW w:w="0" w:type="auto"/>
            <w:vAlign w:val="center"/>
            <w:hideMark/>
          </w:tcPr>
          <w:p w:rsidR="00075FCC" w:rsidRDefault="00075FCC" w:rsidP="00564B08">
            <w:pPr>
              <w:rPr>
                <w:sz w:val="24"/>
                <w:szCs w:val="24"/>
              </w:rPr>
            </w:pPr>
            <w:r>
              <w:t>98.68 degrees</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7" w:tooltip="Orbital period" w:history="1">
              <w:r>
                <w:rPr>
                  <w:rStyle w:val="Hyperlink"/>
                  <w:b/>
                  <w:bCs/>
                </w:rPr>
                <w:t>Period</w:t>
              </w:r>
            </w:hyperlink>
          </w:p>
        </w:tc>
        <w:tc>
          <w:tcPr>
            <w:tcW w:w="0" w:type="auto"/>
            <w:vAlign w:val="center"/>
            <w:hideMark/>
          </w:tcPr>
          <w:p w:rsidR="00075FCC" w:rsidRDefault="00075FCC" w:rsidP="00564B08">
            <w:pPr>
              <w:rPr>
                <w:sz w:val="24"/>
                <w:szCs w:val="24"/>
              </w:rPr>
            </w:pPr>
            <w:r>
              <w:t>101.21 minutes</w:t>
            </w:r>
          </w:p>
        </w:tc>
      </w:tr>
      <w:tr w:rsidR="00075FCC" w:rsidTr="00564B08">
        <w:trPr>
          <w:tblCellSpacing w:w="15" w:type="dxa"/>
        </w:trPr>
        <w:tc>
          <w:tcPr>
            <w:tcW w:w="0" w:type="auto"/>
            <w:vAlign w:val="center"/>
            <w:hideMark/>
          </w:tcPr>
          <w:p w:rsidR="00075FCC" w:rsidRDefault="00075FCC" w:rsidP="00564B08">
            <w:pPr>
              <w:jc w:val="center"/>
              <w:rPr>
                <w:b/>
                <w:bCs/>
                <w:sz w:val="24"/>
                <w:szCs w:val="24"/>
              </w:rPr>
            </w:pPr>
            <w:hyperlink r:id="rId18" w:tooltip="Epoch (astronomy)" w:history="1">
              <w:r>
                <w:rPr>
                  <w:rStyle w:val="Hyperlink"/>
                  <w:b/>
                  <w:bCs/>
                </w:rPr>
                <w:t>Epoch</w:t>
              </w:r>
            </w:hyperlink>
          </w:p>
        </w:tc>
        <w:tc>
          <w:tcPr>
            <w:tcW w:w="0" w:type="auto"/>
            <w:vAlign w:val="center"/>
            <w:hideMark/>
          </w:tcPr>
          <w:p w:rsidR="00075FCC" w:rsidRDefault="00075FCC" w:rsidP="00564B08">
            <w:pPr>
              <w:rPr>
                <w:sz w:val="24"/>
                <w:szCs w:val="24"/>
              </w:rPr>
            </w:pPr>
            <w:r>
              <w:t xml:space="preserve">25 January 2015, </w:t>
            </w:r>
          </w:p>
        </w:tc>
      </w:tr>
    </w:tbl>
    <w:p w:rsidR="000E5872" w:rsidRPr="000E5872" w:rsidRDefault="000E5872" w:rsidP="000E5872">
      <w:pPr>
        <w:pStyle w:val="NormalWeb"/>
      </w:pPr>
      <w:r w:rsidRPr="000E5872">
        <w:rPr>
          <w:b/>
          <w:bCs/>
          <w:sz w:val="28"/>
          <w:szCs w:val="28"/>
          <w:u w:val="single"/>
        </w:rPr>
        <w:t>DEMETER</w:t>
      </w:r>
      <w:r>
        <w:t xml:space="preserve"> - </w:t>
      </w:r>
      <w:r w:rsidRPr="000E5872">
        <w:t xml:space="preserve">It was launched on June 29, 2004 on a quasi </w:t>
      </w:r>
      <w:hyperlink r:id="rId19" w:tooltip="Sun-synchronous" w:history="1">
        <w:r w:rsidRPr="000E5872">
          <w:rPr>
            <w:rStyle w:val="Hyperlink"/>
            <w:color w:val="auto"/>
            <w:u w:val="none"/>
          </w:rPr>
          <w:t>Sun-synchronous</w:t>
        </w:r>
      </w:hyperlink>
      <w:r w:rsidRPr="000E5872">
        <w:t xml:space="preserve"> </w:t>
      </w:r>
      <w:hyperlink r:id="rId20" w:tooltip="Circular orbit" w:history="1">
        <w:r w:rsidRPr="000E5872">
          <w:rPr>
            <w:rStyle w:val="Hyperlink"/>
            <w:color w:val="auto"/>
            <w:u w:val="none"/>
          </w:rPr>
          <w:t>circular orbit</w:t>
        </w:r>
      </w:hyperlink>
      <w:r w:rsidRPr="000E5872">
        <w:t xml:space="preserve"> with an </w:t>
      </w:r>
      <w:hyperlink r:id="rId21" w:tooltip="Inclination" w:history="1">
        <w:r w:rsidRPr="000E5872">
          <w:rPr>
            <w:rStyle w:val="Hyperlink"/>
            <w:color w:val="auto"/>
            <w:u w:val="none"/>
          </w:rPr>
          <w:t>inclination</w:t>
        </w:r>
      </w:hyperlink>
      <w:r w:rsidRPr="000E5872">
        <w:t xml:space="preserve"> of about 98.23° and an altitude of about 710 km. The altitude was changed to about 660 km in December, 2005. Due to the specific orbit, DEMETER is always located either shortly before the local noon (10:30 </w:t>
      </w:r>
      <w:hyperlink r:id="rId22" w:tooltip="Time zone" w:history="1">
        <w:r w:rsidRPr="000E5872">
          <w:rPr>
            <w:rStyle w:val="Hyperlink"/>
            <w:color w:val="auto"/>
            <w:u w:val="none"/>
          </w:rPr>
          <w:t>local time</w:t>
        </w:r>
      </w:hyperlink>
      <w:r w:rsidRPr="000E5872">
        <w:t xml:space="preserve">) or local midnight (22:30 local time). The satellite performs 14 orbits per day and measures continuously between -65° and +65° of </w:t>
      </w:r>
      <w:hyperlink r:id="rId23" w:tooltip="Invariant latitude" w:history="1">
        <w:r w:rsidRPr="000E5872">
          <w:rPr>
            <w:rStyle w:val="Hyperlink"/>
            <w:color w:val="auto"/>
            <w:u w:val="none"/>
          </w:rPr>
          <w:t>invariant latitude</w:t>
        </w:r>
      </w:hyperlink>
      <w:r>
        <w:t>.</w:t>
      </w:r>
    </w:p>
    <w:p w:rsidR="00927285" w:rsidRPr="00927285" w:rsidRDefault="00927285" w:rsidP="00927285">
      <w:pPr>
        <w:pStyle w:val="class7"/>
      </w:pPr>
      <w:r w:rsidRPr="00927285">
        <w:rPr>
          <w:b/>
          <w:bCs/>
          <w:sz w:val="28"/>
          <w:szCs w:val="28"/>
          <w:u w:val="single"/>
        </w:rPr>
        <w:lastRenderedPageBreak/>
        <w:t>ICARE</w:t>
      </w:r>
      <w:r>
        <w:t xml:space="preserve"> </w:t>
      </w:r>
      <w:r w:rsidRPr="00927285">
        <w:t xml:space="preserve">communication interface is available for dialog through a single RS-422 or a MIL STD 1553B bus interface. ICARE requires a minimal obstruction above telescope apertures. </w:t>
      </w:r>
      <w:proofErr w:type="gramStart"/>
      <w:r w:rsidRPr="00927285">
        <w:t>An</w:t>
      </w:r>
      <w:proofErr w:type="gramEnd"/>
      <w:r w:rsidRPr="00927285">
        <w:t xml:space="preserve"> wide open field-of-view of 90 degree full cone angle centered about the telescopes, normal to the telescope aperture would be optimum. If thermal blankets are to be used, there must be a clear-out area around the telescope apertures. ICARE has no moving parts. </w:t>
      </w:r>
      <w:r w:rsidRPr="00927285">
        <w:rPr>
          <w:rFonts w:eastAsia="Times New Roman"/>
        </w:rPr>
        <w:t>All materials used in ICARE are approved for spaceflight.</w:t>
      </w:r>
    </w:p>
    <w:p w:rsidR="00927285" w:rsidRPr="00927285" w:rsidRDefault="00927285" w:rsidP="00927285">
      <w:pPr>
        <w:spacing w:before="100" w:beforeAutospacing="1" w:after="100" w:afterAutospacing="1" w:line="240" w:lineRule="auto"/>
        <w:rPr>
          <w:rFonts w:ascii="Times New Roman" w:hAnsi="Times New Roman" w:cs="Times New Roman"/>
          <w:sz w:val="24"/>
          <w:szCs w:val="24"/>
        </w:rPr>
      </w:pPr>
      <w:r w:rsidRPr="00927285">
        <w:rPr>
          <w:rFonts w:ascii="Times New Roman" w:hAnsi="Times New Roman" w:cs="Times New Roman"/>
          <w:sz w:val="24"/>
          <w:szCs w:val="24"/>
        </w:rPr>
        <w:t>ICARE is designed to be mounted according to two configurations:</w:t>
      </w:r>
    </w:p>
    <w:p w:rsidR="00927285" w:rsidRPr="00927285" w:rsidRDefault="00927285" w:rsidP="00927285">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927285">
        <w:rPr>
          <w:rFonts w:ascii="Times New Roman" w:hAnsi="Times New Roman" w:cs="Times New Roman"/>
          <w:sz w:val="24"/>
          <w:szCs w:val="24"/>
        </w:rPr>
        <w:t>utilising</w:t>
      </w:r>
      <w:proofErr w:type="spellEnd"/>
      <w:r w:rsidRPr="00927285">
        <w:rPr>
          <w:rFonts w:ascii="Times New Roman" w:hAnsi="Times New Roman" w:cs="Times New Roman"/>
          <w:sz w:val="24"/>
          <w:szCs w:val="24"/>
        </w:rPr>
        <w:t xml:space="preserve"> eight screws with a total contact area of 202x90 mm</w:t>
      </w:r>
    </w:p>
    <w:p w:rsidR="00927285" w:rsidRPr="00927285" w:rsidRDefault="00927285" w:rsidP="00927285">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927285">
        <w:rPr>
          <w:rFonts w:ascii="Times New Roman" w:hAnsi="Times New Roman" w:cs="Times New Roman"/>
          <w:sz w:val="24"/>
          <w:szCs w:val="24"/>
        </w:rPr>
        <w:t>utilising</w:t>
      </w:r>
      <w:proofErr w:type="spellEnd"/>
      <w:r w:rsidRPr="00927285">
        <w:rPr>
          <w:rFonts w:ascii="Times New Roman" w:hAnsi="Times New Roman" w:cs="Times New Roman"/>
          <w:sz w:val="24"/>
          <w:szCs w:val="24"/>
        </w:rPr>
        <w:t xml:space="preserve"> four screws with a total contact area of 202x116 mm</w:t>
      </w:r>
    </w:p>
    <w:p w:rsidR="00927285" w:rsidRPr="00927285" w:rsidRDefault="00927285" w:rsidP="00927285">
      <w:pPr>
        <w:spacing w:before="100" w:beforeAutospacing="1" w:after="100" w:afterAutospacing="1" w:line="240" w:lineRule="auto"/>
        <w:ind w:left="360"/>
        <w:rPr>
          <w:rFonts w:ascii="Times New Roman" w:hAnsi="Times New Roman" w:cs="Times New Roman"/>
          <w:sz w:val="24"/>
          <w:szCs w:val="24"/>
        </w:rPr>
      </w:pPr>
      <w:r w:rsidRPr="00927285">
        <w:rPr>
          <w:rFonts w:ascii="Times New Roman" w:hAnsi="Times New Roman" w:cs="Times New Roman"/>
          <w:sz w:val="24"/>
          <w:szCs w:val="24"/>
        </w:rPr>
        <w:t xml:space="preserve">ICARE requires 2.5 Watts (peak 2.8 W) nominal operating power with a MIL-STD-1553 interface. Use of RS-422 interface decreases power consumption to approximately 1.5 Watts. Power supply is actually is the range 20-50 V but can be </w:t>
      </w:r>
      <w:proofErr w:type="spellStart"/>
      <w:r w:rsidRPr="00927285">
        <w:rPr>
          <w:rFonts w:ascii="Times New Roman" w:hAnsi="Times New Roman" w:cs="Times New Roman"/>
          <w:sz w:val="24"/>
          <w:szCs w:val="24"/>
        </w:rPr>
        <w:t>customise</w:t>
      </w:r>
      <w:proofErr w:type="spellEnd"/>
      <w:r w:rsidRPr="00927285">
        <w:rPr>
          <w:rFonts w:ascii="Times New Roman" w:hAnsi="Times New Roman" w:cs="Times New Roman"/>
          <w:sz w:val="24"/>
          <w:szCs w:val="24"/>
        </w:rPr>
        <w:t xml:space="preserve"> to the host </w:t>
      </w:r>
      <w:proofErr w:type="spellStart"/>
      <w:r w:rsidRPr="00927285">
        <w:rPr>
          <w:rFonts w:ascii="Times New Roman" w:hAnsi="Times New Roman" w:cs="Times New Roman"/>
          <w:sz w:val="24"/>
          <w:szCs w:val="24"/>
        </w:rPr>
        <w:t>satellite.The</w:t>
      </w:r>
      <w:proofErr w:type="spellEnd"/>
      <w:r w:rsidRPr="00927285">
        <w:rPr>
          <w:rFonts w:ascii="Times New Roman" w:hAnsi="Times New Roman" w:cs="Times New Roman"/>
          <w:sz w:val="24"/>
          <w:szCs w:val="24"/>
        </w:rPr>
        <w:t xml:space="preserve"> instrument can be power ON or OFF at any </w:t>
      </w:r>
      <w:proofErr w:type="spellStart"/>
      <w:r w:rsidRPr="00927285">
        <w:rPr>
          <w:rFonts w:ascii="Times New Roman" w:hAnsi="Times New Roman" w:cs="Times New Roman"/>
          <w:sz w:val="24"/>
          <w:szCs w:val="24"/>
        </w:rPr>
        <w:t>time.ICARE</w:t>
      </w:r>
      <w:proofErr w:type="spellEnd"/>
      <w:r w:rsidRPr="00927285">
        <w:rPr>
          <w:rFonts w:ascii="Times New Roman" w:hAnsi="Times New Roman" w:cs="Times New Roman"/>
          <w:sz w:val="24"/>
          <w:szCs w:val="24"/>
        </w:rPr>
        <w:t xml:space="preserve"> connectors for power and for signals (command and telemetry) are "SUB D15" type.</w:t>
      </w:r>
      <w:r w:rsidRPr="00927285">
        <w:rPr>
          <w:sz w:val="24"/>
          <w:szCs w:val="24"/>
        </w:rPr>
        <w:t xml:space="preserve"> A standard flight display software package (</w:t>
      </w:r>
      <w:proofErr w:type="spellStart"/>
      <w:r w:rsidRPr="00927285">
        <w:rPr>
          <w:sz w:val="24"/>
          <w:szCs w:val="24"/>
        </w:rPr>
        <w:t>RadShow</w:t>
      </w:r>
      <w:proofErr w:type="spellEnd"/>
      <w:r w:rsidRPr="00927285">
        <w:rPr>
          <w:sz w:val="24"/>
          <w:szCs w:val="24"/>
        </w:rPr>
        <w:t>) has been developed. This software allows the operator to display all of the ICARE data.</w:t>
      </w:r>
    </w:p>
    <w:p w:rsidR="00927285" w:rsidRPr="00927285" w:rsidRDefault="00927285" w:rsidP="00927285">
      <w:pPr>
        <w:pStyle w:val="class7"/>
      </w:pPr>
      <w:r w:rsidRPr="00927285">
        <w:t xml:space="preserve">ICARE instrument is not </w:t>
      </w:r>
      <w:proofErr w:type="spellStart"/>
      <w:r w:rsidRPr="00927285">
        <w:t>rad</w:t>
      </w:r>
      <w:proofErr w:type="spellEnd"/>
      <w:r w:rsidRPr="00927285">
        <w:t xml:space="preserve">-hard. The main reason is that the solid state detectors are of course sensitive to radiation and thus have a limited life time (regarding </w:t>
      </w:r>
      <w:proofErr w:type="spellStart"/>
      <w:r w:rsidRPr="00927285">
        <w:t>radiative</w:t>
      </w:r>
      <w:proofErr w:type="spellEnd"/>
      <w:r w:rsidRPr="00927285">
        <w:t xml:space="preserve"> environment). It is not necessary to implement electronic components with a longer life time compared to the one of telescopes.</w:t>
      </w:r>
    </w:p>
    <w:p w:rsidR="00927285" w:rsidRPr="00927285" w:rsidRDefault="00927285" w:rsidP="00927285">
      <w:pPr>
        <w:pStyle w:val="class7"/>
      </w:pPr>
      <w:r w:rsidRPr="00927285">
        <w:t>Orbit: Sun-synchronous circular polar orbit, altitude = 702 km, inclination =98.2º, equatorial crossing on descending node at 10:21 AM (±6 min), repeat cycle = 16 days (with sub-cycles of 7 and 9 days).</w:t>
      </w:r>
    </w:p>
    <w:p w:rsidR="00927285" w:rsidRPr="00927285" w:rsidRDefault="00927285" w:rsidP="00927285">
      <w:pPr>
        <w:pStyle w:val="class7"/>
      </w:pPr>
      <w:r w:rsidRPr="00927285">
        <w:t xml:space="preserve">The radiation detectors are made of silicon fully depleted solid state detectors used in single and/or </w:t>
      </w:r>
      <w:proofErr w:type="gramStart"/>
      <w:r w:rsidRPr="00927285">
        <w:t>coincident(</w:t>
      </w:r>
      <w:proofErr w:type="gramEnd"/>
      <w:r w:rsidRPr="00927285">
        <w:t>if V1 &amp; V2 then V1+V2) and/or anti-coincident (if V1 &amp; no V2 then V1) mode</w:t>
      </w:r>
    </w:p>
    <w:p w:rsidR="00EA7A21" w:rsidRDefault="00EA7A21" w:rsidP="00EA7A21">
      <w:pPr>
        <w:pStyle w:val="class7"/>
      </w:pPr>
    </w:p>
    <w:p w:rsidR="00EA7A21" w:rsidRDefault="00EA7A21" w:rsidP="008D799D">
      <w:pPr>
        <w:pStyle w:val="class7"/>
      </w:pPr>
      <w:proofErr w:type="gramStart"/>
      <w:r w:rsidRPr="008D799D">
        <w:rPr>
          <w:b/>
          <w:bCs/>
          <w:sz w:val="28"/>
          <w:szCs w:val="28"/>
          <w:u w:val="single"/>
        </w:rPr>
        <w:t>RAPID</w:t>
      </w:r>
      <w:r>
        <w:t xml:space="preserve"> (used on Cluster) particle detector for the analysis of </w:t>
      </w:r>
      <w:proofErr w:type="spellStart"/>
      <w:r>
        <w:t>suprathermal</w:t>
      </w:r>
      <w:proofErr w:type="spellEnd"/>
      <w:r>
        <w:t xml:space="preserve"> plasma distributions in the energy range from 20–400 </w:t>
      </w:r>
      <w:proofErr w:type="spellStart"/>
      <w:r>
        <w:t>keV</w:t>
      </w:r>
      <w:proofErr w:type="spellEnd"/>
      <w:r>
        <w:t xml:space="preserve"> for electrons, 40 keV–1500 </w:t>
      </w:r>
      <w:proofErr w:type="spellStart"/>
      <w:r>
        <w:t>keV</w:t>
      </w:r>
      <w:proofErr w:type="spellEnd"/>
      <w:r>
        <w:t xml:space="preserve"> (4000 </w:t>
      </w:r>
      <w:proofErr w:type="spellStart"/>
      <w:r>
        <w:t>keV</w:t>
      </w:r>
      <w:proofErr w:type="spellEnd"/>
      <w:r>
        <w:t xml:space="preserve">) for hydrogen, and 10 </w:t>
      </w:r>
      <w:proofErr w:type="spellStart"/>
      <w:r>
        <w:t>keV</w:t>
      </w:r>
      <w:proofErr w:type="spellEnd"/>
      <w:r>
        <w:t xml:space="preserve"> nucl</w:t>
      </w:r>
      <w:r>
        <w:rPr>
          <w:vertAlign w:val="superscript"/>
        </w:rPr>
        <w:t>-1</w:t>
      </w:r>
      <w:r>
        <w:t xml:space="preserve">–1500 </w:t>
      </w:r>
      <w:proofErr w:type="spellStart"/>
      <w:r>
        <w:t>keV</w:t>
      </w:r>
      <w:proofErr w:type="spellEnd"/>
      <w:r>
        <w:t xml:space="preserve"> (4000 </w:t>
      </w:r>
      <w:proofErr w:type="spellStart"/>
      <w:r>
        <w:t>keV</w:t>
      </w:r>
      <w:proofErr w:type="spellEnd"/>
      <w:r>
        <w:t>) for heavier ions.</w:t>
      </w:r>
      <w:proofErr w:type="gramEnd"/>
    </w:p>
    <w:p w:rsidR="00EA7A21" w:rsidRPr="00D517F9" w:rsidRDefault="00EA7A21" w:rsidP="00EA7A21">
      <w:pPr>
        <w:autoSpaceDE w:val="0"/>
        <w:autoSpaceDN w:val="0"/>
        <w:adjustRightInd w:val="0"/>
        <w:spacing w:after="0" w:line="240" w:lineRule="auto"/>
        <w:ind w:left="360"/>
        <w:rPr>
          <w:rFonts w:ascii="Times New Roman" w:hAnsi="Times New Roman" w:cs="Times New Roman"/>
          <w:sz w:val="24"/>
          <w:szCs w:val="24"/>
        </w:rPr>
      </w:pPr>
      <w:r w:rsidRPr="00D517F9">
        <w:rPr>
          <w:rFonts w:ascii="Times New Roman" w:hAnsi="Times New Roman" w:cs="Times New Roman"/>
          <w:sz w:val="24"/>
          <w:szCs w:val="24"/>
        </w:rPr>
        <w:t xml:space="preserve">The instrument is physically a single structure which contains all major elements of the instrument: the sensor systems IIMS and IES, the front-end electronics or Signal Conditioning Unit (SCU), and </w:t>
      </w:r>
      <w:proofErr w:type="spellStart"/>
      <w:r w:rsidRPr="00D517F9">
        <w:rPr>
          <w:rFonts w:ascii="Times New Roman" w:hAnsi="Times New Roman" w:cs="Times New Roman"/>
          <w:sz w:val="24"/>
          <w:szCs w:val="24"/>
        </w:rPr>
        <w:t>theDigital</w:t>
      </w:r>
      <w:proofErr w:type="spellEnd"/>
      <w:r w:rsidRPr="00D517F9">
        <w:rPr>
          <w:rFonts w:ascii="Times New Roman" w:hAnsi="Times New Roman" w:cs="Times New Roman"/>
          <w:sz w:val="24"/>
          <w:szCs w:val="24"/>
        </w:rPr>
        <w:t xml:space="preserve"> Processing Unit (DPU) with the </w:t>
      </w:r>
      <w:proofErr w:type="spellStart"/>
      <w:r w:rsidRPr="00D517F9">
        <w:rPr>
          <w:rFonts w:ascii="Times New Roman" w:hAnsi="Times New Roman" w:cs="Times New Roman"/>
          <w:sz w:val="24"/>
          <w:szCs w:val="24"/>
        </w:rPr>
        <w:t>the</w:t>
      </w:r>
      <w:proofErr w:type="spellEnd"/>
      <w:r w:rsidRPr="00D517F9">
        <w:rPr>
          <w:rFonts w:ascii="Times New Roman" w:hAnsi="Times New Roman" w:cs="Times New Roman"/>
          <w:sz w:val="24"/>
          <w:szCs w:val="24"/>
        </w:rPr>
        <w:t xml:space="preserve"> Low-Voltage Power-Supply (LVPS) and the spacecraft interface in the back of the box</w:t>
      </w:r>
    </w:p>
    <w:p w:rsidR="00075FCC" w:rsidRDefault="00EA7A21" w:rsidP="00EA7A21">
      <w:pPr>
        <w:rPr>
          <w:rFonts w:ascii="Times New Roman" w:hAnsi="Times New Roman" w:cs="Times New Roman"/>
          <w:sz w:val="24"/>
          <w:szCs w:val="24"/>
        </w:rPr>
      </w:pPr>
      <w:r>
        <w:rPr>
          <w:rFonts w:ascii="Times New Roman" w:hAnsi="Times New Roman" w:cs="Times New Roman"/>
          <w:sz w:val="24"/>
          <w:szCs w:val="24"/>
        </w:rPr>
        <w:t xml:space="preserve">      </w:t>
      </w:r>
      <w:r w:rsidRPr="00D517F9">
        <w:rPr>
          <w:rFonts w:ascii="Times New Roman" w:hAnsi="Times New Roman" w:cs="Times New Roman"/>
          <w:sz w:val="24"/>
          <w:szCs w:val="24"/>
        </w:rPr>
        <w:t xml:space="preserve">The sensor system for nuclei, the Imaging Ion Mass Spectrometer (IIMS), is composed of </w:t>
      </w:r>
      <w:r>
        <w:rPr>
          <w:rFonts w:ascii="Times New Roman" w:hAnsi="Times New Roman" w:cs="Times New Roman"/>
          <w:sz w:val="24"/>
          <w:szCs w:val="24"/>
        </w:rPr>
        <w:t xml:space="preserve">            </w:t>
      </w:r>
      <w:r w:rsidRPr="00D517F9">
        <w:rPr>
          <w:rFonts w:ascii="Times New Roman" w:hAnsi="Times New Roman" w:cs="Times New Roman"/>
          <w:sz w:val="24"/>
          <w:szCs w:val="24"/>
        </w:rPr>
        <w:t>three identical SCENIC heads (Spectroscopic Camera for Electrons, Neutral and Ion Composition).</w:t>
      </w:r>
    </w:p>
    <w:p w:rsidR="008D799D" w:rsidRDefault="008D799D" w:rsidP="00EA7A21">
      <w:r w:rsidRPr="008D799D">
        <w:rPr>
          <w:b/>
          <w:bCs/>
          <w:sz w:val="28"/>
          <w:szCs w:val="28"/>
          <w:u w:val="single"/>
        </w:rPr>
        <w:lastRenderedPageBreak/>
        <w:t>SATRAM</w:t>
      </w:r>
      <w:r>
        <w:rPr>
          <w:b/>
          <w:bCs/>
          <w:sz w:val="28"/>
          <w:szCs w:val="28"/>
        </w:rPr>
        <w:t xml:space="preserve"> </w:t>
      </w:r>
      <w:r w:rsidRPr="008D799D">
        <w:t>spacecraft</w:t>
      </w:r>
      <w:r>
        <w:t xml:space="preserve"> payload equipped with the </w:t>
      </w:r>
      <w:proofErr w:type="spellStart"/>
      <w:r>
        <w:t>Timepix</w:t>
      </w:r>
      <w:proofErr w:type="spellEnd"/>
      <w:r>
        <w:t xml:space="preserve"> semiconductor pixel detector is operating in LEO orbit at 820 km altitude onboard ESA’s </w:t>
      </w:r>
      <w:proofErr w:type="spellStart"/>
      <w:r>
        <w:t>Proba</w:t>
      </w:r>
      <w:proofErr w:type="spellEnd"/>
      <w:r>
        <w:t>-V satellite.</w:t>
      </w:r>
    </w:p>
    <w:p w:rsidR="008D799D" w:rsidRDefault="008D799D" w:rsidP="008D799D">
      <w:pPr>
        <w:pStyle w:val="class7"/>
        <w:ind w:left="720"/>
      </w:pPr>
      <w:r>
        <w:t>It can measure</w:t>
      </w:r>
    </w:p>
    <w:p w:rsidR="008D799D" w:rsidRPr="00D517F9" w:rsidRDefault="008D799D" w:rsidP="008D799D">
      <w:pPr>
        <w:spacing w:after="0" w:line="240" w:lineRule="auto"/>
        <w:rPr>
          <w:rFonts w:ascii="Times New Roman" w:hAnsi="Times New Roman" w:cs="Times New Roman"/>
          <w:sz w:val="24"/>
          <w:szCs w:val="24"/>
        </w:rPr>
      </w:pPr>
      <w:r>
        <w:rPr>
          <w:rFonts w:ascii="Times New Roman" w:eastAsia="Times New Roman" w:hAnsi="Symbol" w:cs="Times New Roman"/>
          <w:sz w:val="24"/>
          <w:szCs w:val="24"/>
        </w:rPr>
        <w:t xml:space="preserve">       </w:t>
      </w:r>
      <w:proofErr w:type="gramStart"/>
      <w:r w:rsidRPr="00D517F9">
        <w:rPr>
          <w:rFonts w:ascii="Times New Roman" w:eastAsia="Times New Roman" w:hAnsi="Symbol" w:cs="Times New Roman"/>
          <w:sz w:val="24"/>
          <w:szCs w:val="24"/>
        </w:rPr>
        <w:t></w:t>
      </w:r>
      <w:r w:rsidRPr="00D517F9">
        <w:rPr>
          <w:rFonts w:ascii="Times New Roman" w:hAnsi="Times New Roman" w:cs="Times New Roman"/>
          <w:sz w:val="24"/>
          <w:szCs w:val="24"/>
        </w:rPr>
        <w:t xml:space="preserve">  Particle</w:t>
      </w:r>
      <w:proofErr w:type="gramEnd"/>
      <w:r w:rsidRPr="00D517F9">
        <w:rPr>
          <w:rFonts w:ascii="Times New Roman" w:hAnsi="Times New Roman" w:cs="Times New Roman"/>
          <w:sz w:val="24"/>
          <w:szCs w:val="24"/>
        </w:rPr>
        <w:t xml:space="preserve"> count rates </w:t>
      </w:r>
    </w:p>
    <w:p w:rsidR="008D799D" w:rsidRPr="00D517F9" w:rsidRDefault="008D799D" w:rsidP="008D799D">
      <w:pPr>
        <w:spacing w:after="0" w:line="240" w:lineRule="auto"/>
        <w:rPr>
          <w:rFonts w:ascii="Times New Roman" w:hAnsi="Times New Roman" w:cs="Times New Roman"/>
          <w:sz w:val="24"/>
          <w:szCs w:val="24"/>
        </w:rPr>
      </w:pPr>
      <w:r>
        <w:rPr>
          <w:rFonts w:ascii="Times New Roman" w:eastAsia="Times New Roman" w:hAnsi="Symbol" w:cs="Times New Roman"/>
          <w:sz w:val="24"/>
          <w:szCs w:val="24"/>
        </w:rPr>
        <w:t xml:space="preserve">       </w:t>
      </w:r>
      <w:proofErr w:type="gramStart"/>
      <w:r w:rsidRPr="00D517F9">
        <w:rPr>
          <w:rFonts w:ascii="Times New Roman" w:eastAsia="Times New Roman" w:hAnsi="Symbol" w:cs="Times New Roman"/>
          <w:sz w:val="24"/>
          <w:szCs w:val="24"/>
        </w:rPr>
        <w:t></w:t>
      </w:r>
      <w:r>
        <w:rPr>
          <w:rFonts w:ascii="Times New Roman" w:hAnsi="Times New Roman" w:cs="Times New Roman"/>
          <w:sz w:val="24"/>
          <w:szCs w:val="24"/>
        </w:rPr>
        <w:t xml:space="preserve">  Particle</w:t>
      </w:r>
      <w:proofErr w:type="gramEnd"/>
      <w:r>
        <w:rPr>
          <w:rFonts w:ascii="Times New Roman" w:hAnsi="Times New Roman" w:cs="Times New Roman"/>
          <w:sz w:val="24"/>
          <w:szCs w:val="24"/>
        </w:rPr>
        <w:t xml:space="preserve"> fluxes </w:t>
      </w:r>
    </w:p>
    <w:p w:rsidR="008D799D" w:rsidRDefault="008D799D" w:rsidP="008D799D">
      <w:pPr>
        <w:spacing w:after="0" w:line="240" w:lineRule="auto"/>
        <w:rPr>
          <w:rFonts w:ascii="Times New Roman" w:hAnsi="Times New Roman" w:cs="Times New Roman"/>
          <w:sz w:val="24"/>
          <w:szCs w:val="24"/>
        </w:rPr>
      </w:pPr>
      <w:r>
        <w:rPr>
          <w:rFonts w:ascii="Times New Roman" w:eastAsia="Times New Roman" w:hAnsi="Symbol" w:cs="Times New Roman"/>
          <w:sz w:val="24"/>
          <w:szCs w:val="24"/>
        </w:rPr>
        <w:t xml:space="preserve">       </w:t>
      </w:r>
      <w:proofErr w:type="gramStart"/>
      <w:r w:rsidRPr="00D517F9">
        <w:rPr>
          <w:rFonts w:ascii="Times New Roman" w:eastAsia="Times New Roman" w:hAnsi="Symbol" w:cs="Times New Roman"/>
          <w:sz w:val="24"/>
          <w:szCs w:val="24"/>
        </w:rPr>
        <w:t></w:t>
      </w:r>
      <w:r w:rsidRPr="00D517F9">
        <w:rPr>
          <w:rFonts w:ascii="Times New Roman" w:hAnsi="Times New Roman" w:cs="Times New Roman"/>
          <w:sz w:val="24"/>
          <w:szCs w:val="24"/>
        </w:rPr>
        <w:t xml:space="preserve">  Dose</w:t>
      </w:r>
      <w:proofErr w:type="gramEnd"/>
      <w:r w:rsidRPr="00D517F9">
        <w:rPr>
          <w:rFonts w:ascii="Times New Roman" w:hAnsi="Times New Roman" w:cs="Times New Roman"/>
          <w:sz w:val="24"/>
          <w:szCs w:val="24"/>
        </w:rPr>
        <w:t xml:space="preserve"> rate [</w:t>
      </w:r>
      <w:proofErr w:type="spellStart"/>
      <w:r w:rsidRPr="00D517F9">
        <w:rPr>
          <w:rFonts w:ascii="Times New Roman" w:hAnsi="Times New Roman" w:cs="Times New Roman"/>
          <w:sz w:val="24"/>
          <w:szCs w:val="24"/>
        </w:rPr>
        <w:t>uSv</w:t>
      </w:r>
      <w:proofErr w:type="spellEnd"/>
      <w:r w:rsidRPr="00D517F9">
        <w:rPr>
          <w:rFonts w:ascii="Times New Roman" w:hAnsi="Times New Roman" w:cs="Times New Roman"/>
          <w:sz w:val="24"/>
          <w:szCs w:val="24"/>
        </w:rPr>
        <w:t xml:space="preserve">/h] </w:t>
      </w:r>
    </w:p>
    <w:p w:rsidR="008D799D" w:rsidRDefault="008D799D" w:rsidP="008D799D">
      <w:pPr>
        <w:spacing w:after="0" w:line="240" w:lineRule="auto"/>
        <w:rPr>
          <w:rFonts w:eastAsia="Times New Roman"/>
          <w:sz w:val="24"/>
          <w:szCs w:val="24"/>
        </w:rPr>
      </w:pPr>
      <w:r>
        <w:rPr>
          <w:rFonts w:eastAsia="Times New Roman" w:hAnsi="Symbol"/>
          <w:sz w:val="24"/>
          <w:szCs w:val="24"/>
        </w:rPr>
        <w:t xml:space="preserve">      </w:t>
      </w:r>
      <w:proofErr w:type="gramStart"/>
      <w:r w:rsidRPr="00D517F9">
        <w:rPr>
          <w:rFonts w:eastAsia="Times New Roman" w:hAnsi="Symbol"/>
          <w:sz w:val="24"/>
          <w:szCs w:val="24"/>
        </w:rPr>
        <w:t></w:t>
      </w:r>
      <w:r w:rsidRPr="00D517F9">
        <w:rPr>
          <w:rFonts w:eastAsia="Times New Roman"/>
          <w:sz w:val="24"/>
          <w:szCs w:val="24"/>
        </w:rPr>
        <w:t xml:space="preserve">  Directional</w:t>
      </w:r>
      <w:proofErr w:type="gramEnd"/>
      <w:r w:rsidRPr="00D517F9">
        <w:rPr>
          <w:rFonts w:eastAsia="Times New Roman"/>
          <w:sz w:val="24"/>
          <w:szCs w:val="24"/>
        </w:rPr>
        <w:t xml:space="preserve"> distributions of energetic charged particles</w:t>
      </w:r>
    </w:p>
    <w:p w:rsidR="00F30BC6" w:rsidRPr="00F30BC6" w:rsidRDefault="00F30BC6" w:rsidP="00F30BC6">
      <w:pPr>
        <w:autoSpaceDE w:val="0"/>
        <w:autoSpaceDN w:val="0"/>
        <w:adjustRightInd w:val="0"/>
        <w:spacing w:after="0" w:line="240" w:lineRule="auto"/>
        <w:rPr>
          <w:rFonts w:ascii="TimesNewRoman" w:hAnsi="TimesNewRoman" w:cs="TimesNewRoman"/>
          <w:b/>
          <w:bCs/>
          <w:sz w:val="28"/>
          <w:szCs w:val="28"/>
          <w:u w:val="single"/>
        </w:rPr>
      </w:pPr>
    </w:p>
    <w:p w:rsidR="00F30BC6" w:rsidRPr="00F30BC6" w:rsidRDefault="00F30BC6" w:rsidP="00F30BC6">
      <w:pPr>
        <w:autoSpaceDE w:val="0"/>
        <w:autoSpaceDN w:val="0"/>
        <w:adjustRightInd w:val="0"/>
        <w:spacing w:after="0" w:line="240" w:lineRule="auto"/>
        <w:rPr>
          <w:rFonts w:ascii="TimesNewRoman" w:hAnsi="TimesNewRoman" w:cs="TimesNewRoman"/>
          <w:sz w:val="24"/>
          <w:szCs w:val="24"/>
        </w:rPr>
      </w:pPr>
      <w:r w:rsidRPr="00F30BC6">
        <w:rPr>
          <w:rFonts w:ascii="TimesNewRoman" w:hAnsi="TimesNewRoman" w:cs="TimesNewRoman"/>
          <w:b/>
          <w:bCs/>
          <w:sz w:val="28"/>
          <w:szCs w:val="28"/>
          <w:u w:val="single"/>
        </w:rPr>
        <w:t>COSTEP</w:t>
      </w:r>
      <w:r w:rsidRPr="00F30BC6">
        <w:rPr>
          <w:rFonts w:ascii="TimesNewRoman" w:hAnsi="TimesNewRoman" w:cs="TimesNewRoman"/>
          <w:sz w:val="24"/>
          <w:szCs w:val="24"/>
        </w:rPr>
        <w:t xml:space="preserve"> ( Comprehensive </w:t>
      </w:r>
      <w:proofErr w:type="spellStart"/>
      <w:r w:rsidRPr="00F30BC6">
        <w:rPr>
          <w:rFonts w:ascii="TimesNewRoman" w:hAnsi="TimesNewRoman" w:cs="TimesNewRoman"/>
          <w:sz w:val="24"/>
          <w:szCs w:val="24"/>
        </w:rPr>
        <w:t>Suprathermal</w:t>
      </w:r>
      <w:proofErr w:type="spellEnd"/>
      <w:r w:rsidRPr="00F30BC6">
        <w:rPr>
          <w:rFonts w:ascii="TimesNewRoman" w:hAnsi="TimesNewRoman" w:cs="TimesNewRoman"/>
          <w:sz w:val="24"/>
          <w:szCs w:val="24"/>
        </w:rPr>
        <w:t xml:space="preserve"> and Energetic Particle Analyzer ) – result of collaboration between the Space Research Laboratory, University of Turku, Finland, the </w:t>
      </w:r>
      <w:proofErr w:type="spellStart"/>
      <w:r w:rsidRPr="00F30BC6">
        <w:rPr>
          <w:rFonts w:ascii="TimesNewRoman" w:hAnsi="TimesNewRoman" w:cs="TimesNewRoman"/>
          <w:sz w:val="24"/>
          <w:szCs w:val="24"/>
        </w:rPr>
        <w:t>Institut</w:t>
      </w:r>
      <w:proofErr w:type="spellEnd"/>
      <w:r w:rsidRPr="00F30BC6">
        <w:rPr>
          <w:rFonts w:ascii="TimesNewRoman" w:hAnsi="TimesNewRoman" w:cs="TimesNewRoman"/>
          <w:sz w:val="24"/>
          <w:szCs w:val="24"/>
        </w:rPr>
        <w:t xml:space="preserve"> </w:t>
      </w:r>
      <w:proofErr w:type="spellStart"/>
      <w:r w:rsidRPr="00F30BC6">
        <w:rPr>
          <w:rFonts w:ascii="TimesNewRoman" w:hAnsi="TimesNewRoman" w:cs="TimesNewRoman"/>
          <w:sz w:val="24"/>
          <w:szCs w:val="24"/>
        </w:rPr>
        <w:t>für</w:t>
      </w:r>
      <w:proofErr w:type="spellEnd"/>
      <w:r w:rsidRPr="00F30BC6">
        <w:rPr>
          <w:rFonts w:ascii="TimesNewRoman" w:hAnsi="TimesNewRoman" w:cs="TimesNewRoman"/>
          <w:sz w:val="24"/>
          <w:szCs w:val="24"/>
        </w:rPr>
        <w:t xml:space="preserve"> </w:t>
      </w:r>
      <w:proofErr w:type="spellStart"/>
      <w:r w:rsidRPr="00F30BC6">
        <w:rPr>
          <w:rFonts w:ascii="TimesNewRoman" w:hAnsi="TimesNewRoman" w:cs="TimesNewRoman"/>
          <w:sz w:val="24"/>
          <w:szCs w:val="24"/>
        </w:rPr>
        <w:t>Experimentelle</w:t>
      </w:r>
      <w:proofErr w:type="spellEnd"/>
      <w:r w:rsidRPr="00F30BC6">
        <w:rPr>
          <w:rFonts w:ascii="TimesNewRoman" w:hAnsi="TimesNewRoman" w:cs="TimesNewRoman"/>
          <w:sz w:val="24"/>
          <w:szCs w:val="24"/>
        </w:rPr>
        <w:t xml:space="preserve"> und </w:t>
      </w:r>
      <w:proofErr w:type="spellStart"/>
      <w:r w:rsidRPr="00F30BC6">
        <w:rPr>
          <w:rFonts w:ascii="TimesNewRoman" w:hAnsi="TimesNewRoman" w:cs="TimesNewRoman"/>
          <w:sz w:val="24"/>
          <w:szCs w:val="24"/>
        </w:rPr>
        <w:t>Angewandte</w:t>
      </w:r>
      <w:proofErr w:type="spellEnd"/>
      <w:r w:rsidRPr="00F30BC6">
        <w:rPr>
          <w:rFonts w:ascii="TimesNewRoman" w:hAnsi="TimesNewRoman" w:cs="TimesNewRoman"/>
          <w:sz w:val="24"/>
          <w:szCs w:val="24"/>
        </w:rPr>
        <w:t xml:space="preserve"> </w:t>
      </w:r>
      <w:proofErr w:type="spellStart"/>
      <w:r w:rsidRPr="00F30BC6">
        <w:rPr>
          <w:rFonts w:ascii="TimesNewRoman" w:hAnsi="TimesNewRoman" w:cs="TimesNewRoman"/>
          <w:sz w:val="24"/>
          <w:szCs w:val="24"/>
        </w:rPr>
        <w:t>Physik</w:t>
      </w:r>
      <w:proofErr w:type="spellEnd"/>
      <w:r w:rsidRPr="00F30BC6">
        <w:rPr>
          <w:rFonts w:ascii="TimesNewRoman" w:hAnsi="TimesNewRoman" w:cs="TimesNewRoman"/>
          <w:sz w:val="24"/>
          <w:szCs w:val="24"/>
        </w:rPr>
        <w:t xml:space="preserve">, University of Kiel, Germany, the St. </w:t>
      </w:r>
      <w:proofErr w:type="spellStart"/>
      <w:r w:rsidRPr="00F30BC6">
        <w:rPr>
          <w:rFonts w:ascii="TimesNewRoman" w:hAnsi="TimesNewRoman" w:cs="TimesNewRoman"/>
          <w:sz w:val="24"/>
          <w:szCs w:val="24"/>
        </w:rPr>
        <w:t>Patricks's</w:t>
      </w:r>
      <w:proofErr w:type="spellEnd"/>
      <w:r w:rsidRPr="00F30BC6">
        <w:rPr>
          <w:rFonts w:ascii="TimesNewRoman" w:hAnsi="TimesNewRoman" w:cs="TimesNewRoman"/>
          <w:sz w:val="24"/>
          <w:szCs w:val="24"/>
        </w:rPr>
        <w:t xml:space="preserve"> College, </w:t>
      </w:r>
      <w:proofErr w:type="spellStart"/>
      <w:r w:rsidRPr="00F30BC6">
        <w:rPr>
          <w:rFonts w:ascii="TimesNewRoman" w:hAnsi="TimesNewRoman" w:cs="TimesNewRoman"/>
          <w:sz w:val="24"/>
          <w:szCs w:val="24"/>
        </w:rPr>
        <w:t>Maynooth</w:t>
      </w:r>
      <w:proofErr w:type="spellEnd"/>
      <w:r w:rsidRPr="00F30BC6">
        <w:rPr>
          <w:rFonts w:ascii="TimesNewRoman" w:hAnsi="TimesNewRoman" w:cs="TimesNewRoman"/>
          <w:sz w:val="24"/>
          <w:szCs w:val="24"/>
        </w:rPr>
        <w:t xml:space="preserve">, Ireland, the Universidad de </w:t>
      </w:r>
      <w:proofErr w:type="spellStart"/>
      <w:r w:rsidRPr="00F30BC6">
        <w:rPr>
          <w:rFonts w:ascii="TimesNewRoman" w:hAnsi="TimesNewRoman" w:cs="TimesNewRoman"/>
          <w:sz w:val="24"/>
          <w:szCs w:val="24"/>
        </w:rPr>
        <w:t>Alcalá</w:t>
      </w:r>
      <w:proofErr w:type="spellEnd"/>
      <w:r w:rsidRPr="00F30BC6">
        <w:rPr>
          <w:rFonts w:ascii="TimesNewRoman" w:hAnsi="TimesNewRoman" w:cs="TimesNewRoman"/>
          <w:sz w:val="24"/>
          <w:szCs w:val="24"/>
        </w:rPr>
        <w:t xml:space="preserve"> Henares, Spain, and the KFKI Hungarian Research Institute for Particle and Nuclear Physics, Budapest, Hungary</w:t>
      </w:r>
    </w:p>
    <w:p w:rsidR="00F30BC6" w:rsidRDefault="00F30BC6" w:rsidP="00F30BC6">
      <w:pPr>
        <w:pStyle w:val="class7"/>
        <w:rPr>
          <w:rFonts w:ascii="TimesNewRoman" w:hAnsi="TimesNewRoman" w:cs="TimesNewRoman"/>
        </w:rPr>
      </w:pPr>
      <w:r w:rsidRPr="00F30BC6">
        <w:rPr>
          <w:rFonts w:ascii="TimesNewRoman" w:hAnsi="TimesNewRoman" w:cs="TimesNewRoman"/>
        </w:rPr>
        <w:t xml:space="preserve">Consists of EPHIN (Electron Proton Helium Instrument) </w:t>
      </w:r>
    </w:p>
    <w:p w:rsidR="00F30BC6" w:rsidRDefault="00F30BC6" w:rsidP="00F30BC6">
      <w:pPr>
        <w:pStyle w:val="class7"/>
        <w:rPr>
          <w:rFonts w:ascii="TimesNewRoman" w:hAnsi="TimesNewRoman" w:cs="TimesNewRoman"/>
        </w:rPr>
      </w:pPr>
      <w:r>
        <w:rPr>
          <w:rFonts w:ascii="TimesNewRoman" w:hAnsi="TimesNewRoman" w:cs="TimesNewRoman"/>
        </w:rPr>
        <w:t xml:space="preserve">It does </w:t>
      </w:r>
      <w:r w:rsidRPr="00F30BC6">
        <w:rPr>
          <w:rFonts w:ascii="TimesNewRoman" w:hAnsi="TimesNewRoman" w:cs="TimesNewRoman"/>
        </w:rPr>
        <w:t xml:space="preserve">onboard data compression </w:t>
      </w:r>
      <w:r>
        <w:rPr>
          <w:rFonts w:ascii="TimesNewRoman" w:hAnsi="TimesNewRoman" w:cs="TimesNewRoman"/>
        </w:rPr>
        <w:t xml:space="preserve">due to which </w:t>
      </w:r>
      <w:proofErr w:type="spellStart"/>
      <w:r>
        <w:rPr>
          <w:rFonts w:ascii="TimesNewRoman" w:hAnsi="TimesNewRoman" w:cs="TimesNewRoman"/>
        </w:rPr>
        <w:t>telemtary</w:t>
      </w:r>
      <w:proofErr w:type="spellEnd"/>
      <w:r>
        <w:rPr>
          <w:rFonts w:ascii="TimesNewRoman" w:hAnsi="TimesNewRoman" w:cs="TimesNewRoman"/>
        </w:rPr>
        <w:t xml:space="preserve"> rate </w:t>
      </w:r>
      <w:r w:rsidRPr="00F30BC6">
        <w:rPr>
          <w:rFonts w:ascii="TimesNewRoman" w:hAnsi="TimesNewRoman" w:cs="TimesNewRoman"/>
        </w:rPr>
        <w:t xml:space="preserve">is </w:t>
      </w:r>
      <w:r>
        <w:rPr>
          <w:rFonts w:ascii="TimesNewRoman" w:hAnsi="TimesNewRoman" w:cs="TimesNewRoman"/>
        </w:rPr>
        <w:t xml:space="preserve">only </w:t>
      </w:r>
      <w:r w:rsidRPr="00F30BC6">
        <w:rPr>
          <w:rFonts w:ascii="TimesNewRoman" w:hAnsi="TimesNewRoman" w:cs="TimesNewRoman"/>
        </w:rPr>
        <w:t>172 bits per second</w:t>
      </w:r>
      <w:r>
        <w:rPr>
          <w:rFonts w:ascii="TimesNewRoman" w:hAnsi="TimesNewRoman" w:cs="TimesNewRoman"/>
        </w:rPr>
        <w:t>.</w:t>
      </w:r>
    </w:p>
    <w:p w:rsidR="00D63CBE" w:rsidRDefault="00D63CBE" w:rsidP="00F30BC6">
      <w:pPr>
        <w:pStyle w:val="class7"/>
        <w:rPr>
          <w:rFonts w:ascii="TimesNewRoman" w:hAnsi="TimesNewRoman" w:cs="TimesNewRoman"/>
        </w:rPr>
      </w:pPr>
      <w:r w:rsidRPr="00D63CBE">
        <w:rPr>
          <w:rFonts w:ascii="TimesNewRoman" w:hAnsi="TimesNewRoman" w:cs="TimesNewRoman"/>
          <w:b/>
          <w:bCs/>
          <w:sz w:val="28"/>
          <w:szCs w:val="28"/>
          <w:u w:val="single"/>
        </w:rPr>
        <w:t>HEPS</w:t>
      </w:r>
      <w:r w:rsidRPr="0092382E">
        <w:rPr>
          <w:rFonts w:ascii="TimesNewRoman" w:hAnsi="TimesNewRoman" w:cs="TimesNewRoman"/>
        </w:rPr>
        <w:t xml:space="preserve"> measures the differential energy spectrum of protons from ~20 to 440 </w:t>
      </w:r>
      <w:proofErr w:type="spellStart"/>
      <w:r w:rsidRPr="0092382E">
        <w:rPr>
          <w:rFonts w:ascii="TimesNewRoman" w:hAnsi="TimesNewRoman" w:cs="TimesNewRoman"/>
        </w:rPr>
        <w:t>MeV</w:t>
      </w:r>
      <w:proofErr w:type="spellEnd"/>
      <w:r w:rsidRPr="0092382E">
        <w:rPr>
          <w:rFonts w:ascii="TimesNewRoman" w:hAnsi="TimesNewRoman" w:cs="TimesNewRoman"/>
        </w:rPr>
        <w:t xml:space="preserve">, in twenty-two logarithmically spaced energy channels, and the integral flux for protons above 440 </w:t>
      </w:r>
      <w:proofErr w:type="spellStart"/>
      <w:r w:rsidRPr="0092382E">
        <w:rPr>
          <w:rFonts w:ascii="TimesNewRoman" w:hAnsi="TimesNewRoman" w:cs="TimesNewRoman"/>
        </w:rPr>
        <w:t>MeV</w:t>
      </w:r>
      <w:proofErr w:type="spellEnd"/>
      <w:r w:rsidRPr="0092382E">
        <w:rPr>
          <w:rFonts w:ascii="TimesNewRoman" w:hAnsi="TimesNewRoman" w:cs="TimesNewRoman"/>
        </w:rPr>
        <w:t>. It has a 12 degree full width conical angular resolution and an energy dependent geometric factor for high-energy protons of ~3x10</w:t>
      </w:r>
      <w:r w:rsidRPr="0092382E">
        <w:rPr>
          <w:rFonts w:ascii="TimesNewRoman" w:hAnsi="TimesNewRoman" w:cs="TimesNewRoman"/>
          <w:vertAlign w:val="superscript"/>
        </w:rPr>
        <w:t>-2</w:t>
      </w:r>
      <w:r w:rsidRPr="0092382E">
        <w:rPr>
          <w:rFonts w:ascii="TimesNewRoman" w:hAnsi="TimesNewRoman" w:cs="TimesNewRoman"/>
        </w:rPr>
        <w:t xml:space="preserve"> cm</w:t>
      </w:r>
      <w:r w:rsidRPr="0092382E">
        <w:rPr>
          <w:rFonts w:ascii="TimesNewRoman" w:hAnsi="TimesNewRoman" w:cs="TimesNewRoman"/>
          <w:vertAlign w:val="superscript"/>
        </w:rPr>
        <w:t>2</w:t>
      </w:r>
      <w:r w:rsidRPr="0092382E">
        <w:rPr>
          <w:rFonts w:ascii="TimesNewRoman" w:hAnsi="TimesNewRoman" w:cs="TimesNewRoman"/>
        </w:rPr>
        <w:t xml:space="preserve">-ster. Although originally designed to measure protons, it also includes a number of data channels for measuring background events, </w:t>
      </w:r>
      <w:proofErr w:type="spellStart"/>
      <w:r w:rsidRPr="0092382E">
        <w:rPr>
          <w:rFonts w:ascii="TimesNewRoman" w:hAnsi="TimesNewRoman" w:cs="TimesNewRoman"/>
        </w:rPr>
        <w:t>andchannels</w:t>
      </w:r>
      <w:proofErr w:type="spellEnd"/>
      <w:r w:rsidRPr="0092382E">
        <w:rPr>
          <w:rFonts w:ascii="TimesNewRoman" w:hAnsi="TimesNewRoman" w:cs="TimesNewRoman"/>
        </w:rPr>
        <w:t xml:space="preserve"> for measuring electrons above ~1.5 </w:t>
      </w:r>
      <w:proofErr w:type="spellStart"/>
      <w:r w:rsidRPr="0092382E">
        <w:rPr>
          <w:rFonts w:ascii="TimesNewRoman" w:hAnsi="TimesNewRoman" w:cs="TimesNewRoman"/>
        </w:rPr>
        <w:t>MeV</w:t>
      </w:r>
      <w:proofErr w:type="spellEnd"/>
      <w:r w:rsidRPr="0092382E">
        <w:rPr>
          <w:rFonts w:ascii="TimesNewRoman" w:hAnsi="TimesNewRoman" w:cs="TimesNewRoman"/>
        </w:rPr>
        <w:t>. HEPS consists of two boxes, a sensor head and an electronics box. The electronics box is on-orbit programmable with up to 6 logic masks at a time that can be used examine different portions of the energy spectrum. The programmability is a major feature of the instrumen</w:t>
      </w:r>
      <w:r>
        <w:rPr>
          <w:rFonts w:ascii="TimesNewRoman" w:hAnsi="TimesNewRoman" w:cs="TimesNewRoman"/>
        </w:rPr>
        <w:t>t.</w:t>
      </w:r>
    </w:p>
    <w:p w:rsidR="00D63CBE" w:rsidRDefault="00D63CBE" w:rsidP="00D63CBE">
      <w:pPr>
        <w:autoSpaceDE w:val="0"/>
        <w:autoSpaceDN w:val="0"/>
        <w:adjustRightInd w:val="0"/>
        <w:spacing w:after="0" w:line="240" w:lineRule="auto"/>
        <w:rPr>
          <w:rFonts w:ascii="TimesNewRoman" w:hAnsi="TimesNewRoman" w:cs="TimesNewRoman"/>
          <w:sz w:val="20"/>
        </w:rPr>
      </w:pPr>
      <w:r w:rsidRPr="0092382E">
        <w:rPr>
          <w:rFonts w:ascii="TimesNewRoman" w:hAnsi="TimesNewRoman" w:cs="TimesNewRoman"/>
          <w:sz w:val="24"/>
          <w:szCs w:val="24"/>
        </w:rPr>
        <w:t>The HEPS instrument consists of two boxes, a sensor box and an electronics box. The two boxes are connected with a cable, and the electronics box interfaces with the spacecraft over a RS422 interface. The sensor box contains a telescope/sensor assembly and a pre-amplifier board. The electronics box contains an analog board, a digital signal</w:t>
      </w:r>
      <w:r>
        <w:rPr>
          <w:rFonts w:ascii="TimesNewRoman" w:hAnsi="TimesNewRoman" w:cs="TimesNewRoman"/>
          <w:sz w:val="20"/>
        </w:rPr>
        <w:t xml:space="preserve"> </w:t>
      </w:r>
      <w:r w:rsidRPr="006D44B3">
        <w:rPr>
          <w:rFonts w:ascii="TimesNewRoman" w:hAnsi="TimesNewRoman" w:cs="TimesNewRoman"/>
          <w:sz w:val="24"/>
          <w:szCs w:val="24"/>
        </w:rPr>
        <w:t>processing board (DSP), a central processing unit board (CPU), an input/output board and a power converter board. The</w:t>
      </w:r>
      <w:r>
        <w:rPr>
          <w:rFonts w:ascii="TimesNewRoman" w:hAnsi="TimesNewRoman" w:cs="TimesNewRoman"/>
          <w:sz w:val="24"/>
          <w:szCs w:val="24"/>
        </w:rPr>
        <w:t xml:space="preserve"> </w:t>
      </w:r>
      <w:r w:rsidRPr="006D44B3">
        <w:rPr>
          <w:rFonts w:ascii="TimesNewRoman" w:hAnsi="TimesNewRoman" w:cs="TimesNewRoman"/>
          <w:sz w:val="24"/>
          <w:szCs w:val="24"/>
        </w:rPr>
        <w:t>DSP board performs the event processing (to include implementing the coincidence logic) and generates the particle</w:t>
      </w:r>
      <w:r>
        <w:rPr>
          <w:rFonts w:ascii="TimesNewRoman" w:hAnsi="TimesNewRoman" w:cs="TimesNewRoman"/>
          <w:sz w:val="24"/>
          <w:szCs w:val="24"/>
        </w:rPr>
        <w:t xml:space="preserve"> </w:t>
      </w:r>
      <w:r w:rsidRPr="006D44B3">
        <w:rPr>
          <w:rFonts w:ascii="TimesNewRoman" w:hAnsi="TimesNewRoman" w:cs="TimesNewRoman"/>
          <w:sz w:val="24"/>
          <w:szCs w:val="24"/>
        </w:rPr>
        <w:t>spectra to send to the CPU board. The CPU board contains an 8085 microprocessor to collect all the data, bin it</w:t>
      </w:r>
      <w:r>
        <w:rPr>
          <w:rFonts w:ascii="TimesNewRoman" w:hAnsi="TimesNewRoman" w:cs="TimesNewRoman"/>
          <w:sz w:val="24"/>
          <w:szCs w:val="24"/>
        </w:rPr>
        <w:t xml:space="preserve"> </w:t>
      </w:r>
      <w:r w:rsidRPr="006D44B3">
        <w:rPr>
          <w:rFonts w:ascii="TimesNewRoman" w:hAnsi="TimesNewRoman" w:cs="TimesNewRoman"/>
          <w:sz w:val="24"/>
          <w:szCs w:val="24"/>
        </w:rPr>
        <w:t>according to the look up table (LUT) in use, and format the data for transmission to the vehicle. The 8085 software can</w:t>
      </w:r>
      <w:r>
        <w:rPr>
          <w:rFonts w:ascii="TimesNewRoman" w:hAnsi="TimesNewRoman" w:cs="TimesNewRoman"/>
          <w:sz w:val="24"/>
          <w:szCs w:val="24"/>
        </w:rPr>
        <w:t xml:space="preserve"> </w:t>
      </w:r>
      <w:r w:rsidRPr="006D44B3">
        <w:rPr>
          <w:rFonts w:ascii="TimesNewRoman" w:hAnsi="TimesNewRoman" w:cs="TimesNewRoman"/>
          <w:sz w:val="24"/>
          <w:szCs w:val="24"/>
        </w:rPr>
        <w:t xml:space="preserve">be modified on-orbit to change the LUT for special studies. </w:t>
      </w:r>
      <w:proofErr w:type="gramStart"/>
      <w:r>
        <w:rPr>
          <w:rFonts w:ascii="TimesNewRoman" w:hAnsi="TimesNewRoman" w:cs="TimesNewRoman"/>
          <w:sz w:val="24"/>
          <w:szCs w:val="24"/>
        </w:rPr>
        <w:t>sensor</w:t>
      </w:r>
      <w:proofErr w:type="gramEnd"/>
      <w:r w:rsidRPr="006D44B3">
        <w:rPr>
          <w:rFonts w:ascii="TimesNewRoman" w:hAnsi="TimesNewRoman" w:cs="TimesNewRoman"/>
          <w:sz w:val="24"/>
          <w:szCs w:val="24"/>
        </w:rPr>
        <w:t xml:space="preserve"> box is with 0.5 mm thick aluminum box walls, and has a mass of ~1.6 kg</w:t>
      </w:r>
      <w:r>
        <w:rPr>
          <w:rFonts w:ascii="TimesNewRoman" w:hAnsi="TimesNewRoman" w:cs="TimesNewRoman"/>
          <w:sz w:val="20"/>
        </w:rPr>
        <w:t>.</w:t>
      </w:r>
    </w:p>
    <w:p w:rsidR="00D63CBE" w:rsidRDefault="00D63CBE" w:rsidP="00D63CBE">
      <w:pPr>
        <w:autoSpaceDE w:val="0"/>
        <w:autoSpaceDN w:val="0"/>
        <w:adjustRightInd w:val="0"/>
        <w:spacing w:after="0" w:line="240" w:lineRule="auto"/>
        <w:rPr>
          <w:rFonts w:ascii="TimesNewRoman" w:hAnsi="TimesNewRoman" w:cs="TimesNewRoman"/>
          <w:sz w:val="20"/>
        </w:rPr>
      </w:pPr>
    </w:p>
    <w:p w:rsidR="00D63CBE" w:rsidRPr="00D63CBE" w:rsidRDefault="00D63CBE" w:rsidP="00D63CBE">
      <w:pPr>
        <w:autoSpaceDE w:val="0"/>
        <w:autoSpaceDN w:val="0"/>
        <w:adjustRightInd w:val="0"/>
        <w:spacing w:after="0" w:line="240" w:lineRule="auto"/>
        <w:rPr>
          <w:rFonts w:ascii="TimesNewRoman" w:hAnsi="TimesNewRoman" w:cs="TimesNewRoman"/>
          <w:sz w:val="20"/>
          <w:szCs w:val="20"/>
        </w:rPr>
      </w:pPr>
      <w:r w:rsidRPr="00D63CBE">
        <w:rPr>
          <w:rFonts w:ascii="Times New Roman" w:hAnsi="Times New Roman" w:cs="Times New Roman"/>
          <w:b/>
          <w:bCs/>
          <w:sz w:val="28"/>
          <w:szCs w:val="28"/>
          <w:u w:val="single"/>
        </w:rPr>
        <w:t>CEASE</w:t>
      </w:r>
      <w:r w:rsidRPr="0087744A">
        <w:rPr>
          <w:rFonts w:ascii="Times New Roman" w:hAnsi="Times New Roman" w:cs="Times New Roman"/>
          <w:sz w:val="24"/>
          <w:szCs w:val="24"/>
        </w:rPr>
        <w:t xml:space="preserve"> is comprised</w:t>
      </w:r>
      <w:r>
        <w:rPr>
          <w:rFonts w:ascii="Times New Roman" w:hAnsi="Times New Roman" w:cs="Times New Roman"/>
          <w:sz w:val="24"/>
          <w:szCs w:val="24"/>
        </w:rPr>
        <w:t xml:space="preserve"> </w:t>
      </w:r>
      <w:r w:rsidRPr="0087744A">
        <w:rPr>
          <w:rFonts w:ascii="Times New Roman" w:hAnsi="Times New Roman" w:cs="Times New Roman"/>
          <w:sz w:val="24"/>
          <w:szCs w:val="24"/>
        </w:rPr>
        <w:t>of two dosimeters, and two particles detectors. There is also a solid-state Si detector telescope,</w:t>
      </w:r>
      <w:r>
        <w:rPr>
          <w:rFonts w:ascii="Times New Roman" w:hAnsi="Times New Roman" w:cs="Times New Roman"/>
          <w:sz w:val="24"/>
          <w:szCs w:val="24"/>
        </w:rPr>
        <w:t xml:space="preserve"> </w:t>
      </w:r>
      <w:r w:rsidRPr="0087744A">
        <w:rPr>
          <w:rFonts w:ascii="Times New Roman" w:hAnsi="Times New Roman" w:cs="Times New Roman"/>
          <w:sz w:val="24"/>
          <w:szCs w:val="24"/>
        </w:rPr>
        <w:t>consisting of two coaxially mounted sensors, capable of measuring integral and broad differential fluxes of electrons in</w:t>
      </w:r>
      <w:r>
        <w:rPr>
          <w:rFonts w:ascii="Times New Roman" w:hAnsi="Times New Roman" w:cs="Times New Roman"/>
          <w:sz w:val="24"/>
          <w:szCs w:val="24"/>
        </w:rPr>
        <w:t xml:space="preserve"> </w:t>
      </w:r>
      <w:r w:rsidRPr="0087744A">
        <w:rPr>
          <w:rFonts w:ascii="Times New Roman" w:hAnsi="Times New Roman" w:cs="Times New Roman"/>
          <w:sz w:val="24"/>
          <w:szCs w:val="24"/>
        </w:rPr>
        <w:t xml:space="preserve">the range of 0.06MeV to &gt;2MeV and protons in the range from </w:t>
      </w:r>
      <w:proofErr w:type="spellStart"/>
      <w:r w:rsidRPr="0087744A">
        <w:rPr>
          <w:rFonts w:ascii="Times New Roman" w:hAnsi="Times New Roman" w:cs="Times New Roman"/>
          <w:sz w:val="24"/>
          <w:szCs w:val="24"/>
        </w:rPr>
        <w:t>lMeV</w:t>
      </w:r>
      <w:proofErr w:type="spellEnd"/>
      <w:r w:rsidRPr="0087744A">
        <w:rPr>
          <w:rFonts w:ascii="Times New Roman" w:hAnsi="Times New Roman" w:cs="Times New Roman"/>
          <w:sz w:val="24"/>
          <w:szCs w:val="24"/>
        </w:rPr>
        <w:t xml:space="preserve"> to ~ 120MeV</w:t>
      </w:r>
      <w:r>
        <w:rPr>
          <w:rFonts w:ascii="Times New Roman" w:hAnsi="Times New Roman" w:cs="Times New Roman"/>
          <w:sz w:val="24"/>
          <w:szCs w:val="24"/>
        </w:rPr>
        <w:t xml:space="preserve">. </w:t>
      </w:r>
      <w:r w:rsidRPr="0087744A">
        <w:rPr>
          <w:rFonts w:ascii="Times New Roman" w:hAnsi="Times New Roman" w:cs="Times New Roman"/>
          <w:sz w:val="24"/>
          <w:szCs w:val="24"/>
        </w:rPr>
        <w:t>The two CEASE independent</w:t>
      </w:r>
      <w:r>
        <w:rPr>
          <w:rFonts w:ascii="Times New Roman" w:hAnsi="Times New Roman" w:cs="Times New Roman"/>
          <w:sz w:val="24"/>
          <w:szCs w:val="24"/>
        </w:rPr>
        <w:t xml:space="preserve"> </w:t>
      </w:r>
      <w:r w:rsidRPr="0087744A">
        <w:rPr>
          <w:rFonts w:ascii="Times New Roman" w:hAnsi="Times New Roman" w:cs="Times New Roman"/>
          <w:sz w:val="24"/>
          <w:szCs w:val="24"/>
        </w:rPr>
        <w:t xml:space="preserve">dosimeter sensors are located </w:t>
      </w:r>
      <w:r w:rsidRPr="0087744A">
        <w:rPr>
          <w:rFonts w:ascii="Times New Roman" w:hAnsi="Times New Roman" w:cs="Times New Roman"/>
          <w:sz w:val="24"/>
          <w:szCs w:val="24"/>
        </w:rPr>
        <w:lastRenderedPageBreak/>
        <w:t>behind aluminum planar shields. 0.20cm and 0.63cm thick, respectively, making particle</w:t>
      </w:r>
      <w:r>
        <w:rPr>
          <w:rFonts w:ascii="Times New Roman" w:hAnsi="Times New Roman" w:cs="Times New Roman"/>
          <w:sz w:val="24"/>
          <w:szCs w:val="24"/>
        </w:rPr>
        <w:t xml:space="preserve"> </w:t>
      </w:r>
      <w:r w:rsidRPr="0087744A">
        <w:rPr>
          <w:rFonts w:ascii="Times New Roman" w:hAnsi="Times New Roman" w:cs="Times New Roman"/>
          <w:sz w:val="24"/>
          <w:szCs w:val="24"/>
        </w:rPr>
        <w:t xml:space="preserve">flux measurements. The two thicknesses correspond to penetration energy thresholds of 20 and 35 </w:t>
      </w:r>
      <w:proofErr w:type="spellStart"/>
      <w:r w:rsidRPr="0087744A">
        <w:rPr>
          <w:rFonts w:ascii="Times New Roman" w:hAnsi="Times New Roman" w:cs="Times New Roman"/>
          <w:sz w:val="24"/>
          <w:szCs w:val="24"/>
        </w:rPr>
        <w:t>MeV</w:t>
      </w:r>
      <w:proofErr w:type="spellEnd"/>
      <w:r w:rsidRPr="0087744A">
        <w:rPr>
          <w:rFonts w:ascii="Times New Roman" w:hAnsi="Times New Roman" w:cs="Times New Roman"/>
          <w:sz w:val="24"/>
          <w:szCs w:val="24"/>
        </w:rPr>
        <w:t xml:space="preserve"> for protons, and</w:t>
      </w:r>
      <w:r>
        <w:rPr>
          <w:rFonts w:ascii="Times New Roman" w:hAnsi="Times New Roman" w:cs="Times New Roman"/>
          <w:sz w:val="24"/>
          <w:szCs w:val="24"/>
        </w:rPr>
        <w:t xml:space="preserve"> </w:t>
      </w:r>
      <w:r w:rsidRPr="0087744A">
        <w:rPr>
          <w:rFonts w:ascii="Times New Roman" w:hAnsi="Times New Roman" w:cs="Times New Roman"/>
          <w:sz w:val="24"/>
          <w:szCs w:val="24"/>
        </w:rPr>
        <w:t xml:space="preserve">0.1.2 and 2.5 </w:t>
      </w:r>
      <w:proofErr w:type="spellStart"/>
      <w:r w:rsidRPr="0087744A">
        <w:rPr>
          <w:rFonts w:ascii="Times New Roman" w:hAnsi="Times New Roman" w:cs="Times New Roman"/>
          <w:sz w:val="24"/>
          <w:szCs w:val="24"/>
        </w:rPr>
        <w:t>MeV</w:t>
      </w:r>
      <w:proofErr w:type="spellEnd"/>
      <w:r w:rsidRPr="0087744A">
        <w:rPr>
          <w:rFonts w:ascii="Times New Roman" w:hAnsi="Times New Roman" w:cs="Times New Roman"/>
          <w:sz w:val="24"/>
          <w:szCs w:val="24"/>
        </w:rPr>
        <w:t xml:space="preserve"> for electrons</w:t>
      </w:r>
      <w:r>
        <w:rPr>
          <w:rFonts w:ascii="Times New Roman" w:hAnsi="Times New Roman" w:cs="Times New Roman"/>
          <w:sz w:val="24"/>
          <w:szCs w:val="24"/>
        </w:rPr>
        <w:t>.</w:t>
      </w:r>
      <w:r w:rsidRPr="00D63CBE">
        <w:rPr>
          <w:rFonts w:ascii="Times New Roman" w:hAnsi="Times New Roman" w:cs="Times New Roman"/>
          <w:sz w:val="24"/>
          <w:szCs w:val="24"/>
        </w:rPr>
        <w:t xml:space="preserve"> </w:t>
      </w:r>
      <w:r w:rsidRPr="0087744A">
        <w:rPr>
          <w:rFonts w:ascii="Times New Roman" w:hAnsi="Times New Roman" w:cs="Times New Roman"/>
          <w:sz w:val="24"/>
          <w:szCs w:val="24"/>
        </w:rPr>
        <w:t xml:space="preserve">The CEASE telescope has a 90" field of view and the two dosimeters both have </w:t>
      </w:r>
      <w:proofErr w:type="gramStart"/>
      <w:r w:rsidRPr="0087744A">
        <w:rPr>
          <w:rFonts w:ascii="Times New Roman" w:hAnsi="Times New Roman" w:cs="Times New Roman"/>
          <w:sz w:val="24"/>
          <w:szCs w:val="24"/>
        </w:rPr>
        <w:t>an</w:t>
      </w:r>
      <w:proofErr w:type="gramEnd"/>
      <w:r w:rsidRPr="0087744A">
        <w:rPr>
          <w:rFonts w:ascii="Times New Roman" w:hAnsi="Times New Roman" w:cs="Times New Roman"/>
          <w:sz w:val="24"/>
          <w:szCs w:val="24"/>
        </w:rPr>
        <w:t xml:space="preserve"> 180" field of view</w:t>
      </w:r>
      <w:r>
        <w:rPr>
          <w:rFonts w:ascii="Times New Roman" w:hAnsi="Times New Roman" w:cs="Times New Roman"/>
          <w:sz w:val="24"/>
          <w:szCs w:val="24"/>
        </w:rPr>
        <w:t>.</w:t>
      </w:r>
    </w:p>
    <w:p w:rsidR="00F9225D" w:rsidRDefault="00F9225D" w:rsidP="00F9225D">
      <w:pPr>
        <w:autoSpaceDE w:val="0"/>
        <w:autoSpaceDN w:val="0"/>
        <w:adjustRightInd w:val="0"/>
        <w:spacing w:after="0" w:line="240" w:lineRule="auto"/>
        <w:rPr>
          <w:rFonts w:ascii="Arial" w:hAnsi="Arial" w:cs="Arial"/>
        </w:rPr>
      </w:pPr>
      <w:r>
        <w:rPr>
          <w:rFonts w:ascii="Arial" w:hAnsi="Arial" w:cs="Arial"/>
        </w:rPr>
        <w:t>Standard Interface RS422 or MIL-STD-1553B</w:t>
      </w:r>
    </w:p>
    <w:p w:rsidR="00F9225D" w:rsidRPr="008772A1" w:rsidRDefault="00F9225D" w:rsidP="00F9225D">
      <w:pPr>
        <w:autoSpaceDE w:val="0"/>
        <w:autoSpaceDN w:val="0"/>
        <w:adjustRightInd w:val="0"/>
        <w:spacing w:after="0" w:line="240" w:lineRule="auto"/>
        <w:rPr>
          <w:rFonts w:ascii="Arial" w:hAnsi="Arial" w:cs="Arial"/>
        </w:rPr>
      </w:pPr>
      <w:r>
        <w:rPr>
          <w:rFonts w:ascii="Arial" w:hAnsi="Arial" w:cs="Arial"/>
        </w:rPr>
        <w:t>Diagnostic Sensors - Lightly Shielded Dosimeter, Heavily Shielded Dosimeter, SEE Detector,               Particle Telescope</w:t>
      </w:r>
    </w:p>
    <w:p w:rsidR="00F30BC6" w:rsidRDefault="00F30BC6" w:rsidP="00F30BC6"/>
    <w:sectPr w:rsidR="00F30BC6" w:rsidSect="00114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8555A"/>
    <w:multiLevelType w:val="hybridMultilevel"/>
    <w:tmpl w:val="60588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E4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4742DE"/>
    <w:multiLevelType w:val="multilevel"/>
    <w:tmpl w:val="2888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C12C87"/>
    <w:multiLevelType w:val="multilevel"/>
    <w:tmpl w:val="D9C859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4BD32A06"/>
    <w:multiLevelType w:val="multilevel"/>
    <w:tmpl w:val="AC3E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23FFC"/>
    <w:multiLevelType w:val="hybridMultilevel"/>
    <w:tmpl w:val="6436D50C"/>
    <w:lvl w:ilvl="0" w:tplc="B6765F86">
      <w:start w:val="2"/>
      <w:numFmt w:val="lowerLetter"/>
      <w:lvlText w:val="%1)"/>
      <w:lvlJc w:val="left"/>
      <w:pPr>
        <w:ind w:left="735" w:hanging="360"/>
      </w:pPr>
      <w:rPr>
        <w:rFonts w:hint="default"/>
        <w:b w:val="0"/>
        <w:bCs/>
        <w:sz w:val="22"/>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5EEC4A70"/>
    <w:multiLevelType w:val="hybridMultilevel"/>
    <w:tmpl w:val="4D0AEC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6AAB5E5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3A01FD"/>
    <w:multiLevelType w:val="multilevel"/>
    <w:tmpl w:val="EC3A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1"/>
  </w:num>
  <w:num w:numId="6">
    <w:abstractNumId w:val="2"/>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B611AF"/>
    <w:rsid w:val="00075FCC"/>
    <w:rsid w:val="000E5872"/>
    <w:rsid w:val="00114A94"/>
    <w:rsid w:val="00216ACC"/>
    <w:rsid w:val="00454D45"/>
    <w:rsid w:val="00587BEF"/>
    <w:rsid w:val="006F3409"/>
    <w:rsid w:val="008D799D"/>
    <w:rsid w:val="00927285"/>
    <w:rsid w:val="00B611AF"/>
    <w:rsid w:val="00BD47DC"/>
    <w:rsid w:val="00D63CBE"/>
    <w:rsid w:val="00D6523F"/>
    <w:rsid w:val="00EA7A21"/>
    <w:rsid w:val="00F30BC6"/>
    <w:rsid w:val="00F922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AF"/>
    <w:pPr>
      <w:ind w:left="720"/>
      <w:contextualSpacing/>
    </w:pPr>
  </w:style>
  <w:style w:type="paragraph" w:styleId="Title">
    <w:name w:val="Title"/>
    <w:basedOn w:val="Normal"/>
    <w:next w:val="Normal"/>
    <w:link w:val="TitleChar"/>
    <w:uiPriority w:val="10"/>
    <w:qFormat/>
    <w:rsid w:val="00D65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2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65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ass7">
    <w:name w:val="class_7"/>
    <w:basedOn w:val="Normal"/>
    <w:rsid w:val="00075FCC"/>
    <w:pPr>
      <w:spacing w:before="100" w:beforeAutospacing="1" w:after="100" w:afterAutospacing="1" w:line="240" w:lineRule="auto"/>
    </w:pPr>
    <w:rPr>
      <w:rFonts w:ascii="Times New Roman" w:eastAsiaTheme="minorEastAsia" w:hAnsi="Times New Roman" w:cs="Times New Roman"/>
      <w:sz w:val="24"/>
      <w:szCs w:val="24"/>
      <w:lang w:bidi="hi-IN"/>
    </w:rPr>
  </w:style>
  <w:style w:type="character" w:styleId="Hyperlink">
    <w:name w:val="Hyperlink"/>
    <w:basedOn w:val="DefaultParagraphFont"/>
    <w:uiPriority w:val="99"/>
    <w:unhideWhenUsed/>
    <w:rsid w:val="00075FCC"/>
    <w:rPr>
      <w:rFonts w:cs="Times New Roman"/>
      <w:color w:val="0000FF"/>
      <w:u w:val="single"/>
    </w:rPr>
  </w:style>
  <w:style w:type="paragraph" w:styleId="NormalWeb">
    <w:name w:val="Normal (Web)"/>
    <w:basedOn w:val="Normal"/>
    <w:uiPriority w:val="99"/>
    <w:unhideWhenUsed/>
    <w:rsid w:val="000E5872"/>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BalloonText">
    <w:name w:val="Balloon Text"/>
    <w:basedOn w:val="Normal"/>
    <w:link w:val="BalloonTextChar"/>
    <w:uiPriority w:val="99"/>
    <w:semiHidden/>
    <w:unhideWhenUsed/>
    <w:rsid w:val="006F3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ef.cvut.cz/ieap" TargetMode="External"/><Relationship Id="rId13" Type="http://schemas.openxmlformats.org/officeDocument/2006/relationships/hyperlink" Target="https://en.wikipedia.org/wiki/Orbital_eccentricity" TargetMode="External"/><Relationship Id="rId18" Type="http://schemas.openxmlformats.org/officeDocument/2006/relationships/hyperlink" Target="https://en.wikipedia.org/wiki/Epoch_%28astronomy%29" TargetMode="External"/><Relationship Id="rId3" Type="http://schemas.openxmlformats.org/officeDocument/2006/relationships/settings" Target="settings.xml"/><Relationship Id="rId21" Type="http://schemas.openxmlformats.org/officeDocument/2006/relationships/hyperlink" Target="https://en.wikipedia.org/wiki/Inclination" TargetMode="External"/><Relationship Id="rId7" Type="http://schemas.openxmlformats.org/officeDocument/2006/relationships/hyperlink" Target="http://www.csrc.cz" TargetMode="External"/><Relationship Id="rId12" Type="http://schemas.openxmlformats.org/officeDocument/2006/relationships/hyperlink" Target="https://en.wikipedia.org/wiki/Semi-major_axis" TargetMode="External"/><Relationship Id="rId17" Type="http://schemas.openxmlformats.org/officeDocument/2006/relationships/hyperlink" Target="https://en.wikipedia.org/wiki/Orbital_peri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rbital_inclination" TargetMode="External"/><Relationship Id="rId20" Type="http://schemas.openxmlformats.org/officeDocument/2006/relationships/hyperlink" Target="https://en.wikipedia.org/wiki/Circular_orbit" TargetMode="External"/><Relationship Id="rId1" Type="http://schemas.openxmlformats.org/officeDocument/2006/relationships/numbering" Target="numbering.xml"/><Relationship Id="rId6" Type="http://schemas.openxmlformats.org/officeDocument/2006/relationships/hyperlink" Target="http://sci.esa.int/cluster/33271-mission-team/?fbodylongid=1166" TargetMode="External"/><Relationship Id="rId11" Type="http://schemas.openxmlformats.org/officeDocument/2006/relationships/hyperlink" Target="https://en.wikipedia.org/wiki/Sun-synchronous_orbit" TargetMode="External"/><Relationship Id="rId24" Type="http://schemas.openxmlformats.org/officeDocument/2006/relationships/fontTable" Target="fontTable.xml"/><Relationship Id="rId5" Type="http://schemas.openxmlformats.org/officeDocument/2006/relationships/hyperlink" Target="https://en.wikipedia.org/wiki/Particle_detector" TargetMode="External"/><Relationship Id="rId15" Type="http://schemas.openxmlformats.org/officeDocument/2006/relationships/hyperlink" Target="https://en.wikipedia.org/wiki/Apsis" TargetMode="External"/><Relationship Id="rId23" Type="http://schemas.openxmlformats.org/officeDocument/2006/relationships/hyperlink" Target="https://en.wikipedia.org/wiki/Invariant_latitude" TargetMode="External"/><Relationship Id="rId10" Type="http://schemas.openxmlformats.org/officeDocument/2006/relationships/hyperlink" Target="https://en.wikipedia.org/wiki/Geocentric_orbit" TargetMode="External"/><Relationship Id="rId19" Type="http://schemas.openxmlformats.org/officeDocument/2006/relationships/hyperlink" Target="https://en.wikipedia.org/wiki/Sun-synchronous" TargetMode="External"/><Relationship Id="rId4" Type="http://schemas.openxmlformats.org/officeDocument/2006/relationships/webSettings" Target="webSettings.xml"/><Relationship Id="rId9" Type="http://schemas.openxmlformats.org/officeDocument/2006/relationships/hyperlink" Target="http://www.cvut.cz" TargetMode="External"/><Relationship Id="rId14" Type="http://schemas.openxmlformats.org/officeDocument/2006/relationships/hyperlink" Target="https://en.wikipedia.org/wiki/Apsis" TargetMode="External"/><Relationship Id="rId22" Type="http://schemas.openxmlformats.org/officeDocument/2006/relationships/hyperlink" Target="https://en.wikipedia.org/wiki/Time_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2017-05-27T08:13:00Z</dcterms:created>
  <dcterms:modified xsi:type="dcterms:W3CDTF">2017-05-27T11:20:00Z</dcterms:modified>
</cp:coreProperties>
</file>