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Strategic Account Plan</w:t>
      </w:r>
    </w:p>
    <w:p>
      <w:r>
        <w:t>Document: INT-2025-8622-JV  |  Period: H2 2026  |  Prepared: May 26, 2026</w:t>
      </w:r>
    </w:p>
    <w:p>
      <w:pPr>
        <w:pStyle w:val="Heading1"/>
      </w:pPr>
      <w:r>
        <w:rPr>
          <w:color w:val="1F3864"/>
        </w:rPr>
        <w:t>Strategic Plan — Titan Logistics Group</w:t>
      </w:r>
    </w:p>
    <w:p>
      <w:r>
        <w:t>Account: Titan Logistics Group  |  Industry: Logistics &amp; Supply Chain  |  HQ: Dallas, TX  |  Revenue: $2.6B  |  Employees: 8,900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Titan Logistics Group into a strategic account by Q4 2026. Target expansion revenue: $1,100,000 additional ACV through Fleet Analytics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Marcus Webb (Director of Technology).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Oracle TMS from last-mile visibility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p>
      <w:pPr>
        <w:pStyle w:val="Heading1"/>
      </w:pPr>
      <w:r>
        <w:rPr>
          <w:color w:val="1F3864"/>
        </w:rPr>
        <w:t>Strategic Plan — Nova Health Systems</w:t>
      </w:r>
    </w:p>
    <w:p>
      <w:r>
        <w:t>Account: Nova Health Systems  |  Industry: Healthcare  |  HQ: Boston, MA  |  Revenue: $1.8B  |  Employees: 6,500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Nova Health Systems into a strategic account by Q4 2026. Target expansion revenue: $290,000 additional ACV through Patient Journey Module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Dr. Priya Nair (Chief Digital Officer).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Epic from HIPAA compliance gaps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