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Strategic Account Plan</w:t>
      </w:r>
    </w:p>
    <w:p>
      <w:r>
        <w:t>Document: LOG-2025-1753  |  Period: H2 2026  |  Prepared: May 26, 2026</w:t>
      </w:r>
    </w:p>
    <w:p>
      <w:pPr>
        <w:pStyle w:val="Heading1"/>
      </w:pPr>
      <w:r>
        <w:rPr>
          <w:color w:val="1F3864"/>
        </w:rPr>
        <w:t>Strategic Plan — Sterling Capital Bank</w:t>
      </w:r>
    </w:p>
    <w:p>
      <w:r>
        <w:t>Account: Sterling Capital Bank  |  Industry: Financial Services  |  HQ: New York, NY  |  Revenue: $6.1B  |  Employees: 22,000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Sterling Capital Bank into a strategic account by Q4 2026. Target expansion revenue: $2,300,000 additional ACV through AI Analytics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Nathaniel Cross (SVP Technology).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Microsoft Dynamics from KYC automation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p>
      <w:pPr>
        <w:pStyle w:val="Heading1"/>
      </w:pPr>
      <w:r>
        <w:rPr>
          <w:color w:val="1F3864"/>
        </w:rPr>
        <w:t>Strategic Plan — BlueSky Retail Group</w:t>
      </w:r>
    </w:p>
    <w:p>
      <w:r>
        <w:t>Account: BlueSky Retail Group  |  Industry: Retail &amp; E-commerce  |  HQ: Seattle, WA  |  Revenue: $3.4B  |  Employees: 15,000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BlueSky Retail Group into a strategic account by Q4 2026. Target expansion revenue: $560,000 additional ACV through Customer Journey Analytics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Jessica Park (Chief Customer Officer).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Klaviyo from churn prediction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