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Strategic Account Plan</w:t>
      </w:r>
    </w:p>
    <w:p>
      <w:r>
        <w:t>Document: SUM-2026-3877-GE  |  Period: H2 2026  |  Prepared: May 26, 2026</w:t>
      </w:r>
    </w:p>
    <w:p>
      <w:pPr>
        <w:pStyle w:val="Heading1"/>
      </w:pPr>
      <w:r>
        <w:rPr>
          <w:color w:val="1F3864"/>
        </w:rPr>
        <w:t>Strategic Plan — BlueSky Retail Group</w:t>
      </w:r>
    </w:p>
    <w:p>
      <w:r>
        <w:t>Account: BlueSky Retail Group  |  Industry: Retail &amp; E-commerce  |  HQ: Seattle, WA  |  Revenue: $3.4B  |  Employees: 15,000</w:t>
      </w:r>
    </w:p>
    <w:p>
      <w:pPr>
        <w:pStyle w:val="Heading2"/>
      </w:pPr>
      <w:r>
        <w:rPr>
          <w:color w:val="2F5496"/>
        </w:rPr>
        <w:t>Account Vision</w:t>
      </w:r>
    </w:p>
    <w:p>
      <w:r>
        <w:t>Grow BlueSky Retail Group into a flagship account by Q4 2026. Target expansion revenue: $560,000 additional ACV through Customer Journey Analytics adoption and seat expansion.</w:t>
      </w:r>
    </w:p>
    <w:p>
      <w:pPr>
        <w:pStyle w:val="Heading2"/>
      </w:pPr>
      <w:r>
        <w:rPr>
          <w:color w:val="2F5496"/>
        </w:rPr>
        <w:t>Key Relationships</w:t>
      </w:r>
    </w:p>
    <w:p>
      <w:r>
        <w:t>Executive sponsor: Jessica Park (Chief Customer Officer). Additional stakeholders identified: IT Director, CFO, Head of Procurement. Relationship health: Strong at VP level, developing at C-suite.</w:t>
      </w:r>
    </w:p>
    <w:p>
      <w:pPr>
        <w:pStyle w:val="Heading2"/>
      </w:pPr>
      <w:r>
        <w:rPr>
          <w:color w:val="2F5496"/>
        </w:rPr>
        <w:t>Competitive Strategy</w:t>
      </w:r>
    </w:p>
    <w:p>
      <w:r>
        <w:t>Displace Klaviyo from churn prediction workflow. Position MasterCRM on total cost of ownership, faster implementation, and dedicated support. Avoid direct price competition — focus on business value and ROI.</w:t>
      </w:r>
    </w:p>
    <w:p>
      <w:pPr>
        <w:pStyle w:val="Heading2"/>
      </w:pPr>
      <w:r>
        <w:rPr>
          <w:color w:val="2F5496"/>
        </w:rPr>
        <w:t>Success Metrics</w:t>
      </w:r>
    </w:p>
    <w:p>
      <w:r>
        <w:t>Seat utilization above 85% within 90 days of go-live. NPS above 50 by Q3 2026. Renewal probability: 90%+. Expansion target: +30% ACV in Year 2.</w:t>
      </w:r>
    </w:p>
    <w:p>
      <w:pPr>
        <w:pStyle w:val="Heading1"/>
      </w:pPr>
      <w:r>
        <w:rPr>
          <w:color w:val="1F3864"/>
        </w:rPr>
        <w:t>Strategic Plan — Atlas Construction &amp; Engineering</w:t>
      </w:r>
    </w:p>
    <w:p>
      <w:r>
        <w:t>Account: Atlas Construction &amp; Engineering  |  Industry: Construction  |  HQ: Denver, CO  |  Revenue: $1.3B  |  Employees: 4,600</w:t>
      </w:r>
    </w:p>
    <w:p>
      <w:pPr>
        <w:pStyle w:val="Heading2"/>
      </w:pPr>
      <w:r>
        <w:rPr>
          <w:color w:val="2F5496"/>
        </w:rPr>
        <w:t>Account Vision</w:t>
      </w:r>
    </w:p>
    <w:p>
      <w:r>
        <w:t>Grow Atlas Construction &amp; Engineering into a strategic account by Q4 2026. Target expansion revenue: $780,000 additional ACV through Subcontractor Portal adoption and seat expansion.</w:t>
      </w:r>
    </w:p>
    <w:p>
      <w:pPr>
        <w:pStyle w:val="Heading2"/>
      </w:pPr>
      <w:r>
        <w:rPr>
          <w:color w:val="2F5496"/>
        </w:rPr>
        <w:t>Key Relationships</w:t>
      </w:r>
    </w:p>
    <w:p>
      <w:r>
        <w:t>Executive sponsor: Robert Okafor (COO). Additional stakeholders identified: IT Director, CFO, Head of Procurement. Relationship health: Strong at VP level, developing at C-suite.</w:t>
      </w:r>
    </w:p>
    <w:p>
      <w:pPr>
        <w:pStyle w:val="Heading2"/>
      </w:pPr>
      <w:r>
        <w:rPr>
          <w:color w:val="2F5496"/>
        </w:rPr>
        <w:t>Competitive Strategy</w:t>
      </w:r>
    </w:p>
    <w:p>
      <w:r>
        <w:t>Displace Procore from bid management workflow. Position MasterCRM on total cost of ownership, faster implementation, and dedicated support. Avoid direct price competition — focus on business value and ROI.</w:t>
      </w:r>
    </w:p>
    <w:p>
      <w:pPr>
        <w:pStyle w:val="Heading2"/>
      </w:pPr>
      <w:r>
        <w:rPr>
          <w:color w:val="2F5496"/>
        </w:rPr>
        <w:t>Success Metrics</w:t>
      </w:r>
    </w:p>
    <w:p>
      <w:r>
        <w:t>Seat utilization above 85% within 90 days of go-live. NPS above 50 by Q3 2026. Renewal probability: 90%+. Expansion target: +30% ACV in Year 2.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