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TSK-2026-4588-UG  |  Client: Sterling Capital Bank  |  CSM: Sofia Marchetti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Sterling Capital Bank is a Financial Services organisation with 22,000 employees headquartered in New York, NY. This engagement covers CRM Enterprise, Compliance Module, AI Analytics. Primary contact: Nathaniel Cross (n.cross@sterlingcapital.com, +1-212-555-0894).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Kyc Automation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Titan Logistics Group (Logistics &amp; Supply Chain, Dallas, TX): Completed CRM Enterprise, Route Intelligence deployment in 73 days. Contact: Marcus Webb (m.webb@titanlogistics.com). Key lesson: last-mile visibility configuration requires extra validation time — budget an additional sprint.</w:t>
      </w:r>
    </w:p>
    <w:p>
      <w:r>
        <w:t>Nova Health Systems (Healthcare, Boston, MA): Completed CRM Enterprise, Patient Journey Module deployment in 65 days. Contact: Dr. Priya Nair (p.nair@novahealth.org). Key lesson: HIPAA compliance gaps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