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ACT-2025-4846  |  Period: H2 2026  |  Prepared: May 26, 2026</w:t>
      </w:r>
    </w:p>
    <w:p>
      <w:pPr>
        <w:pStyle w:val="Heading1"/>
      </w:pPr>
      <w:r>
        <w:rPr>
          <w:color w:val="1F3864"/>
        </w:rPr>
        <w:t>Strategic Plan — Nexus Pharmaceuticals</w:t>
      </w:r>
    </w:p>
    <w:p>
      <w:r>
        <w:t>Account: Nexus Pharmaceuticals  |  Industry: Pharmaceuticals  |  HQ: San Diego, CA  |  Revenue: $2.1B  |  Employees: 7,800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Nexus Pharmaceuticals into a flagship account by Q4 2026. Target expansion revenue: $630,000 additional ACV through Compliance Tracker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Dr. Linda Zhao (Director of Commercial Operations).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Veeva CRM from HCP relationship management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BlueSky Retail Group</w:t>
      </w:r>
    </w:p>
    <w:p>
      <w:r>
        <w:t>Account: BlueSky Retail Group  |  Industry: Retail &amp; E-commerce  |  HQ: Seattle, WA  |  Revenue: $3.4B  |  Employees: 15,000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BlueSky Retail Group into a flagship account by Q4 2026. Target expansion revenue: $560,000 additional ACV through Customer Journey Analytics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Jessica Park (Chief Customer Officer).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Klaviyo from churn prediction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