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FIN-2026-7689  |  Date: Tuesday, May 26, 2026  |  Time: 9:00–11:00 AM PT</w:t>
      </w:r>
    </w:p>
    <w:p>
      <w:r>
        <w:t>Attendees: Sofia Marchetti, James Whitfield,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Acme Corporation — Account Update</w:t>
      </w:r>
    </w:p>
    <w:p>
      <w:r>
        <w:rPr>
          <w:b/>
        </w:rPr>
        <w:t xml:space="preserve">Deal Stage: </w:t>
      </w:r>
      <w:r>
        <w:t xml:space="preserve">Negotiation  |  </w:t>
      </w:r>
      <w:r>
        <w:rPr>
          <w:b/>
        </w:rPr>
        <w:t xml:space="preserve">Value: </w:t>
      </w:r>
      <w:r>
        <w:t xml:space="preserve">$840,000  |  </w:t>
      </w:r>
      <w:r>
        <w:rPr>
          <w:b/>
        </w:rPr>
        <w:t xml:space="preserve">Owner: </w:t>
      </w:r>
      <w:r>
        <w:t>James Whitfield</w:t>
      </w:r>
    </w:p>
    <w:p>
      <w:pPr>
        <w:pStyle w:val="Heading2"/>
      </w:pPr>
      <w:r>
        <w:rPr>
          <w:color w:val="2F5496"/>
        </w:rPr>
        <w:t>Current Status</w:t>
      </w:r>
    </w:p>
    <w:p>
      <w:r>
        <w:t>James Whitfield provided an update on Acme Corporation. The account is progressing through Negotiation. Rachel Torres (VP of Operations) confirmed last week that internal stakeholders are aligned on moving forward. The legal team has reviewed 80% of the MSA. Key outstanding items: manual data entry use case confirmation and final pricing sign-off.</w:t>
      </w:r>
    </w:p>
    <w:p>
      <w:pPr>
        <w:pStyle w:val="Heading2"/>
      </w:pPr>
      <w:r>
        <w:rPr>
          <w:color w:val="2F5496"/>
        </w:rPr>
        <w:t>Risks</w:t>
      </w:r>
    </w:p>
    <w:p>
      <w:r>
        <w:t>Competitive risk: Salesforce is still in consideration. James Whitfield to schedule a product differentiator call with Rachel Torres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Rachel Torres</w:t>
            </w:r>
          </w:p>
        </w:tc>
        <w:tc>
          <w:tcPr>
            <w:tcW w:type="dxa" w:w="3024"/>
          </w:tcPr>
          <w:p>
            <w:r>
              <w:t>May 23, 2026</w:t>
            </w:r>
          </w:p>
        </w:tc>
      </w:tr>
      <w:tr>
        <w:tc>
          <w:tcPr>
            <w:tcW w:type="dxa" w:w="3024"/>
          </w:tcPr>
          <w:p>
            <w:r>
              <w:t>David Kim</w:t>
            </w:r>
          </w:p>
        </w:tc>
        <w:tc>
          <w:tcPr>
            <w:tcW w:type="dxa" w:w="3024"/>
          </w:tcPr>
          <w:p>
            <w:r>
              <w:t>Deliver technical FAQ document for Acme Corporation IT team</w:t>
            </w:r>
          </w:p>
        </w:tc>
        <w:tc>
          <w:tcPr>
            <w:tcW w:type="dxa" w:w="3024"/>
          </w:tcPr>
          <w:p>
            <w:r>
              <w:t>May 24, 2026</w:t>
            </w:r>
          </w:p>
        </w:tc>
      </w:tr>
      <w:tr>
        <w:tc>
          <w:tcPr>
            <w:tcW w:type="dxa" w:w="3024"/>
          </w:tcPr>
          <w:p>
            <w:r>
              <w:t>Sarah Chen</w:t>
            </w:r>
          </w:p>
        </w:tc>
        <w:tc>
          <w:tcPr>
            <w:tcW w:type="dxa" w:w="3024"/>
          </w:tcPr>
          <w:p>
            <w:r>
              <w:t>Executive sponsor call with Acme Corporation CEO</w:t>
            </w:r>
          </w:p>
        </w:tc>
        <w:tc>
          <w:tcPr>
            <w:tcW w:type="dxa" w:w="3024"/>
          </w:tcPr>
          <w:p>
            <w:r>
              <w:t>May 27, 2026</w:t>
            </w:r>
          </w:p>
        </w:tc>
      </w:tr>
    </w:tbl>
    <w:p>
      <w:pPr>
        <w:pStyle w:val="Heading1"/>
      </w:pPr>
      <w:r>
        <w:rPr>
          <w:color w:val="1F3864"/>
        </w:rPr>
        <w:t>Sterling Capital Bank — Account Update</w:t>
      </w:r>
    </w:p>
    <w:p>
      <w:r>
        <w:rPr>
          <w:b/>
        </w:rPr>
        <w:t xml:space="preserve">Deal Stage: </w:t>
      </w:r>
      <w:r>
        <w:t xml:space="preserve">Legal Review  |  </w:t>
      </w:r>
      <w:r>
        <w:rPr>
          <w:b/>
        </w:rPr>
        <w:t xml:space="preserve">Value: </w:t>
      </w:r>
      <w:r>
        <w:t xml:space="preserve">$2,300,000  |  </w:t>
      </w:r>
      <w:r>
        <w:rPr>
          <w:b/>
        </w:rPr>
        <w:t xml:space="preserve">Owner: </w:t>
      </w:r>
      <w:r>
        <w:t>Sofia Marchetti</w:t>
      </w:r>
    </w:p>
    <w:p>
      <w:pPr>
        <w:pStyle w:val="Heading2"/>
      </w:pPr>
      <w:r>
        <w:rPr>
          <w:color w:val="2F5496"/>
        </w:rPr>
        <w:t>Current Status</w:t>
      </w:r>
    </w:p>
    <w:p>
      <w:r>
        <w:t>Sofia Marchetti provided an update on Sterling Capital Bank. The account is progressing through Legal Review. Nathaniel Cross (SVP Technology) confirmed last week that internal stakeholders are aligned on moving forward. The legal team has reviewed 80% of the MSA. Key outstanding items: KYC automation use case confirmation and final pricing sign-off.</w:t>
      </w:r>
    </w:p>
    <w:p>
      <w:pPr>
        <w:pStyle w:val="Heading2"/>
      </w:pPr>
      <w:r>
        <w:rPr>
          <w:color w:val="2F5496"/>
        </w:rPr>
        <w:t>Risks</w:t>
      </w:r>
    </w:p>
    <w:p>
      <w:r>
        <w:t>Competitive risk: Microsoft Dynamics is still in consideration. Sofia Marchetti to schedule a product differentiator call with Nathaniel Cross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Nathaniel Cross</w:t>
            </w:r>
          </w:p>
        </w:tc>
        <w:tc>
          <w:tcPr>
            <w:tcW w:type="dxa" w:w="3024"/>
          </w:tcPr>
          <w:p>
            <w:r>
              <w:t>May 23, 2026</w:t>
            </w:r>
          </w:p>
        </w:tc>
      </w:tr>
      <w:tr>
        <w:tc>
          <w:tcPr>
            <w:tcW w:type="dxa" w:w="3024"/>
          </w:tcPr>
          <w:p>
            <w:r>
              <w:t>David Kim</w:t>
            </w:r>
          </w:p>
        </w:tc>
        <w:tc>
          <w:tcPr>
            <w:tcW w:type="dxa" w:w="3024"/>
          </w:tcPr>
          <w:p>
            <w:r>
              <w:t>Deliver technical FAQ document for Sterling Capital Bank IT team</w:t>
            </w:r>
          </w:p>
        </w:tc>
        <w:tc>
          <w:tcPr>
            <w:tcW w:type="dxa" w:w="3024"/>
          </w:tcPr>
          <w:p>
            <w:r>
              <w:t>May 24, 2026</w:t>
            </w:r>
          </w:p>
        </w:tc>
      </w:tr>
      <w:tr>
        <w:tc>
          <w:tcPr>
            <w:tcW w:type="dxa" w:w="3024"/>
          </w:tcPr>
          <w:p>
            <w:r>
              <w:t>Sarah Chen</w:t>
            </w:r>
          </w:p>
        </w:tc>
        <w:tc>
          <w:tcPr>
            <w:tcW w:type="dxa" w:w="3024"/>
          </w:tcPr>
          <w:p>
            <w:r>
              <w:t>Executive sponsor call with Sterling Capital Bank CEO</w:t>
            </w:r>
          </w:p>
        </w:tc>
        <w:tc>
          <w:tcPr>
            <w:tcW w:type="dxa" w:w="3024"/>
          </w:tcPr>
          <w:p>
            <w:r>
              <w:t>May 27, 2026</w:t>
            </w:r>
          </w:p>
        </w:tc>
      </w:tr>
    </w:tbl>
    <w:p>
      <w:pPr>
        <w:pStyle w:val="Heading1"/>
      </w:pPr>
      <w:r>
        <w:rPr>
          <w:color w:val="1F3864"/>
        </w:rPr>
        <w:t>Nexus Pharmaceuticals — Account Update</w:t>
      </w:r>
    </w:p>
    <w:p>
      <w:r>
        <w:rPr>
          <w:b/>
        </w:rPr>
        <w:t xml:space="preserve">Deal Stage: </w:t>
      </w:r>
      <w:r>
        <w:t xml:space="preserve">Pilot  |  </w:t>
      </w:r>
      <w:r>
        <w:rPr>
          <w:b/>
        </w:rPr>
        <w:t xml:space="preserve">Value: </w:t>
      </w:r>
      <w:r>
        <w:t xml:space="preserve">$630,000  |  </w:t>
      </w:r>
      <w:r>
        <w:rPr>
          <w:b/>
        </w:rPr>
        <w:t xml:space="preserve">Owner: </w:t>
      </w:r>
      <w:r>
        <w:t>Sofia Marchetti</w:t>
      </w:r>
    </w:p>
    <w:p>
      <w:pPr>
        <w:pStyle w:val="Heading2"/>
      </w:pPr>
      <w:r>
        <w:rPr>
          <w:color w:val="2F5496"/>
        </w:rPr>
        <w:t>Current Status</w:t>
      </w:r>
    </w:p>
    <w:p>
      <w:r>
        <w:t>Sofia Marchetti provided an update on Nexus Pharmaceuticals. The account is progressing through Pilot. Dr. Linda Zhao (Director of Commercial Operations) confirmed last week that internal stakeholders are aligned on moving forward. The legal team has reviewed 80% of the MSA. Key outstanding items: HCP relationship management use case confirmation and final pricing sign-off.</w:t>
      </w:r>
    </w:p>
    <w:p>
      <w:pPr>
        <w:pStyle w:val="Heading2"/>
      </w:pPr>
      <w:r>
        <w:rPr>
          <w:color w:val="2F5496"/>
        </w:rPr>
        <w:t>Risks</w:t>
      </w:r>
    </w:p>
    <w:p>
      <w:r>
        <w:t>Competitive risk: Veeva CRM is still in consideration. Sofia Marchetti to schedule a product differentiator call with Dr. Linda Zhao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Linda Zhao</w:t>
            </w:r>
          </w:p>
        </w:tc>
        <w:tc>
          <w:tcPr>
            <w:tcW w:type="dxa" w:w="3024"/>
          </w:tcPr>
          <w:p>
            <w:r>
              <w:t>May 23, 2026</w:t>
            </w:r>
          </w:p>
        </w:tc>
      </w:tr>
      <w:tr>
        <w:tc>
          <w:tcPr>
            <w:tcW w:type="dxa" w:w="3024"/>
          </w:tcPr>
          <w:p>
            <w:r>
              <w:t>David Kim</w:t>
            </w:r>
          </w:p>
        </w:tc>
        <w:tc>
          <w:tcPr>
            <w:tcW w:type="dxa" w:w="3024"/>
          </w:tcPr>
          <w:p>
            <w:r>
              <w:t>Deliver technical FAQ document for Nexus Pharmaceuticals IT team</w:t>
            </w:r>
          </w:p>
        </w:tc>
        <w:tc>
          <w:tcPr>
            <w:tcW w:type="dxa" w:w="3024"/>
          </w:tcPr>
          <w:p>
            <w:r>
              <w:t>May 24, 2026</w:t>
            </w:r>
          </w:p>
        </w:tc>
      </w:tr>
      <w:tr>
        <w:tc>
          <w:tcPr>
            <w:tcW w:type="dxa" w:w="3024"/>
          </w:tcPr>
          <w:p>
            <w:r>
              <w:t>Sarah Chen</w:t>
            </w:r>
          </w:p>
        </w:tc>
        <w:tc>
          <w:tcPr>
            <w:tcW w:type="dxa" w:w="3024"/>
          </w:tcPr>
          <w:p>
            <w:r>
              <w:t>Executive sponsor call with Nexus Pharmaceuticals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